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574040</wp:posOffset>
            </wp:positionV>
            <wp:extent cx="56819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1980" cy="2794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629920</wp:posOffset>
            </wp:positionV>
            <wp:extent cx="56819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198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108585</wp:posOffset>
            </wp:positionV>
            <wp:extent cx="14255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2146935</wp:posOffset>
            </wp:positionH>
            <wp:positionV relativeFrom="paragraph">
              <wp:posOffset>106680</wp:posOffset>
            </wp:positionV>
            <wp:extent cx="14255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304"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94" w:lineRule="exact"/>
        <w:rPr>
          <w:sz w:val="24"/>
          <w:szCs w:val="24"/>
          <w:color w:val="auto"/>
        </w:rPr>
      </w:pPr>
    </w:p>
    <w:p>
      <w:pPr>
        <w:ind w:left="240" w:hanging="205"/>
        <w:spacing w:after="0"/>
        <w:tabs>
          <w:tab w:leader="none" w:pos="24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REGISTRATION STATEMENT PURSUANT TO SECTION 12(b) OR (g)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94" w:lineRule="exact"/>
        <w:rPr>
          <w:sz w:val="24"/>
          <w:szCs w:val="24"/>
          <w:color w:val="auto"/>
        </w:rPr>
      </w:pPr>
    </w:p>
    <w:p>
      <w:pPr>
        <w:ind w:left="3280" w:right="3079" w:hanging="3245"/>
        <w:spacing w:after="0" w:line="399" w:lineRule="auto"/>
        <w:tabs>
          <w:tab w:leader="none" w:pos="253"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ANNUAL REPORT PURSUANT TO SECTION 13 OR 5(d) OF THE SECURITIES ACT OF 1934 For the fiscal year ended June 30, 2022</w:t>
      </w:r>
    </w:p>
    <w:p>
      <w:pPr>
        <w:ind w:left="4400"/>
        <w:spacing w:after="0"/>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OR</w:t>
      </w:r>
    </w:p>
    <w:p>
      <w:pPr>
        <w:spacing w:after="0" w:line="94" w:lineRule="exact"/>
        <w:rPr>
          <w:sz w:val="24"/>
          <w:szCs w:val="24"/>
          <w:color w:val="auto"/>
        </w:rPr>
      </w:pPr>
    </w:p>
    <w:p>
      <w:pPr>
        <w:ind w:left="4400" w:right="1979" w:hanging="4365"/>
        <w:spacing w:after="0" w:line="382" w:lineRule="auto"/>
        <w:tabs>
          <w:tab w:leader="none" w:pos="241" w:val="left"/>
        </w:tabs>
        <w:numPr>
          <w:ilvl w:val="0"/>
          <w:numId w:val="3"/>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 OR</w:t>
      </w:r>
    </w:p>
    <w:p>
      <w:pPr>
        <w:spacing w:after="0" w:line="21" w:lineRule="exact"/>
        <w:rPr>
          <w:rFonts w:ascii="MS PGothic" w:cs="MS PGothic" w:eastAsia="MS PGothic" w:hAnsi="MS PGothic"/>
          <w:sz w:val="13"/>
          <w:szCs w:val="13"/>
          <w:color w:val="auto"/>
          <w:highlight w:val="black"/>
        </w:rPr>
      </w:pPr>
    </w:p>
    <w:p>
      <w:pPr>
        <w:ind w:left="2960" w:right="1639" w:hanging="2925"/>
        <w:spacing w:after="0" w:line="399" w:lineRule="auto"/>
        <w:tabs>
          <w:tab w:leader="none" w:pos="250" w:val="left"/>
        </w:tabs>
        <w:numPr>
          <w:ilvl w:val="0"/>
          <w:numId w:val="3"/>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SHELL COMPANY REPORT PURSUANT TO SECTION 13 OR 15(d) OF THE SECURITIES EXCHANGE ACT OF 1934 Date of event requiring this shell company report</w:t>
      </w:r>
    </w:p>
    <w:p>
      <w:pPr>
        <w:ind w:left="3400"/>
        <w:spacing w:after="0"/>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Commission file number 001-38442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122555</wp:posOffset>
            </wp:positionV>
            <wp:extent cx="568198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1980" cy="1397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276860</wp:posOffset>
            </wp:positionV>
            <wp:extent cx="14255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IBEX LIMITED</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114935</wp:posOffset>
            </wp:positionV>
            <wp:extent cx="568198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81980" cy="1397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269240</wp:posOffset>
            </wp:positionV>
            <wp:extent cx="14255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Bermuda</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(Jurisdiction of Incorporation or Organization)</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Crawford House, 50 Cedar Avenue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Hamilton HM11, Bermuda</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(441) 295-6500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Robert Dechant, Chief Executive Officer</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IBEX LIMITED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1717 Pennsylvania Avenue NW, Suite 825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20006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(202) 580-6200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Telephone, E-mail and/or Facsimile number and Address of Company Contact Person)</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p>
      <w:pPr>
        <w:sectPr>
          <w:pgSz w:w="11900" w:h="16838" w:orient="portrait"/>
          <w:cols w:equalWidth="0" w:num="1">
            <w:col w:w="9019"/>
          </w:cols>
          <w:pgMar w:left="1440" w:top="567" w:right="1440" w:bottom="1440" w:gutter="0" w:footer="0" w:header="0"/>
        </w:sectPr>
      </w:pPr>
    </w:p>
    <w:p>
      <w:pPr>
        <w:spacing w:after="0" w:line="105" w:lineRule="exact"/>
        <w:rPr>
          <w:sz w:val="24"/>
          <w:szCs w:val="24"/>
          <w:color w:val="auto"/>
        </w:rPr>
      </w:pPr>
    </w:p>
    <w:p>
      <w:pPr>
        <w:ind w:left="1300"/>
        <w:spacing w:after="0"/>
        <w:rPr>
          <w:sz w:val="20"/>
          <w:szCs w:val="20"/>
          <w:color w:val="auto"/>
        </w:rPr>
      </w:pPr>
      <w:r>
        <w:rPr>
          <w:rFonts w:ascii="Arial" w:cs="Arial" w:eastAsia="Arial" w:hAnsi="Arial"/>
          <w:sz w:val="13"/>
          <w:szCs w:val="13"/>
          <w:b w:val="1"/>
          <w:bCs w:val="1"/>
          <w:color w:val="auto"/>
        </w:rPr>
        <w:t>Title of each class</w:t>
      </w:r>
    </w:p>
    <w:p>
      <w:pPr>
        <w:spacing w:after="0" w:line="17" w:lineRule="exact"/>
        <w:rPr>
          <w:sz w:val="24"/>
          <w:szCs w:val="24"/>
          <w:color w:val="auto"/>
        </w:rPr>
      </w:pPr>
    </w:p>
    <w:p>
      <w:pPr>
        <w:ind w:left="1340"/>
        <w:spacing w:after="0"/>
        <w:rPr>
          <w:sz w:val="20"/>
          <w:szCs w:val="20"/>
          <w:color w:val="auto"/>
        </w:rPr>
      </w:pPr>
      <w:r>
        <w:rPr>
          <w:rFonts w:ascii="Arial" w:cs="Arial" w:eastAsia="Arial" w:hAnsi="Arial"/>
          <w:sz w:val="13"/>
          <w:szCs w:val="13"/>
          <w:b w:val="1"/>
          <w:bCs w:val="1"/>
          <w:color w:val="auto"/>
        </w:rPr>
        <w:t>Common shares</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Trading Symbol(s)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IBEX</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17"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Nasdaq Global Market</w:t>
      </w:r>
    </w:p>
    <w:p>
      <w:pPr>
        <w:spacing w:after="0" w:line="159" w:lineRule="exact"/>
        <w:rPr>
          <w:sz w:val="24"/>
          <w:szCs w:val="24"/>
          <w:color w:val="auto"/>
        </w:rPr>
      </w:pPr>
    </w:p>
    <w:p>
      <w:pPr>
        <w:sectPr>
          <w:pgSz w:w="11900" w:h="16838" w:orient="portrait"/>
          <w:cols w:equalWidth="0" w:num="3">
            <w:col w:w="3200" w:space="720"/>
            <w:col w:w="1160" w:space="660"/>
            <w:col w:w="3279"/>
          </w:cols>
          <w:pgMar w:left="1440" w:top="567" w:right="1440" w:bottom="1440" w:gutter="0" w:footer="0" w:header="0"/>
          <w:type w:val="continuous"/>
        </w:sectPr>
      </w:pPr>
    </w:p>
    <w:p>
      <w:pPr>
        <w:ind w:left="40" w:right="3119"/>
        <w:spacing w:after="0" w:line="439" w:lineRule="auto"/>
        <w:rPr>
          <w:sz w:val="20"/>
          <w:szCs w:val="20"/>
          <w:color w:val="auto"/>
        </w:rPr>
      </w:pPr>
      <w:r>
        <w:rPr>
          <w:rFonts w:ascii="Arial" w:cs="Arial" w:eastAsia="Arial" w:hAnsi="Arial"/>
          <w:sz w:val="13"/>
          <w:szCs w:val="13"/>
          <w:b w:val="1"/>
          <w:bCs w:val="1"/>
          <w:color w:val="auto"/>
        </w:rPr>
        <w:t>Securities registered or to be registered pursuant to Section 12(g) of the Act. None 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354965</wp:posOffset>
            </wp:positionV>
            <wp:extent cx="568198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40" w:right="39"/>
        <w:spacing w:after="0" w:line="288" w:lineRule="auto"/>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pacing w:after="0" w:line="39" w:lineRule="exact"/>
        <w:rPr>
          <w:sz w:val="20"/>
          <w:szCs w:val="20"/>
          <w:color w:val="auto"/>
        </w:rPr>
      </w:pPr>
    </w:p>
    <w:p>
      <w:pPr>
        <w:ind w:left="2460"/>
        <w:spacing w:after="0"/>
        <w:rPr>
          <w:sz w:val="20"/>
          <w:szCs w:val="20"/>
          <w:color w:val="auto"/>
        </w:rPr>
      </w:pPr>
      <w:r>
        <w:rPr>
          <w:rFonts w:ascii="Arial" w:cs="Arial" w:eastAsia="Arial" w:hAnsi="Arial"/>
          <w:sz w:val="13"/>
          <w:szCs w:val="13"/>
          <w:b w:val="1"/>
          <w:bCs w:val="1"/>
          <w:color w:val="auto"/>
        </w:rPr>
        <w:t>18,246,391 common shares, par value $0.000111650536 per share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95" w:lineRule="exact"/>
        <w:rPr>
          <w:sz w:val="20"/>
          <w:szCs w:val="20"/>
          <w:color w:val="auto"/>
        </w:rPr>
      </w:pPr>
    </w:p>
    <w:p>
      <w:pPr>
        <w:ind w:left="3240"/>
        <w:spacing w:after="0" w:line="150" w:lineRule="exact"/>
        <w:tabs>
          <w:tab w:leader="none" w:pos="5360" w:val="left"/>
        </w:tabs>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03"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p>
    <w:p>
      <w:pPr>
        <w:spacing w:after="0" w:line="29" w:lineRule="exact"/>
        <w:rPr>
          <w:sz w:val="20"/>
          <w:szCs w:val="20"/>
          <w:color w:val="auto"/>
        </w:rPr>
      </w:pPr>
    </w:p>
    <w:p>
      <w:pPr>
        <w:ind w:left="3240"/>
        <w:spacing w:after="0" w:line="150" w:lineRule="exact"/>
        <w:tabs>
          <w:tab w:leader="none" w:pos="5360" w:val="left"/>
        </w:tabs>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104" w:lineRule="exact"/>
        <w:rPr>
          <w:sz w:val="20"/>
          <w:szCs w:val="20"/>
          <w:color w:val="auto"/>
        </w:rPr>
      </w:pPr>
    </w:p>
    <w:p>
      <w:pPr>
        <w:jc w:val="both"/>
        <w:ind w:left="40" w:right="39"/>
        <w:spacing w:after="0" w:line="268"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2" w:lineRule="exact"/>
        <w:rPr>
          <w:sz w:val="20"/>
          <w:szCs w:val="20"/>
          <w:color w:val="auto"/>
        </w:rPr>
      </w:pPr>
    </w:p>
    <w:p>
      <w:pPr>
        <w:ind w:left="3240"/>
        <w:spacing w:after="0" w:line="150" w:lineRule="exact"/>
        <w:tabs>
          <w:tab w:leader="none" w:pos="5360" w:val="left"/>
        </w:tabs>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104" w:lineRule="exact"/>
        <w:rPr>
          <w:sz w:val="20"/>
          <w:szCs w:val="20"/>
          <w:color w:val="auto"/>
        </w:rPr>
      </w:pPr>
    </w:p>
    <w:p>
      <w:pPr>
        <w:jc w:val="both"/>
        <w:ind w:left="40" w:right="39"/>
        <w:spacing w:after="0" w:line="27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8" w:lineRule="exact"/>
        <w:rPr>
          <w:sz w:val="20"/>
          <w:szCs w:val="20"/>
          <w:color w:val="auto"/>
        </w:rPr>
      </w:pPr>
    </w:p>
    <w:p>
      <w:pPr>
        <w:ind w:left="3240"/>
        <w:spacing w:after="0" w:line="150" w:lineRule="exact"/>
        <w:tabs>
          <w:tab w:leader="none" w:pos="5360" w:val="left"/>
        </w:tabs>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See definition of “large accelerated filer,” “accelerated filer,” and “emerging growth company” in Rule 12b-2 of the Exchange Act.</w:t>
      </w:r>
    </w:p>
    <w:p>
      <w:pPr>
        <w:spacing w:after="0" w:line="72" w:lineRule="exact"/>
        <w:rPr>
          <w:sz w:val="20"/>
          <w:szCs w:val="20"/>
          <w:color w:val="auto"/>
        </w:rPr>
      </w:pPr>
    </w:p>
    <w:p>
      <w:pPr>
        <w:ind w:left="40"/>
        <w:spacing w:after="0" w:line="150" w:lineRule="exact"/>
        <w:tabs>
          <w:tab w:leader="none" w:pos="2240" w:val="left"/>
          <w:tab w:leader="none" w:pos="4460" w:val="left"/>
          <w:tab w:leader="none" w:pos="67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4" w:lineRule="exact"/>
        <w:rPr>
          <w:sz w:val="20"/>
          <w:szCs w:val="20"/>
          <w:color w:val="auto"/>
        </w:rPr>
      </w:pPr>
    </w:p>
    <w:p>
      <w:pPr>
        <w:jc w:val="both"/>
        <w:ind w:left="40" w:right="59"/>
        <w:spacing w:after="0" w:line="166"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9" w:lineRule="exact"/>
        <w:rPr>
          <w:sz w:val="20"/>
          <w:szCs w:val="20"/>
          <w:color w:val="auto"/>
        </w:rPr>
      </w:pPr>
    </w:p>
    <w:p>
      <w:pPr>
        <w:ind w:left="300" w:right="59" w:hanging="265"/>
        <w:spacing w:after="0" w:line="288" w:lineRule="auto"/>
        <w:tabs>
          <w:tab w:leader="none" w:pos="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39" w:lineRule="exact"/>
        <w:rPr>
          <w:sz w:val="20"/>
          <w:szCs w:val="20"/>
          <w:color w:val="auto"/>
        </w:rPr>
      </w:pPr>
    </w:p>
    <w:p>
      <w:pPr>
        <w:jc w:val="both"/>
        <w:ind w:left="40" w:right="39"/>
        <w:spacing w:after="0" w:line="166" w:lineRule="exact"/>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3"/>
          <w:szCs w:val="13"/>
          <w:color w:val="auto"/>
        </w:rPr>
        <w:t>☐</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920" w:type="dxa"/>
            <w:vAlign w:val="bottom"/>
          </w:tcPr>
          <w:p>
            <w:pPr>
              <w:spacing w:after="0"/>
              <w:rPr>
                <w:sz w:val="13"/>
                <w:szCs w:val="13"/>
                <w:color w:val="auto"/>
              </w:rPr>
            </w:pPr>
          </w:p>
        </w:tc>
        <w:tc>
          <w:tcPr>
            <w:tcW w:w="5240" w:type="dxa"/>
            <w:vAlign w:val="bottom"/>
          </w:tcPr>
          <w:p>
            <w:pPr>
              <w:jc w:val="center"/>
              <w:ind w:right="114"/>
              <w:spacing w:after="0"/>
              <w:rPr>
                <w:sz w:val="20"/>
                <w:szCs w:val="20"/>
                <w:color w:val="auto"/>
              </w:rPr>
            </w:pPr>
            <w:r>
              <w:rPr>
                <w:rFonts w:ascii="Arial" w:cs="Arial" w:eastAsia="Arial" w:hAnsi="Arial"/>
                <w:sz w:val="13"/>
                <w:szCs w:val="13"/>
                <w:color w:val="auto"/>
              </w:rPr>
              <w:t>International Financial</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5240" w:type="dxa"/>
            <w:vAlign w:val="bottom"/>
          </w:tcPr>
          <w:p>
            <w:pPr>
              <w:jc w:val="center"/>
              <w:ind w:right="94"/>
              <w:spacing w:after="0"/>
              <w:rPr>
                <w:sz w:val="20"/>
                <w:szCs w:val="20"/>
                <w:color w:val="auto"/>
              </w:rPr>
            </w:pPr>
            <w:r>
              <w:rPr>
                <w:rFonts w:ascii="Arial" w:cs="Arial" w:eastAsia="Arial" w:hAnsi="Arial"/>
                <w:sz w:val="13"/>
                <w:szCs w:val="13"/>
                <w:color w:val="auto"/>
              </w:rPr>
              <w:t>Reporting Standards as issued</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920" w:type="dxa"/>
            <w:vAlign w:val="bottom"/>
            <w:vMerge w:val="restart"/>
          </w:tcPr>
          <w:p>
            <w:pPr>
              <w:spacing w:after="0" w:line="150" w:lineRule="exact"/>
              <w:rPr>
                <w:sz w:val="20"/>
                <w:szCs w:val="20"/>
                <w:color w:val="auto"/>
              </w:rPr>
            </w:pPr>
            <w:r>
              <w:rPr>
                <w:rFonts w:ascii="Arial" w:cs="Arial" w:eastAsia="Arial" w:hAnsi="Arial"/>
                <w:sz w:val="13"/>
                <w:szCs w:val="13"/>
                <w:color w:val="auto"/>
              </w:rPr>
              <w:t xml:space="preserve">U.S. GAAP </w:t>
            </w:r>
            <w:r>
              <w:rPr>
                <w:rFonts w:ascii="MS PGothic" w:cs="MS PGothic" w:eastAsia="MS PGothic" w:hAnsi="MS PGothic"/>
                <w:sz w:val="13"/>
                <w:szCs w:val="13"/>
                <w:color w:val="auto"/>
              </w:rPr>
              <w:t>☐</w:t>
            </w:r>
          </w:p>
        </w:tc>
        <w:tc>
          <w:tcPr>
            <w:tcW w:w="5240" w:type="dxa"/>
            <w:vAlign w:val="bottom"/>
          </w:tcPr>
          <w:p>
            <w:pPr>
              <w:jc w:val="center"/>
              <w:ind w:right="94"/>
              <w:spacing w:after="0" w:line="134" w:lineRule="exact"/>
              <w:rPr>
                <w:sz w:val="20"/>
                <w:szCs w:val="20"/>
                <w:color w:val="auto"/>
              </w:rPr>
            </w:pPr>
            <w:r>
              <w:rPr>
                <w:rFonts w:ascii="Arial" w:cs="Arial" w:eastAsia="Arial" w:hAnsi="Arial"/>
                <w:sz w:val="13"/>
                <w:szCs w:val="13"/>
                <w:color w:val="auto"/>
              </w:rPr>
              <w:t>by the International Accounting Standards Board</w:t>
            </w:r>
          </w:p>
        </w:tc>
        <w:tc>
          <w:tcPr>
            <w:tcW w:w="1760" w:type="dxa"/>
            <w:vAlign w:val="bottom"/>
            <w:vMerge w:val="restart"/>
          </w:tcPr>
          <w:p>
            <w:pPr>
              <w:ind w:left="1280"/>
              <w:spacing w:after="0" w:line="150" w:lineRule="exact"/>
              <w:rPr>
                <w:sz w:val="20"/>
                <w:szCs w:val="20"/>
                <w:color w:val="auto"/>
              </w:rPr>
            </w:pPr>
            <w:r>
              <w:rPr>
                <w:rFonts w:ascii="Arial" w:cs="Arial" w:eastAsia="Arial" w:hAnsi="Arial"/>
                <w:sz w:val="13"/>
                <w:szCs w:val="13"/>
                <w:color w:val="auto"/>
                <w:w w:val="93"/>
              </w:rPr>
              <w:t xml:space="preserve">Other </w:t>
            </w:r>
            <w:r>
              <w:rPr>
                <w:rFonts w:ascii="MS PGothic" w:cs="MS PGothic" w:eastAsia="MS PGothic" w:hAnsi="MS PGothic"/>
                <w:sz w:val="13"/>
                <w:szCs w:val="13"/>
                <w:color w:val="auto"/>
                <w:w w:val="93"/>
              </w:rPr>
              <w:t>☐</w:t>
            </w:r>
          </w:p>
        </w:tc>
        <w:tc>
          <w:tcPr>
            <w:tcW w:w="0" w:type="dxa"/>
            <w:vAlign w:val="bottom"/>
          </w:tcPr>
          <w:p>
            <w:pPr>
              <w:spacing w:after="0"/>
              <w:rPr>
                <w:sz w:val="1"/>
                <w:szCs w:val="1"/>
                <w:color w:val="auto"/>
              </w:rPr>
            </w:pPr>
          </w:p>
        </w:tc>
      </w:tr>
      <w:tr>
        <w:trPr>
          <w:trHeight w:val="207"/>
        </w:trPr>
        <w:tc>
          <w:tcPr>
            <w:tcW w:w="1920" w:type="dxa"/>
            <w:vAlign w:val="bottom"/>
            <w:vMerge w:val="continue"/>
          </w:tcPr>
          <w:p>
            <w:pPr>
              <w:spacing w:after="0"/>
              <w:rPr>
                <w:sz w:val="18"/>
                <w:szCs w:val="18"/>
                <w:color w:val="auto"/>
              </w:rPr>
            </w:pPr>
          </w:p>
        </w:tc>
        <w:tc>
          <w:tcPr>
            <w:tcW w:w="5240" w:type="dxa"/>
            <w:vAlign w:val="bottom"/>
          </w:tcPr>
          <w:p>
            <w:pPr>
              <w:jc w:val="center"/>
              <w:ind w:right="94"/>
              <w:spacing w:after="0" w:line="131" w:lineRule="exact"/>
              <w:rPr>
                <w:sz w:val="20"/>
                <w:szCs w:val="20"/>
                <w:color w:val="auto"/>
              </w:rPr>
            </w:pPr>
            <w:r>
              <w:rPr>
                <w:rFonts w:ascii="MS PGothic" w:cs="MS PGothic" w:eastAsia="MS PGothic" w:hAnsi="MS PGothic"/>
                <w:sz w:val="13"/>
                <w:szCs w:val="13"/>
                <w:color w:val="auto"/>
                <w:w w:val="91"/>
              </w:rPr>
              <w:t>☒</w:t>
            </w: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registrant has elected to follow.</w:t>
      </w:r>
    </w:p>
    <w:p>
      <w:pPr>
        <w:spacing w:after="0" w:line="29" w:lineRule="exact"/>
        <w:rPr>
          <w:sz w:val="20"/>
          <w:szCs w:val="20"/>
          <w:color w:val="auto"/>
        </w:rPr>
      </w:pPr>
    </w:p>
    <w:p>
      <w:pPr>
        <w:ind w:left="3000"/>
        <w:spacing w:after="0" w:line="150" w:lineRule="exact"/>
        <w:tabs>
          <w:tab w:leader="none" w:pos="5360" w:val="left"/>
        </w:tabs>
        <w:rPr>
          <w:sz w:val="20"/>
          <w:szCs w:val="20"/>
          <w:color w:val="auto"/>
        </w:rPr>
      </w:pPr>
      <w:r>
        <w:rPr>
          <w:rFonts w:ascii="Arial" w:cs="Arial" w:eastAsia="Arial" w:hAnsi="Arial"/>
          <w:sz w:val="13"/>
          <w:szCs w:val="13"/>
          <w:color w:val="auto"/>
        </w:rPr>
        <w:t xml:space="preserve">Item 17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Item 18 </w:t>
      </w:r>
      <w:r>
        <w:rPr>
          <w:rFonts w:ascii="MS PGothic" w:cs="MS PGothic" w:eastAsia="MS PGothic" w:hAnsi="MS PGothic"/>
          <w:sz w:val="12"/>
          <w:szCs w:val="12"/>
          <w:color w:val="auto"/>
        </w:rPr>
        <w: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12b-2 of the Exchange Act).</w:t>
      </w:r>
    </w:p>
    <w:p>
      <w:pPr>
        <w:spacing w:after="0" w:line="84" w:lineRule="exact"/>
        <w:rPr>
          <w:sz w:val="20"/>
          <w:szCs w:val="20"/>
          <w:color w:val="auto"/>
        </w:rPr>
      </w:pPr>
    </w:p>
    <w:p>
      <w:pPr>
        <w:ind w:left="3240"/>
        <w:spacing w:after="0" w:line="150" w:lineRule="exact"/>
        <w:tabs>
          <w:tab w:leader="none" w:pos="5360" w:val="left"/>
        </w:tabs>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704850</wp:posOffset>
            </wp:positionV>
            <wp:extent cx="568198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1980" cy="209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142875</wp:posOffset>
            </wp:positionV>
            <wp:extent cx="56819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1980" cy="698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177800</wp:posOffset>
            </wp:positionV>
            <wp:extent cx="568198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1980" cy="2794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OF CONTENTS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920" w:type="dxa"/>
            <w:vAlign w:val="bottom"/>
            <w:tcBorders>
              <w:bottom w:val="single" w:sz="8" w:color="0000EE"/>
            </w:tcBorders>
            <w:gridSpan w:val="8"/>
          </w:tcPr>
          <w:p>
            <w:pPr>
              <w:spacing w:after="0"/>
              <w:rPr>
                <w:sz w:val="20"/>
                <w:szCs w:val="20"/>
                <w:color w:val="auto"/>
              </w:rPr>
            </w:pPr>
            <w:r>
              <w:rPr>
                <w:rFonts w:ascii="Arial" w:cs="Arial" w:eastAsia="Arial" w:hAnsi="Arial"/>
                <w:sz w:val="12"/>
                <w:szCs w:val="12"/>
                <w:color w:val="0000EE"/>
              </w:rPr>
              <w:t>INTRODUCTION</w:t>
            </w:r>
          </w:p>
        </w:tc>
        <w:tc>
          <w:tcPr>
            <w:tcW w:w="8040" w:type="dxa"/>
            <w:vAlign w:val="bottom"/>
            <w:gridSpan w:val="55"/>
          </w:tcPr>
          <w:p>
            <w:pPr>
              <w:jc w:val="right"/>
              <w:ind w:right="7966"/>
              <w:spacing w:after="0"/>
              <w:rPr>
                <w:sz w:val="20"/>
                <w:szCs w:val="20"/>
                <w:color w:val="auto"/>
              </w:rPr>
            </w:pPr>
            <w:r>
              <w:rPr>
                <w:rFonts w:ascii="Arial" w:cs="Arial" w:eastAsia="Arial" w:hAnsi="Arial"/>
                <w:sz w:val="15"/>
                <w:szCs w:val="15"/>
                <w:color w:val="auto"/>
              </w:rPr>
              <w:t>3</w:t>
            </w:r>
          </w:p>
        </w:tc>
      </w:tr>
      <w:tr>
        <w:trPr>
          <w:trHeight w:val="146"/>
        </w:trPr>
        <w:tc>
          <w:tcPr>
            <w:tcW w:w="20" w:type="dxa"/>
            <w:vAlign w:val="bottom"/>
            <w:tcBorders>
              <w:bottom w:val="single" w:sz="8" w:color="0000EE"/>
            </w:tcBorders>
          </w:tcPr>
          <w:p>
            <w:pPr>
              <w:spacing w:after="0"/>
              <w:rPr>
                <w:sz w:val="12"/>
                <w:szCs w:val="12"/>
                <w:color w:val="auto"/>
              </w:rPr>
            </w:pPr>
          </w:p>
        </w:tc>
        <w:tc>
          <w:tcPr>
            <w:tcW w:w="4260" w:type="dxa"/>
            <w:vAlign w:val="bottom"/>
            <w:tcBorders>
              <w:bottom w:val="single" w:sz="8" w:color="0000EE"/>
            </w:tcBorders>
            <w:gridSpan w:val="57"/>
          </w:tcPr>
          <w:p>
            <w:pPr>
              <w:spacing w:after="0" w:line="135" w:lineRule="exact"/>
              <w:rPr>
                <w:sz w:val="20"/>
                <w:szCs w:val="20"/>
                <w:color w:val="auto"/>
              </w:rPr>
            </w:pPr>
            <w:r>
              <w:rPr>
                <w:rFonts w:ascii="Arial" w:cs="Arial" w:eastAsia="Arial" w:hAnsi="Arial"/>
                <w:sz w:val="12"/>
                <w:szCs w:val="12"/>
                <w:color w:val="0000EE"/>
                <w:w w:val="96"/>
              </w:rPr>
              <w:t>CAUTIONARY STATEMENT REGARDING FORWARD-LOOKING STATEMENTS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4</w:t>
            </w:r>
          </w:p>
        </w:tc>
      </w:tr>
      <w:tr>
        <w:trPr>
          <w:trHeight w:val="146"/>
        </w:trPr>
        <w:tc>
          <w:tcPr>
            <w:tcW w:w="38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rPr>
              <w:t>PART I</w:t>
            </w:r>
          </w:p>
        </w:tc>
        <w:tc>
          <w:tcPr>
            <w:tcW w:w="8580" w:type="dxa"/>
            <w:vAlign w:val="bottom"/>
            <w:gridSpan w:val="61"/>
          </w:tcPr>
          <w:p>
            <w:pPr>
              <w:jc w:val="right"/>
              <w:ind w:right="8506"/>
              <w:spacing w:after="0"/>
              <w:rPr>
                <w:sz w:val="20"/>
                <w:szCs w:val="20"/>
                <w:color w:val="auto"/>
              </w:rPr>
            </w:pPr>
            <w:r>
              <w:rPr>
                <w:rFonts w:ascii="Arial" w:cs="Arial" w:eastAsia="Arial" w:hAnsi="Arial"/>
                <w:sz w:val="15"/>
                <w:szCs w:val="15"/>
                <w:color w:val="auto"/>
              </w:rPr>
              <w:t>6</w:t>
            </w:r>
          </w:p>
        </w:tc>
      </w:tr>
      <w:tr>
        <w:trPr>
          <w:trHeight w:val="146"/>
        </w:trPr>
        <w:tc>
          <w:tcPr>
            <w:tcW w:w="20" w:type="dxa"/>
            <w:vAlign w:val="bottom"/>
            <w:tcBorders>
              <w:bottom w:val="single" w:sz="8" w:color="0000EE"/>
            </w:tcBorders>
          </w:tcPr>
          <w:p>
            <w:pPr>
              <w:spacing w:after="0"/>
              <w:rPr>
                <w:sz w:val="12"/>
                <w:szCs w:val="12"/>
                <w:color w:val="auto"/>
              </w:rPr>
            </w:pPr>
          </w:p>
        </w:tc>
        <w:tc>
          <w:tcPr>
            <w:tcW w:w="420" w:type="dxa"/>
            <w:vAlign w:val="bottom"/>
            <w:tcBorders>
              <w:bottom w:val="single" w:sz="8" w:color="0000EE"/>
            </w:tcBorders>
            <w:gridSpan w:val="3"/>
          </w:tcPr>
          <w:p>
            <w:pPr>
              <w:spacing w:after="0" w:line="135" w:lineRule="exact"/>
              <w:rPr>
                <w:sz w:val="20"/>
                <w:szCs w:val="20"/>
                <w:color w:val="auto"/>
              </w:rPr>
            </w:pPr>
            <w:r>
              <w:rPr>
                <w:rFonts w:ascii="Arial" w:cs="Arial" w:eastAsia="Arial" w:hAnsi="Arial"/>
                <w:sz w:val="12"/>
                <w:szCs w:val="12"/>
                <w:color w:val="0000EE"/>
                <w:w w:val="95"/>
              </w:rPr>
              <w:t>ITEM 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60" w:type="dxa"/>
            <w:vAlign w:val="bottom"/>
            <w:tcBorders>
              <w:bottom w:val="single" w:sz="8" w:color="0000EE"/>
            </w:tcBorders>
            <w:gridSpan w:val="51"/>
          </w:tcPr>
          <w:p>
            <w:pPr>
              <w:spacing w:after="0" w:line="135" w:lineRule="exact"/>
              <w:rPr>
                <w:sz w:val="20"/>
                <w:szCs w:val="20"/>
                <w:color w:val="auto"/>
              </w:rPr>
            </w:pPr>
            <w:r>
              <w:rPr>
                <w:rFonts w:ascii="Arial" w:cs="Arial" w:eastAsia="Arial" w:hAnsi="Arial"/>
                <w:sz w:val="12"/>
                <w:szCs w:val="12"/>
                <w:color w:val="0000EE"/>
                <w:w w:val="97"/>
              </w:rPr>
              <w:t>IDENTITY OF DIRECTORS, SENIOR MANAGEMENT AND ADVISERS</w:t>
            </w: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6</w:t>
            </w:r>
          </w:p>
        </w:tc>
      </w:tr>
      <w:tr>
        <w:trPr>
          <w:trHeight w:val="146"/>
        </w:trPr>
        <w:tc>
          <w:tcPr>
            <w:tcW w:w="20" w:type="dxa"/>
            <w:vAlign w:val="bottom"/>
            <w:tcBorders>
              <w:bottom w:val="single" w:sz="8" w:color="0000EE"/>
            </w:tcBorders>
          </w:tcPr>
          <w:p>
            <w:pPr>
              <w:spacing w:after="0"/>
              <w:rPr>
                <w:sz w:val="12"/>
                <w:szCs w:val="12"/>
                <w:color w:val="auto"/>
              </w:rPr>
            </w:pPr>
          </w:p>
        </w:tc>
        <w:tc>
          <w:tcPr>
            <w:tcW w:w="420" w:type="dxa"/>
            <w:vAlign w:val="bottom"/>
            <w:tcBorders>
              <w:bottom w:val="single" w:sz="8" w:color="0000EE"/>
            </w:tcBorders>
            <w:gridSpan w:val="3"/>
          </w:tcPr>
          <w:p>
            <w:pPr>
              <w:spacing w:after="0" w:line="135" w:lineRule="exact"/>
              <w:rPr>
                <w:sz w:val="20"/>
                <w:szCs w:val="20"/>
                <w:color w:val="auto"/>
              </w:rPr>
            </w:pPr>
            <w:r>
              <w:rPr>
                <w:rFonts w:ascii="Arial" w:cs="Arial" w:eastAsia="Arial" w:hAnsi="Arial"/>
                <w:sz w:val="12"/>
                <w:szCs w:val="12"/>
                <w:color w:val="0000EE"/>
                <w:w w:val="95"/>
              </w:rPr>
              <w:t>ITEM 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tcBorders>
              <w:bottom w:val="single" w:sz="8" w:color="0000EE"/>
            </w:tcBorders>
            <w:gridSpan w:val="45"/>
          </w:tcPr>
          <w:p>
            <w:pPr>
              <w:spacing w:after="0" w:line="135" w:lineRule="exact"/>
              <w:rPr>
                <w:sz w:val="20"/>
                <w:szCs w:val="20"/>
                <w:color w:val="auto"/>
              </w:rPr>
            </w:pPr>
            <w:r>
              <w:rPr>
                <w:rFonts w:ascii="Arial" w:cs="Arial" w:eastAsia="Arial" w:hAnsi="Arial"/>
                <w:sz w:val="12"/>
                <w:szCs w:val="12"/>
                <w:color w:val="0000EE"/>
                <w:w w:val="96"/>
              </w:rPr>
              <w:t>OFFER STATISTICS AND EXPECTED TIMETABLE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6</w:t>
            </w:r>
          </w:p>
        </w:tc>
      </w:tr>
      <w:tr>
        <w:trPr>
          <w:trHeight w:val="146"/>
        </w:trPr>
        <w:tc>
          <w:tcPr>
            <w:tcW w:w="2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0"/>
              </w:rPr>
              <w:t>ITEM 3.</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bottom w:val="single" w:sz="8" w:color="0000EE"/>
            </w:tcBorders>
            <w:gridSpan w:val="11"/>
          </w:tcPr>
          <w:p>
            <w:pPr>
              <w:spacing w:after="0" w:line="135" w:lineRule="exact"/>
              <w:rPr>
                <w:sz w:val="20"/>
                <w:szCs w:val="20"/>
                <w:color w:val="auto"/>
              </w:rPr>
            </w:pPr>
            <w:r>
              <w:rPr>
                <w:rFonts w:ascii="Arial" w:cs="Arial" w:eastAsia="Arial" w:hAnsi="Arial"/>
                <w:sz w:val="12"/>
                <w:szCs w:val="12"/>
                <w:color w:val="0000EE"/>
                <w:w w:val="95"/>
              </w:rPr>
              <w:t>KEY INFORMATION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6</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A.</w:t>
            </w:r>
          </w:p>
        </w:tc>
        <w:tc>
          <w:tcPr>
            <w:tcW w:w="500" w:type="dxa"/>
            <w:vAlign w:val="bottom"/>
            <w:tcBorders>
              <w:bottom w:val="single" w:sz="8" w:color="0000EE"/>
            </w:tcBorders>
            <w:gridSpan w:val="5"/>
          </w:tcPr>
          <w:p>
            <w:pPr>
              <w:spacing w:after="0" w:line="135" w:lineRule="exact"/>
              <w:rPr>
                <w:sz w:val="20"/>
                <w:szCs w:val="20"/>
                <w:color w:val="auto"/>
              </w:rPr>
            </w:pPr>
            <w:r>
              <w:rPr>
                <w:rFonts w:ascii="Arial" w:cs="Arial" w:eastAsia="Arial" w:hAnsi="Arial"/>
                <w:sz w:val="12"/>
                <w:szCs w:val="12"/>
                <w:color w:val="0000EE"/>
                <w:w w:val="93"/>
              </w:rPr>
              <w:t>Reserved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6</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B.</w:t>
            </w:r>
          </w:p>
        </w:tc>
        <w:tc>
          <w:tcPr>
            <w:tcW w:w="1720" w:type="dxa"/>
            <w:vAlign w:val="bottom"/>
            <w:tcBorders>
              <w:bottom w:val="single" w:sz="8" w:color="0000EE"/>
            </w:tcBorders>
            <w:gridSpan w:val="38"/>
          </w:tcPr>
          <w:p>
            <w:pPr>
              <w:spacing w:after="0" w:line="135" w:lineRule="exact"/>
              <w:rPr>
                <w:sz w:val="20"/>
                <w:szCs w:val="20"/>
                <w:color w:val="auto"/>
              </w:rPr>
            </w:pPr>
            <w:r>
              <w:rPr>
                <w:rFonts w:ascii="Arial" w:cs="Arial" w:eastAsia="Arial" w:hAnsi="Arial"/>
                <w:sz w:val="12"/>
                <w:szCs w:val="12"/>
                <w:color w:val="0000EE"/>
                <w:w w:val="99"/>
              </w:rPr>
              <w:t>Capitalization and Indebtedness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6</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C.</w:t>
            </w:r>
          </w:p>
        </w:tc>
        <w:tc>
          <w:tcPr>
            <w:tcW w:w="2260" w:type="dxa"/>
            <w:vAlign w:val="bottom"/>
            <w:tcBorders>
              <w:bottom w:val="single" w:sz="8" w:color="0000EE"/>
            </w:tcBorders>
            <w:gridSpan w:val="43"/>
          </w:tcPr>
          <w:p>
            <w:pPr>
              <w:spacing w:after="0" w:line="135" w:lineRule="exact"/>
              <w:rPr>
                <w:sz w:val="20"/>
                <w:szCs w:val="20"/>
                <w:color w:val="auto"/>
              </w:rPr>
            </w:pPr>
            <w:r>
              <w:rPr>
                <w:rFonts w:ascii="Arial" w:cs="Arial" w:eastAsia="Arial" w:hAnsi="Arial"/>
                <w:sz w:val="12"/>
                <w:szCs w:val="12"/>
                <w:color w:val="0000EE"/>
                <w:w w:val="97"/>
              </w:rPr>
              <w:t>Reasons for the Offer and Use of Proceeds</w:t>
            </w:r>
          </w:p>
        </w:tc>
        <w:tc>
          <w:tcPr>
            <w:tcW w:w="6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6</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D.</w:t>
            </w:r>
          </w:p>
        </w:tc>
        <w:tc>
          <w:tcPr>
            <w:tcW w:w="660" w:type="dxa"/>
            <w:vAlign w:val="bottom"/>
            <w:tcBorders>
              <w:bottom w:val="single" w:sz="8" w:color="0000EE"/>
            </w:tcBorders>
            <w:gridSpan w:val="7"/>
          </w:tcPr>
          <w:p>
            <w:pPr>
              <w:spacing w:after="0" w:line="135" w:lineRule="exact"/>
              <w:rPr>
                <w:sz w:val="20"/>
                <w:szCs w:val="20"/>
                <w:color w:val="auto"/>
              </w:rPr>
            </w:pPr>
            <w:r>
              <w:rPr>
                <w:rFonts w:ascii="Arial" w:cs="Arial" w:eastAsia="Arial" w:hAnsi="Arial"/>
                <w:sz w:val="12"/>
                <w:szCs w:val="12"/>
                <w:color w:val="0000EE"/>
                <w:w w:val="95"/>
              </w:rPr>
              <w:t>Risk Factors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6</w:t>
            </w:r>
          </w:p>
        </w:tc>
      </w:tr>
      <w:tr>
        <w:trPr>
          <w:trHeight w:val="146"/>
        </w:trPr>
        <w:tc>
          <w:tcPr>
            <w:tcW w:w="2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0"/>
              </w:rPr>
              <w:t>ITEM 4.</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Borders>
              <w:bottom w:val="single" w:sz="8" w:color="0000EE"/>
            </w:tcBorders>
            <w:gridSpan w:val="36"/>
          </w:tcPr>
          <w:p>
            <w:pPr>
              <w:spacing w:after="0" w:line="135" w:lineRule="exact"/>
              <w:rPr>
                <w:sz w:val="20"/>
                <w:szCs w:val="20"/>
                <w:color w:val="auto"/>
              </w:rPr>
            </w:pPr>
            <w:r>
              <w:rPr>
                <w:rFonts w:ascii="Arial" w:cs="Arial" w:eastAsia="Arial" w:hAnsi="Arial"/>
                <w:sz w:val="12"/>
                <w:szCs w:val="12"/>
                <w:color w:val="0000EE"/>
                <w:w w:val="96"/>
              </w:rPr>
              <w:t>INFORMATION ON THE COMPANY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37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A.</w:t>
            </w:r>
          </w:p>
        </w:tc>
        <w:tc>
          <w:tcPr>
            <w:tcW w:w="2200" w:type="dxa"/>
            <w:vAlign w:val="bottom"/>
            <w:tcBorders>
              <w:bottom w:val="single" w:sz="8" w:color="0000EE"/>
            </w:tcBorders>
            <w:gridSpan w:val="42"/>
          </w:tcPr>
          <w:p>
            <w:pPr>
              <w:spacing w:after="0" w:line="135" w:lineRule="exact"/>
              <w:rPr>
                <w:sz w:val="20"/>
                <w:szCs w:val="20"/>
                <w:color w:val="auto"/>
              </w:rPr>
            </w:pPr>
            <w:r>
              <w:rPr>
                <w:rFonts w:ascii="Arial" w:cs="Arial" w:eastAsia="Arial" w:hAnsi="Arial"/>
                <w:sz w:val="12"/>
                <w:szCs w:val="12"/>
                <w:color w:val="0000EE"/>
                <w:w w:val="97"/>
              </w:rPr>
              <w:t>History and Development of the Company</w:t>
            </w:r>
          </w:p>
        </w:tc>
        <w:tc>
          <w:tcPr>
            <w:tcW w:w="6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37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B.</w:t>
            </w:r>
          </w:p>
        </w:tc>
        <w:tc>
          <w:tcPr>
            <w:tcW w:w="1040" w:type="dxa"/>
            <w:vAlign w:val="bottom"/>
            <w:tcBorders>
              <w:bottom w:val="single" w:sz="8" w:color="0000EE"/>
            </w:tcBorders>
            <w:gridSpan w:val="18"/>
          </w:tcPr>
          <w:p>
            <w:pPr>
              <w:spacing w:after="0" w:line="135" w:lineRule="exact"/>
              <w:rPr>
                <w:sz w:val="20"/>
                <w:szCs w:val="20"/>
                <w:color w:val="auto"/>
              </w:rPr>
            </w:pPr>
            <w:r>
              <w:rPr>
                <w:rFonts w:ascii="Arial" w:cs="Arial" w:eastAsia="Arial" w:hAnsi="Arial"/>
                <w:sz w:val="12"/>
                <w:szCs w:val="12"/>
                <w:color w:val="0000EE"/>
                <w:w w:val="99"/>
              </w:rPr>
              <w:t>Business Overview</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39</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C.</w:t>
            </w:r>
          </w:p>
        </w:tc>
        <w:tc>
          <w:tcPr>
            <w:tcW w:w="1240" w:type="dxa"/>
            <w:vAlign w:val="bottom"/>
            <w:tcBorders>
              <w:bottom w:val="single" w:sz="8" w:color="0000EE"/>
            </w:tcBorders>
            <w:gridSpan w:val="26"/>
          </w:tcPr>
          <w:p>
            <w:pPr>
              <w:spacing w:after="0" w:line="135" w:lineRule="exact"/>
              <w:rPr>
                <w:sz w:val="20"/>
                <w:szCs w:val="20"/>
                <w:color w:val="auto"/>
              </w:rPr>
            </w:pPr>
            <w:r>
              <w:rPr>
                <w:rFonts w:ascii="Arial" w:cs="Arial" w:eastAsia="Arial" w:hAnsi="Arial"/>
                <w:sz w:val="12"/>
                <w:szCs w:val="12"/>
                <w:color w:val="0000EE"/>
              </w:rPr>
              <w:t>Organization Structure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57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D.</w:t>
            </w:r>
          </w:p>
        </w:tc>
        <w:tc>
          <w:tcPr>
            <w:tcW w:w="1600" w:type="dxa"/>
            <w:vAlign w:val="bottom"/>
            <w:tcBorders>
              <w:bottom w:val="single" w:sz="8" w:color="0000EE"/>
            </w:tcBorders>
            <w:gridSpan w:val="34"/>
          </w:tcPr>
          <w:p>
            <w:pPr>
              <w:spacing w:after="0" w:line="135" w:lineRule="exact"/>
              <w:rPr>
                <w:sz w:val="20"/>
                <w:szCs w:val="20"/>
                <w:color w:val="auto"/>
              </w:rPr>
            </w:pPr>
            <w:r>
              <w:rPr>
                <w:rFonts w:ascii="Arial" w:cs="Arial" w:eastAsia="Arial" w:hAnsi="Arial"/>
                <w:sz w:val="12"/>
                <w:szCs w:val="12"/>
                <w:color w:val="0000EE"/>
                <w:w w:val="96"/>
              </w:rPr>
              <w:t>Property, Plant and Equipment</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58</w:t>
            </w:r>
          </w:p>
        </w:tc>
      </w:tr>
      <w:tr>
        <w:trPr>
          <w:trHeight w:val="146"/>
        </w:trPr>
        <w:tc>
          <w:tcPr>
            <w:tcW w:w="20" w:type="dxa"/>
            <w:vAlign w:val="bottom"/>
            <w:tcBorders>
              <w:bottom w:val="single" w:sz="8" w:color="0000EE"/>
            </w:tcBorders>
          </w:tcPr>
          <w:p>
            <w:pPr>
              <w:spacing w:after="0"/>
              <w:rPr>
                <w:sz w:val="12"/>
                <w:szCs w:val="12"/>
                <w:color w:val="auto"/>
              </w:rPr>
            </w:pPr>
          </w:p>
        </w:tc>
        <w:tc>
          <w:tcPr>
            <w:tcW w:w="500" w:type="dxa"/>
            <w:vAlign w:val="bottom"/>
            <w:tcBorders>
              <w:bottom w:val="single" w:sz="8" w:color="0000EE"/>
            </w:tcBorders>
            <w:gridSpan w:val="6"/>
          </w:tcPr>
          <w:p>
            <w:pPr>
              <w:spacing w:after="0" w:line="135" w:lineRule="exact"/>
              <w:rPr>
                <w:sz w:val="20"/>
                <w:szCs w:val="20"/>
                <w:color w:val="auto"/>
              </w:rPr>
            </w:pPr>
            <w:r>
              <w:rPr>
                <w:rFonts w:ascii="Arial" w:cs="Arial" w:eastAsia="Arial" w:hAnsi="Arial"/>
                <w:sz w:val="12"/>
                <w:szCs w:val="12"/>
                <w:color w:val="0000EE"/>
                <w:w w:val="95"/>
              </w:rPr>
              <w:t>ITEM 4A.</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tcBorders>
              <w:bottom w:val="single" w:sz="8" w:color="0000EE"/>
            </w:tcBorders>
            <w:gridSpan w:val="37"/>
          </w:tcPr>
          <w:p>
            <w:pPr>
              <w:spacing w:after="0" w:line="135" w:lineRule="exact"/>
              <w:rPr>
                <w:sz w:val="20"/>
                <w:szCs w:val="20"/>
                <w:color w:val="auto"/>
              </w:rPr>
            </w:pPr>
            <w:r>
              <w:rPr>
                <w:rFonts w:ascii="Arial" w:cs="Arial" w:eastAsia="Arial" w:hAnsi="Arial"/>
                <w:sz w:val="12"/>
                <w:szCs w:val="12"/>
                <w:color w:val="0000EE"/>
                <w:w w:val="97"/>
              </w:rPr>
              <w:t>UNRESOLVED STAFF COMMENTS</w:t>
            </w: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58</w:t>
            </w:r>
          </w:p>
        </w:tc>
      </w:tr>
      <w:tr>
        <w:trPr>
          <w:trHeight w:val="146"/>
        </w:trPr>
        <w:tc>
          <w:tcPr>
            <w:tcW w:w="2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0"/>
              </w:rPr>
              <w:t>ITEM 5.</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tcBorders>
              <w:bottom w:val="single" w:sz="8" w:color="0000EE"/>
            </w:tcBorders>
            <w:gridSpan w:val="47"/>
          </w:tcPr>
          <w:p>
            <w:pPr>
              <w:spacing w:after="0" w:line="135" w:lineRule="exact"/>
              <w:rPr>
                <w:sz w:val="20"/>
                <w:szCs w:val="20"/>
                <w:color w:val="auto"/>
              </w:rPr>
            </w:pPr>
            <w:r>
              <w:rPr>
                <w:rFonts w:ascii="Arial" w:cs="Arial" w:eastAsia="Arial" w:hAnsi="Arial"/>
                <w:sz w:val="12"/>
                <w:szCs w:val="12"/>
                <w:color w:val="0000EE"/>
                <w:w w:val="97"/>
              </w:rPr>
              <w:t>OPERATING AND FINANCIAL REVIEW AND PROSPECTS</w:t>
            </w: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58</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A.</w:t>
            </w:r>
          </w:p>
        </w:tc>
        <w:tc>
          <w:tcPr>
            <w:tcW w:w="960" w:type="dxa"/>
            <w:vAlign w:val="bottom"/>
            <w:tcBorders>
              <w:bottom w:val="single" w:sz="8" w:color="0000EE"/>
            </w:tcBorders>
            <w:gridSpan w:val="14"/>
          </w:tcPr>
          <w:p>
            <w:pPr>
              <w:spacing w:after="0" w:line="135" w:lineRule="exact"/>
              <w:rPr>
                <w:sz w:val="20"/>
                <w:szCs w:val="20"/>
                <w:color w:val="auto"/>
              </w:rPr>
            </w:pPr>
            <w:r>
              <w:rPr>
                <w:rFonts w:ascii="Arial" w:cs="Arial" w:eastAsia="Arial" w:hAnsi="Arial"/>
                <w:sz w:val="12"/>
                <w:szCs w:val="12"/>
                <w:color w:val="0000EE"/>
                <w:w w:val="97"/>
              </w:rPr>
              <w:t>Operating Results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58</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B.</w:t>
            </w:r>
          </w:p>
        </w:tc>
        <w:tc>
          <w:tcPr>
            <w:tcW w:w="1700" w:type="dxa"/>
            <w:vAlign w:val="bottom"/>
            <w:tcBorders>
              <w:bottom w:val="single" w:sz="8" w:color="0000EE"/>
            </w:tcBorders>
            <w:gridSpan w:val="37"/>
          </w:tcPr>
          <w:p>
            <w:pPr>
              <w:spacing w:after="0" w:line="135" w:lineRule="exact"/>
              <w:rPr>
                <w:sz w:val="20"/>
                <w:szCs w:val="20"/>
                <w:color w:val="auto"/>
              </w:rPr>
            </w:pPr>
            <w:r>
              <w:rPr>
                <w:rFonts w:ascii="Arial" w:cs="Arial" w:eastAsia="Arial" w:hAnsi="Arial"/>
                <w:sz w:val="12"/>
                <w:szCs w:val="12"/>
                <w:color w:val="0000EE"/>
                <w:w w:val="99"/>
              </w:rPr>
              <w:t>Liquidity and Capital Resources</w:t>
            </w: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77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C.</w:t>
            </w:r>
          </w:p>
        </w:tc>
        <w:tc>
          <w:tcPr>
            <w:tcW w:w="1960" w:type="dxa"/>
            <w:vAlign w:val="bottom"/>
            <w:tcBorders>
              <w:bottom w:val="single" w:sz="8" w:color="0000EE"/>
            </w:tcBorders>
            <w:gridSpan w:val="40"/>
          </w:tcPr>
          <w:p>
            <w:pPr>
              <w:spacing w:after="0" w:line="135" w:lineRule="exact"/>
              <w:rPr>
                <w:sz w:val="20"/>
                <w:szCs w:val="20"/>
                <w:color w:val="auto"/>
              </w:rPr>
            </w:pPr>
            <w:r>
              <w:rPr>
                <w:rFonts w:ascii="Arial" w:cs="Arial" w:eastAsia="Arial" w:hAnsi="Arial"/>
                <w:sz w:val="12"/>
                <w:szCs w:val="12"/>
                <w:color w:val="0000EE"/>
                <w:w w:val="97"/>
              </w:rPr>
              <w:t>Research and Development Activities</w:t>
            </w:r>
          </w:p>
        </w:tc>
        <w:tc>
          <w:tcPr>
            <w:tcW w:w="180" w:type="dxa"/>
            <w:vAlign w:val="bottom"/>
          </w:tcPr>
          <w:p>
            <w:pPr>
              <w:spacing w:after="0"/>
              <w:rPr>
                <w:sz w:val="12"/>
                <w:szCs w:val="12"/>
                <w:color w:val="auto"/>
              </w:rPr>
            </w:pPr>
          </w:p>
        </w:tc>
        <w:tc>
          <w:tcPr>
            <w:tcW w:w="72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83</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D.</w:t>
            </w:r>
          </w:p>
        </w:tc>
        <w:tc>
          <w:tcPr>
            <w:tcW w:w="940" w:type="dxa"/>
            <w:vAlign w:val="bottom"/>
            <w:tcBorders>
              <w:bottom w:val="single" w:sz="8" w:color="0000EE"/>
            </w:tcBorders>
            <w:gridSpan w:val="13"/>
          </w:tcPr>
          <w:p>
            <w:pPr>
              <w:spacing w:after="0" w:line="135" w:lineRule="exact"/>
              <w:rPr>
                <w:sz w:val="20"/>
                <w:szCs w:val="20"/>
                <w:color w:val="auto"/>
              </w:rPr>
            </w:pPr>
            <w:r>
              <w:rPr>
                <w:rFonts w:ascii="Arial" w:cs="Arial" w:eastAsia="Arial" w:hAnsi="Arial"/>
                <w:sz w:val="12"/>
                <w:szCs w:val="12"/>
                <w:color w:val="0000EE"/>
                <w:w w:val="97"/>
              </w:rPr>
              <w:t>Trend information</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6"/>
          </w:tcPr>
          <w:p>
            <w:pPr>
              <w:spacing w:after="0"/>
              <w:rPr>
                <w:sz w:val="12"/>
                <w:szCs w:val="12"/>
                <w:color w:val="auto"/>
              </w:rPr>
            </w:pPr>
          </w:p>
        </w:tc>
        <w:tc>
          <w:tcPr>
            <w:tcW w:w="340" w:type="dxa"/>
            <w:vAlign w:val="bottom"/>
            <w:gridSpan w:val="2"/>
          </w:tcPr>
          <w:p>
            <w:pPr>
              <w:spacing w:after="0"/>
              <w:rPr>
                <w:sz w:val="12"/>
                <w:szCs w:val="12"/>
                <w:color w:val="auto"/>
              </w:rPr>
            </w:pPr>
          </w:p>
        </w:tc>
        <w:tc>
          <w:tcPr>
            <w:tcW w:w="72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83</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E.</w:t>
            </w:r>
          </w:p>
        </w:tc>
        <w:tc>
          <w:tcPr>
            <w:tcW w:w="1520" w:type="dxa"/>
            <w:vAlign w:val="bottom"/>
            <w:tcBorders>
              <w:bottom w:val="single" w:sz="8" w:color="0000EE"/>
            </w:tcBorders>
            <w:gridSpan w:val="32"/>
          </w:tcPr>
          <w:p>
            <w:pPr>
              <w:spacing w:after="0" w:line="135" w:lineRule="exact"/>
              <w:rPr>
                <w:sz w:val="20"/>
                <w:szCs w:val="20"/>
                <w:color w:val="auto"/>
              </w:rPr>
            </w:pPr>
            <w:r>
              <w:rPr>
                <w:rFonts w:ascii="Arial" w:cs="Arial" w:eastAsia="Arial" w:hAnsi="Arial"/>
                <w:sz w:val="12"/>
                <w:szCs w:val="12"/>
                <w:color w:val="0000EE"/>
                <w:w w:val="96"/>
              </w:rPr>
              <w:t>Critical Accounting Estimates</w:t>
            </w:r>
          </w:p>
        </w:tc>
        <w:tc>
          <w:tcPr>
            <w:tcW w:w="20" w:type="dxa"/>
            <w:vAlign w:val="bottom"/>
          </w:tcPr>
          <w:p>
            <w:pPr>
              <w:spacing w:after="0"/>
              <w:rPr>
                <w:sz w:val="12"/>
                <w:szCs w:val="12"/>
                <w:color w:val="auto"/>
              </w:rPr>
            </w:pPr>
          </w:p>
        </w:tc>
        <w:tc>
          <w:tcPr>
            <w:tcW w:w="260" w:type="dxa"/>
            <w:vAlign w:val="bottom"/>
            <w:gridSpan w:val="6"/>
          </w:tcPr>
          <w:p>
            <w:pPr>
              <w:spacing w:after="0"/>
              <w:rPr>
                <w:sz w:val="12"/>
                <w:szCs w:val="12"/>
                <w:color w:val="auto"/>
              </w:rPr>
            </w:pPr>
          </w:p>
        </w:tc>
        <w:tc>
          <w:tcPr>
            <w:tcW w:w="340" w:type="dxa"/>
            <w:vAlign w:val="bottom"/>
            <w:gridSpan w:val="2"/>
          </w:tcPr>
          <w:p>
            <w:pPr>
              <w:spacing w:after="0"/>
              <w:rPr>
                <w:sz w:val="12"/>
                <w:szCs w:val="12"/>
                <w:color w:val="auto"/>
              </w:rPr>
            </w:pPr>
          </w:p>
        </w:tc>
        <w:tc>
          <w:tcPr>
            <w:tcW w:w="72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83</w:t>
            </w:r>
          </w:p>
        </w:tc>
      </w:tr>
      <w:tr>
        <w:trPr>
          <w:trHeight w:val="146"/>
        </w:trPr>
        <w:tc>
          <w:tcPr>
            <w:tcW w:w="2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0"/>
              </w:rPr>
              <w:t>ITEM 6.</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tcBorders>
              <w:bottom w:val="single" w:sz="8" w:color="0000EE"/>
            </w:tcBorders>
            <w:gridSpan w:val="46"/>
          </w:tcPr>
          <w:p>
            <w:pPr>
              <w:spacing w:after="0" w:line="135" w:lineRule="exact"/>
              <w:rPr>
                <w:sz w:val="20"/>
                <w:szCs w:val="20"/>
                <w:color w:val="auto"/>
              </w:rPr>
            </w:pPr>
            <w:r>
              <w:rPr>
                <w:rFonts w:ascii="Arial" w:cs="Arial" w:eastAsia="Arial" w:hAnsi="Arial"/>
                <w:sz w:val="12"/>
                <w:szCs w:val="12"/>
                <w:color w:val="0000EE"/>
                <w:w w:val="97"/>
              </w:rPr>
              <w:t>DIRECTORS, SENIOR MANAGEMENT AND EMPLOYEES</w:t>
            </w:r>
          </w:p>
        </w:tc>
        <w:tc>
          <w:tcPr>
            <w:tcW w:w="14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84</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A.</w:t>
            </w:r>
          </w:p>
        </w:tc>
        <w:tc>
          <w:tcPr>
            <w:tcW w:w="1800" w:type="dxa"/>
            <w:vAlign w:val="bottom"/>
            <w:tcBorders>
              <w:bottom w:val="single" w:sz="8" w:color="0000EE"/>
            </w:tcBorders>
            <w:gridSpan w:val="39"/>
          </w:tcPr>
          <w:p>
            <w:pPr>
              <w:spacing w:after="0" w:line="135" w:lineRule="exact"/>
              <w:rPr>
                <w:sz w:val="20"/>
                <w:szCs w:val="20"/>
                <w:color w:val="auto"/>
              </w:rPr>
            </w:pPr>
            <w:r>
              <w:rPr>
                <w:rFonts w:ascii="Arial" w:cs="Arial" w:eastAsia="Arial" w:hAnsi="Arial"/>
                <w:sz w:val="12"/>
                <w:szCs w:val="12"/>
                <w:color w:val="0000EE"/>
                <w:w w:val="97"/>
              </w:rPr>
              <w:t>Directors and Senior Management</w:t>
            </w:r>
          </w:p>
        </w:tc>
        <w:tc>
          <w:tcPr>
            <w:tcW w:w="340" w:type="dxa"/>
            <w:vAlign w:val="bottom"/>
            <w:gridSpan w:val="2"/>
          </w:tcPr>
          <w:p>
            <w:pPr>
              <w:spacing w:after="0"/>
              <w:rPr>
                <w:sz w:val="12"/>
                <w:szCs w:val="12"/>
                <w:color w:val="auto"/>
              </w:rPr>
            </w:pPr>
          </w:p>
        </w:tc>
        <w:tc>
          <w:tcPr>
            <w:tcW w:w="860" w:type="dxa"/>
            <w:vAlign w:val="bottom"/>
            <w:gridSpan w:val="6"/>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84</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B.</w:t>
            </w:r>
          </w:p>
        </w:tc>
        <w:tc>
          <w:tcPr>
            <w:tcW w:w="760" w:type="dxa"/>
            <w:vAlign w:val="bottom"/>
            <w:tcBorders>
              <w:bottom w:val="single" w:sz="8" w:color="0000EE"/>
            </w:tcBorders>
            <w:gridSpan w:val="9"/>
          </w:tcPr>
          <w:p>
            <w:pPr>
              <w:spacing w:after="0" w:line="135" w:lineRule="exact"/>
              <w:rPr>
                <w:sz w:val="20"/>
                <w:szCs w:val="20"/>
                <w:color w:val="auto"/>
              </w:rPr>
            </w:pPr>
            <w:r>
              <w:rPr>
                <w:rFonts w:ascii="Arial" w:cs="Arial" w:eastAsia="Arial" w:hAnsi="Arial"/>
                <w:sz w:val="12"/>
                <w:szCs w:val="12"/>
                <w:color w:val="0000EE"/>
                <w:w w:val="95"/>
              </w:rPr>
              <w:t>Compensation</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00" w:type="dxa"/>
            <w:vAlign w:val="bottom"/>
            <w:gridSpan w:val="8"/>
          </w:tcPr>
          <w:p>
            <w:pPr>
              <w:spacing w:after="0"/>
              <w:rPr>
                <w:sz w:val="12"/>
                <w:szCs w:val="12"/>
                <w:color w:val="auto"/>
              </w:rPr>
            </w:pPr>
          </w:p>
        </w:tc>
        <w:tc>
          <w:tcPr>
            <w:tcW w:w="860" w:type="dxa"/>
            <w:vAlign w:val="bottom"/>
            <w:gridSpan w:val="6"/>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87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C.</w:t>
            </w:r>
          </w:p>
        </w:tc>
        <w:tc>
          <w:tcPr>
            <w:tcW w:w="840" w:type="dxa"/>
            <w:vAlign w:val="bottom"/>
            <w:tcBorders>
              <w:bottom w:val="single" w:sz="8" w:color="0000EE"/>
            </w:tcBorders>
            <w:gridSpan w:val="11"/>
          </w:tcPr>
          <w:p>
            <w:pPr>
              <w:spacing w:after="0" w:line="135" w:lineRule="exact"/>
              <w:rPr>
                <w:sz w:val="20"/>
                <w:szCs w:val="20"/>
                <w:color w:val="auto"/>
              </w:rPr>
            </w:pPr>
            <w:r>
              <w:rPr>
                <w:rFonts w:ascii="Arial" w:cs="Arial" w:eastAsia="Arial" w:hAnsi="Arial"/>
                <w:sz w:val="12"/>
                <w:szCs w:val="12"/>
                <w:color w:val="0000EE"/>
                <w:w w:val="96"/>
              </w:rPr>
              <w:t>Board Practices</w:t>
            </w: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00" w:type="dxa"/>
            <w:vAlign w:val="bottom"/>
            <w:gridSpan w:val="8"/>
          </w:tcPr>
          <w:p>
            <w:pPr>
              <w:spacing w:after="0"/>
              <w:rPr>
                <w:sz w:val="12"/>
                <w:szCs w:val="12"/>
                <w:color w:val="auto"/>
              </w:rPr>
            </w:pPr>
          </w:p>
        </w:tc>
        <w:tc>
          <w:tcPr>
            <w:tcW w:w="860" w:type="dxa"/>
            <w:vAlign w:val="bottom"/>
            <w:gridSpan w:val="6"/>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96</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D.</w:t>
            </w:r>
          </w:p>
        </w:tc>
        <w:tc>
          <w:tcPr>
            <w:tcW w:w="580" w:type="dxa"/>
            <w:vAlign w:val="bottom"/>
            <w:tcBorders>
              <w:bottom w:val="single" w:sz="8" w:color="0000EE"/>
            </w:tcBorders>
            <w:gridSpan w:val="6"/>
          </w:tcPr>
          <w:p>
            <w:pPr>
              <w:spacing w:after="0" w:line="135" w:lineRule="exact"/>
              <w:rPr>
                <w:sz w:val="20"/>
                <w:szCs w:val="20"/>
                <w:color w:val="auto"/>
              </w:rPr>
            </w:pPr>
            <w:r>
              <w:rPr>
                <w:rFonts w:ascii="Arial" w:cs="Arial" w:eastAsia="Arial" w:hAnsi="Arial"/>
                <w:sz w:val="12"/>
                <w:szCs w:val="12"/>
                <w:color w:val="0000EE"/>
                <w:w w:val="94"/>
              </w:rPr>
              <w:t>Employees</w:t>
            </w:r>
          </w:p>
        </w:tc>
        <w:tc>
          <w:tcPr>
            <w:tcW w:w="140" w:type="dxa"/>
            <w:vAlign w:val="bottom"/>
            <w:gridSpan w:val="2"/>
          </w:tcPr>
          <w:p>
            <w:pPr>
              <w:spacing w:after="0"/>
              <w:rPr>
                <w:sz w:val="12"/>
                <w:szCs w:val="12"/>
                <w:color w:val="auto"/>
              </w:rPr>
            </w:pPr>
          </w:p>
        </w:tc>
        <w:tc>
          <w:tcPr>
            <w:tcW w:w="20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00" w:type="dxa"/>
            <w:vAlign w:val="bottom"/>
            <w:gridSpan w:val="8"/>
          </w:tcPr>
          <w:p>
            <w:pPr>
              <w:spacing w:after="0"/>
              <w:rPr>
                <w:sz w:val="12"/>
                <w:szCs w:val="12"/>
                <w:color w:val="auto"/>
              </w:rPr>
            </w:pPr>
          </w:p>
        </w:tc>
        <w:tc>
          <w:tcPr>
            <w:tcW w:w="860" w:type="dxa"/>
            <w:vAlign w:val="bottom"/>
            <w:gridSpan w:val="6"/>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99</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E.</w:t>
            </w:r>
          </w:p>
        </w:tc>
        <w:tc>
          <w:tcPr>
            <w:tcW w:w="920" w:type="dxa"/>
            <w:vAlign w:val="bottom"/>
            <w:tcBorders>
              <w:bottom w:val="single" w:sz="8" w:color="0000EE"/>
            </w:tcBorders>
            <w:gridSpan w:val="12"/>
          </w:tcPr>
          <w:p>
            <w:pPr>
              <w:spacing w:after="0" w:line="135" w:lineRule="exact"/>
              <w:rPr>
                <w:sz w:val="20"/>
                <w:szCs w:val="20"/>
                <w:color w:val="auto"/>
              </w:rPr>
            </w:pPr>
            <w:r>
              <w:rPr>
                <w:rFonts w:ascii="Arial" w:cs="Arial" w:eastAsia="Arial" w:hAnsi="Arial"/>
                <w:sz w:val="12"/>
                <w:szCs w:val="12"/>
                <w:color w:val="0000EE"/>
                <w:w w:val="97"/>
              </w:rPr>
              <w:t>Share Ownership</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00" w:type="dxa"/>
            <w:vAlign w:val="bottom"/>
            <w:gridSpan w:val="8"/>
          </w:tcPr>
          <w:p>
            <w:pPr>
              <w:spacing w:after="0"/>
              <w:rPr>
                <w:sz w:val="12"/>
                <w:szCs w:val="12"/>
                <w:color w:val="auto"/>
              </w:rPr>
            </w:pPr>
          </w:p>
        </w:tc>
        <w:tc>
          <w:tcPr>
            <w:tcW w:w="860" w:type="dxa"/>
            <w:vAlign w:val="bottom"/>
            <w:gridSpan w:val="6"/>
          </w:tcPr>
          <w:p>
            <w:pPr>
              <w:spacing w:after="0"/>
              <w:rPr>
                <w:sz w:val="12"/>
                <w:szCs w:val="12"/>
                <w:color w:val="auto"/>
              </w:rPr>
            </w:pPr>
          </w:p>
        </w:tc>
        <w:tc>
          <w:tcPr>
            <w:tcW w:w="3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101</w:t>
            </w:r>
          </w:p>
        </w:tc>
      </w:tr>
      <w:tr>
        <w:trPr>
          <w:trHeight w:val="146"/>
        </w:trPr>
        <w:tc>
          <w:tcPr>
            <w:tcW w:w="2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0"/>
              </w:rPr>
              <w:t>ITEM 7.</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3640" w:type="dxa"/>
            <w:vAlign w:val="bottom"/>
            <w:tcBorders>
              <w:bottom w:val="single" w:sz="8" w:color="0000EE"/>
            </w:tcBorders>
            <w:gridSpan w:val="50"/>
          </w:tcPr>
          <w:p>
            <w:pPr>
              <w:spacing w:after="0" w:line="135" w:lineRule="exact"/>
              <w:rPr>
                <w:sz w:val="20"/>
                <w:szCs w:val="20"/>
                <w:color w:val="auto"/>
              </w:rPr>
            </w:pPr>
            <w:r>
              <w:rPr>
                <w:rFonts w:ascii="Arial" w:cs="Arial" w:eastAsia="Arial" w:hAnsi="Arial"/>
                <w:sz w:val="12"/>
                <w:szCs w:val="12"/>
                <w:color w:val="0000EE"/>
                <w:w w:val="97"/>
              </w:rPr>
              <w:t>MAJOR SHAREHOLDERS AND RELATED PARTY TRANSACTIONS</w:t>
            </w:r>
          </w:p>
        </w:tc>
        <w:tc>
          <w:tcPr>
            <w:tcW w:w="34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101</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A.</w:t>
            </w:r>
          </w:p>
        </w:tc>
        <w:tc>
          <w:tcPr>
            <w:tcW w:w="1060" w:type="dxa"/>
            <w:vAlign w:val="bottom"/>
            <w:tcBorders>
              <w:bottom w:val="single" w:sz="8" w:color="0000EE"/>
            </w:tcBorders>
            <w:gridSpan w:val="19"/>
          </w:tcPr>
          <w:p>
            <w:pPr>
              <w:spacing w:after="0" w:line="135" w:lineRule="exact"/>
              <w:rPr>
                <w:sz w:val="20"/>
                <w:szCs w:val="20"/>
                <w:color w:val="auto"/>
              </w:rPr>
            </w:pPr>
            <w:r>
              <w:rPr>
                <w:rFonts w:ascii="Arial" w:cs="Arial" w:eastAsia="Arial" w:hAnsi="Arial"/>
                <w:sz w:val="12"/>
                <w:szCs w:val="12"/>
                <w:color w:val="0000EE"/>
                <w:w w:val="99"/>
              </w:rPr>
              <w:t>Major Shareholders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00" w:type="dxa"/>
            <w:vAlign w:val="bottom"/>
            <w:gridSpan w:val="8"/>
          </w:tcPr>
          <w:p>
            <w:pPr>
              <w:spacing w:after="0"/>
              <w:rPr>
                <w:sz w:val="12"/>
                <w:szCs w:val="12"/>
                <w:color w:val="auto"/>
              </w:rPr>
            </w:pPr>
          </w:p>
        </w:tc>
        <w:tc>
          <w:tcPr>
            <w:tcW w:w="860" w:type="dxa"/>
            <w:vAlign w:val="bottom"/>
            <w:gridSpan w:val="6"/>
          </w:tcPr>
          <w:p>
            <w:pPr>
              <w:spacing w:after="0"/>
              <w:rPr>
                <w:sz w:val="12"/>
                <w:szCs w:val="12"/>
                <w:color w:val="auto"/>
              </w:rPr>
            </w:pPr>
          </w:p>
        </w:tc>
        <w:tc>
          <w:tcPr>
            <w:tcW w:w="720" w:type="dxa"/>
            <w:vAlign w:val="bottom"/>
            <w:gridSpan w:val="4"/>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101</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B.</w:t>
            </w:r>
          </w:p>
        </w:tc>
        <w:tc>
          <w:tcPr>
            <w:tcW w:w="1420" w:type="dxa"/>
            <w:vAlign w:val="bottom"/>
            <w:tcBorders>
              <w:bottom w:val="single" w:sz="8" w:color="0000EE"/>
            </w:tcBorders>
            <w:gridSpan w:val="31"/>
          </w:tcPr>
          <w:p>
            <w:pPr>
              <w:spacing w:after="0" w:line="135" w:lineRule="exact"/>
              <w:rPr>
                <w:sz w:val="20"/>
                <w:szCs w:val="20"/>
                <w:color w:val="auto"/>
              </w:rPr>
            </w:pPr>
            <w:r>
              <w:rPr>
                <w:rFonts w:ascii="Arial" w:cs="Arial" w:eastAsia="Arial" w:hAnsi="Arial"/>
                <w:sz w:val="12"/>
                <w:szCs w:val="12"/>
                <w:color w:val="0000EE"/>
                <w:w w:val="96"/>
              </w:rPr>
              <w:t>Related-Party Transactions</w:t>
            </w:r>
          </w:p>
        </w:tc>
        <w:tc>
          <w:tcPr>
            <w:tcW w:w="120" w:type="dxa"/>
            <w:vAlign w:val="bottom"/>
            <w:gridSpan w:val="2"/>
          </w:tcPr>
          <w:p>
            <w:pPr>
              <w:spacing w:after="0"/>
              <w:rPr>
                <w:sz w:val="12"/>
                <w:szCs w:val="12"/>
                <w:color w:val="auto"/>
              </w:rPr>
            </w:pPr>
          </w:p>
        </w:tc>
        <w:tc>
          <w:tcPr>
            <w:tcW w:w="600" w:type="dxa"/>
            <w:vAlign w:val="bottom"/>
            <w:gridSpan w:val="8"/>
          </w:tcPr>
          <w:p>
            <w:pPr>
              <w:spacing w:after="0"/>
              <w:rPr>
                <w:sz w:val="12"/>
                <w:szCs w:val="12"/>
                <w:color w:val="auto"/>
              </w:rPr>
            </w:pPr>
          </w:p>
        </w:tc>
        <w:tc>
          <w:tcPr>
            <w:tcW w:w="860" w:type="dxa"/>
            <w:vAlign w:val="bottom"/>
            <w:gridSpan w:val="6"/>
          </w:tcPr>
          <w:p>
            <w:pPr>
              <w:spacing w:after="0"/>
              <w:rPr>
                <w:sz w:val="12"/>
                <w:szCs w:val="12"/>
                <w:color w:val="auto"/>
              </w:rPr>
            </w:pPr>
          </w:p>
        </w:tc>
        <w:tc>
          <w:tcPr>
            <w:tcW w:w="720" w:type="dxa"/>
            <w:vAlign w:val="bottom"/>
            <w:gridSpan w:val="4"/>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103</w:t>
            </w:r>
          </w:p>
        </w:tc>
      </w:tr>
      <w:tr>
        <w:trPr>
          <w:trHeight w:val="146"/>
        </w:trPr>
        <w:tc>
          <w:tcPr>
            <w:tcW w:w="2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0"/>
              </w:rPr>
              <w:t>ITEM 8.</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Borders>
              <w:bottom w:val="single" w:sz="8" w:color="0000EE"/>
            </w:tcBorders>
            <w:gridSpan w:val="29"/>
          </w:tcPr>
          <w:p>
            <w:pPr>
              <w:spacing w:after="0" w:line="135" w:lineRule="exact"/>
              <w:rPr>
                <w:sz w:val="20"/>
                <w:szCs w:val="20"/>
                <w:color w:val="auto"/>
              </w:rPr>
            </w:pPr>
            <w:r>
              <w:rPr>
                <w:rFonts w:ascii="Arial" w:cs="Arial" w:eastAsia="Arial" w:hAnsi="Arial"/>
                <w:sz w:val="12"/>
                <w:szCs w:val="12"/>
                <w:color w:val="0000EE"/>
              </w:rPr>
              <w:t>FINANCIAL INFORMATION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860" w:type="dxa"/>
            <w:vAlign w:val="bottom"/>
            <w:gridSpan w:val="6"/>
          </w:tcPr>
          <w:p>
            <w:pPr>
              <w:spacing w:after="0"/>
              <w:rPr>
                <w:sz w:val="12"/>
                <w:szCs w:val="12"/>
                <w:color w:val="auto"/>
              </w:rPr>
            </w:pPr>
          </w:p>
        </w:tc>
        <w:tc>
          <w:tcPr>
            <w:tcW w:w="720" w:type="dxa"/>
            <w:vAlign w:val="bottom"/>
            <w:gridSpan w:val="4"/>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106</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A.</w:t>
            </w:r>
          </w:p>
        </w:tc>
        <w:tc>
          <w:tcPr>
            <w:tcW w:w="3000" w:type="dxa"/>
            <w:vAlign w:val="bottom"/>
            <w:tcBorders>
              <w:bottom w:val="single" w:sz="8" w:color="0000EE"/>
            </w:tcBorders>
            <w:gridSpan w:val="47"/>
          </w:tcPr>
          <w:p>
            <w:pPr>
              <w:spacing w:after="0" w:line="135" w:lineRule="exact"/>
              <w:rPr>
                <w:sz w:val="20"/>
                <w:szCs w:val="20"/>
                <w:color w:val="auto"/>
              </w:rPr>
            </w:pPr>
            <w:r>
              <w:rPr>
                <w:rFonts w:ascii="Arial" w:cs="Arial" w:eastAsia="Arial" w:hAnsi="Arial"/>
                <w:sz w:val="12"/>
                <w:szCs w:val="12"/>
                <w:color w:val="0000EE"/>
                <w:w w:val="97"/>
              </w:rPr>
              <w:t>Consolidated Statements and Other Financial Information</w:t>
            </w:r>
          </w:p>
        </w:tc>
        <w:tc>
          <w:tcPr>
            <w:tcW w:w="720" w:type="dxa"/>
            <w:vAlign w:val="bottom"/>
            <w:gridSpan w:val="4"/>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106</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B.</w:t>
            </w:r>
          </w:p>
        </w:tc>
        <w:tc>
          <w:tcPr>
            <w:tcW w:w="20" w:type="dxa"/>
            <w:vAlign w:val="bottom"/>
          </w:tcPr>
          <w:p>
            <w:pPr>
              <w:spacing w:after="0"/>
              <w:rPr>
                <w:sz w:val="12"/>
                <w:szCs w:val="12"/>
                <w:color w:val="auto"/>
              </w:rPr>
            </w:pPr>
          </w:p>
        </w:tc>
        <w:tc>
          <w:tcPr>
            <w:tcW w:w="1060" w:type="dxa"/>
            <w:vAlign w:val="bottom"/>
            <w:tcBorders>
              <w:bottom w:val="single" w:sz="8" w:color="0000EE"/>
            </w:tcBorders>
            <w:gridSpan w:val="19"/>
          </w:tcPr>
          <w:p>
            <w:pPr>
              <w:spacing w:after="0" w:line="135" w:lineRule="exact"/>
              <w:rPr>
                <w:sz w:val="20"/>
                <w:szCs w:val="20"/>
                <w:color w:val="auto"/>
              </w:rPr>
            </w:pPr>
            <w:r>
              <w:rPr>
                <w:rFonts w:ascii="Arial" w:cs="Arial" w:eastAsia="Arial" w:hAnsi="Arial"/>
                <w:sz w:val="12"/>
                <w:szCs w:val="12"/>
                <w:color w:val="0000EE"/>
                <w:w w:val="97"/>
              </w:rPr>
              <w:t>Significant Changes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0"/>
              </w:rPr>
              <w:t>ITEM 9.</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Borders>
              <w:bottom w:val="single" w:sz="8" w:color="0000EE"/>
            </w:tcBorders>
            <w:gridSpan w:val="25"/>
          </w:tcPr>
          <w:p>
            <w:pPr>
              <w:spacing w:after="0" w:line="135" w:lineRule="exact"/>
              <w:rPr>
                <w:sz w:val="20"/>
                <w:szCs w:val="20"/>
                <w:color w:val="auto"/>
              </w:rPr>
            </w:pPr>
            <w:r>
              <w:rPr>
                <w:rFonts w:ascii="Arial" w:cs="Arial" w:eastAsia="Arial" w:hAnsi="Arial"/>
                <w:sz w:val="12"/>
                <w:szCs w:val="12"/>
                <w:color w:val="0000EE"/>
                <w:w w:val="98"/>
              </w:rPr>
              <w:t>THE OFFER AND LISTING</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A.</w:t>
            </w:r>
          </w:p>
        </w:tc>
        <w:tc>
          <w:tcPr>
            <w:tcW w:w="1300" w:type="dxa"/>
            <w:vAlign w:val="bottom"/>
            <w:tcBorders>
              <w:bottom w:val="single" w:sz="8" w:color="0000EE"/>
            </w:tcBorders>
            <w:gridSpan w:val="29"/>
          </w:tcPr>
          <w:p>
            <w:pPr>
              <w:spacing w:after="0" w:line="135" w:lineRule="exact"/>
              <w:rPr>
                <w:sz w:val="20"/>
                <w:szCs w:val="20"/>
                <w:color w:val="auto"/>
              </w:rPr>
            </w:pPr>
            <w:r>
              <w:rPr>
                <w:rFonts w:ascii="Arial" w:cs="Arial" w:eastAsia="Arial" w:hAnsi="Arial"/>
                <w:sz w:val="12"/>
                <w:szCs w:val="12"/>
                <w:color w:val="0000EE"/>
                <w:w w:val="99"/>
              </w:rPr>
              <w:t>Offer and Listing Details</w:t>
            </w:r>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B.</w:t>
            </w:r>
          </w:p>
        </w:tc>
        <w:tc>
          <w:tcPr>
            <w:tcW w:w="1000" w:type="dxa"/>
            <w:vAlign w:val="bottom"/>
            <w:tcBorders>
              <w:bottom w:val="single" w:sz="8" w:color="0000EE"/>
            </w:tcBorders>
            <w:gridSpan w:val="16"/>
          </w:tcPr>
          <w:p>
            <w:pPr>
              <w:spacing w:after="0" w:line="135" w:lineRule="exact"/>
              <w:rPr>
                <w:sz w:val="20"/>
                <w:szCs w:val="20"/>
                <w:color w:val="auto"/>
              </w:rPr>
            </w:pPr>
            <w:r>
              <w:rPr>
                <w:rFonts w:ascii="Arial" w:cs="Arial" w:eastAsia="Arial" w:hAnsi="Arial"/>
                <w:sz w:val="12"/>
                <w:szCs w:val="12"/>
                <w:color w:val="0000EE"/>
                <w:w w:val="97"/>
              </w:rPr>
              <w:t>Plan of Distribution</w:t>
            </w: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C.</w:t>
            </w:r>
          </w:p>
        </w:tc>
        <w:tc>
          <w:tcPr>
            <w:tcW w:w="420" w:type="dxa"/>
            <w:vAlign w:val="bottom"/>
            <w:tcBorders>
              <w:bottom w:val="single" w:sz="8" w:color="0000EE"/>
            </w:tcBorders>
            <w:gridSpan w:val="3"/>
          </w:tcPr>
          <w:p>
            <w:pPr>
              <w:spacing w:after="0" w:line="135" w:lineRule="exact"/>
              <w:rPr>
                <w:sz w:val="20"/>
                <w:szCs w:val="20"/>
                <w:color w:val="auto"/>
              </w:rPr>
            </w:pPr>
            <w:r>
              <w:rPr>
                <w:rFonts w:ascii="Arial" w:cs="Arial" w:eastAsia="Arial" w:hAnsi="Arial"/>
                <w:sz w:val="12"/>
                <w:szCs w:val="12"/>
                <w:color w:val="0000EE"/>
                <w:w w:val="93"/>
              </w:rPr>
              <w:t>Markets</w:t>
            </w:r>
          </w:p>
        </w:tc>
        <w:tc>
          <w:tcPr>
            <w:tcW w:w="20" w:type="dxa"/>
            <w:vAlign w:val="bottom"/>
          </w:tcPr>
          <w:p>
            <w:pPr>
              <w:spacing w:after="0"/>
              <w:rPr>
                <w:sz w:val="12"/>
                <w:szCs w:val="12"/>
                <w:color w:val="auto"/>
              </w:rPr>
            </w:pPr>
          </w:p>
        </w:tc>
        <w:tc>
          <w:tcPr>
            <w:tcW w:w="280" w:type="dxa"/>
            <w:vAlign w:val="bottom"/>
            <w:gridSpan w:val="4"/>
          </w:tcPr>
          <w:p>
            <w:pPr>
              <w:spacing w:after="0"/>
              <w:rPr>
                <w:sz w:val="12"/>
                <w:szCs w:val="12"/>
                <w:color w:val="auto"/>
              </w:rPr>
            </w:pPr>
          </w:p>
        </w:tc>
        <w:tc>
          <w:tcPr>
            <w:tcW w:w="26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D.</w:t>
            </w:r>
          </w:p>
        </w:tc>
        <w:tc>
          <w:tcPr>
            <w:tcW w:w="1100" w:type="dxa"/>
            <w:vAlign w:val="bottom"/>
            <w:tcBorders>
              <w:bottom w:val="single" w:sz="8" w:color="0000EE"/>
            </w:tcBorders>
            <w:gridSpan w:val="21"/>
          </w:tcPr>
          <w:p>
            <w:pPr>
              <w:spacing w:after="0" w:line="135" w:lineRule="exact"/>
              <w:rPr>
                <w:sz w:val="20"/>
                <w:szCs w:val="20"/>
                <w:color w:val="auto"/>
              </w:rPr>
            </w:pPr>
            <w:r>
              <w:rPr>
                <w:rFonts w:ascii="Arial" w:cs="Arial" w:eastAsia="Arial" w:hAnsi="Arial"/>
                <w:sz w:val="12"/>
                <w:szCs w:val="12"/>
                <w:color w:val="0000EE"/>
                <w:w w:val="97"/>
              </w:rPr>
              <w:t>Selling Shareholders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E.</w:t>
            </w:r>
          </w:p>
        </w:tc>
        <w:tc>
          <w:tcPr>
            <w:tcW w:w="4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4"/>
              </w:rPr>
              <w:t>Dilution</w:t>
            </w:r>
          </w:p>
        </w:tc>
        <w:tc>
          <w:tcPr>
            <w:tcW w:w="40" w:type="dxa"/>
            <w:vAlign w:val="bottom"/>
            <w:gridSpan w:val="2"/>
          </w:tcPr>
          <w:p>
            <w:pPr>
              <w:spacing w:after="0"/>
              <w:rPr>
                <w:sz w:val="12"/>
                <w:szCs w:val="12"/>
                <w:color w:val="auto"/>
              </w:rPr>
            </w:pPr>
          </w:p>
        </w:tc>
        <w:tc>
          <w:tcPr>
            <w:tcW w:w="280" w:type="dxa"/>
            <w:vAlign w:val="bottom"/>
            <w:gridSpan w:val="4"/>
          </w:tcPr>
          <w:p>
            <w:pPr>
              <w:spacing w:after="0"/>
              <w:rPr>
                <w:sz w:val="12"/>
                <w:szCs w:val="12"/>
                <w:color w:val="auto"/>
              </w:rPr>
            </w:pPr>
          </w:p>
        </w:tc>
        <w:tc>
          <w:tcPr>
            <w:tcW w:w="26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F.</w:t>
            </w:r>
          </w:p>
        </w:tc>
        <w:tc>
          <w:tcPr>
            <w:tcW w:w="1160" w:type="dxa"/>
            <w:vAlign w:val="bottom"/>
            <w:tcBorders>
              <w:bottom w:val="single" w:sz="8" w:color="0000EE"/>
            </w:tcBorders>
            <w:gridSpan w:val="22"/>
          </w:tcPr>
          <w:p>
            <w:pPr>
              <w:spacing w:after="0" w:line="135" w:lineRule="exact"/>
              <w:rPr>
                <w:sz w:val="20"/>
                <w:szCs w:val="20"/>
                <w:color w:val="auto"/>
              </w:rPr>
            </w:pPr>
            <w:r>
              <w:rPr>
                <w:rFonts w:ascii="Arial" w:cs="Arial" w:eastAsia="Arial" w:hAnsi="Arial"/>
                <w:sz w:val="12"/>
                <w:szCs w:val="12"/>
                <w:color w:val="0000EE"/>
                <w:w w:val="96"/>
              </w:rPr>
              <w:t>Expenses of the Issue</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480" w:type="dxa"/>
            <w:vAlign w:val="bottom"/>
            <w:tcBorders>
              <w:bottom w:val="single" w:sz="8" w:color="0000EE"/>
            </w:tcBorders>
            <w:gridSpan w:val="5"/>
          </w:tcPr>
          <w:p>
            <w:pPr>
              <w:spacing w:after="0" w:line="135" w:lineRule="exact"/>
              <w:rPr>
                <w:sz w:val="20"/>
                <w:szCs w:val="20"/>
                <w:color w:val="auto"/>
              </w:rPr>
            </w:pPr>
            <w:r>
              <w:rPr>
                <w:rFonts w:ascii="Arial" w:cs="Arial" w:eastAsia="Arial" w:hAnsi="Arial"/>
                <w:sz w:val="12"/>
                <w:szCs w:val="12"/>
                <w:color w:val="0000EE"/>
                <w:w w:val="94"/>
              </w:rPr>
              <w:t>ITEM 10.</w:t>
            </w:r>
          </w:p>
        </w:tc>
        <w:tc>
          <w:tcPr>
            <w:tcW w:w="4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Borders>
              <w:bottom w:val="single" w:sz="8" w:color="0000EE"/>
            </w:tcBorders>
            <w:gridSpan w:val="31"/>
          </w:tcPr>
          <w:p>
            <w:pPr>
              <w:spacing w:after="0" w:line="135" w:lineRule="exact"/>
              <w:rPr>
                <w:sz w:val="20"/>
                <w:szCs w:val="20"/>
                <w:color w:val="auto"/>
              </w:rPr>
            </w:pPr>
            <w:r>
              <w:rPr>
                <w:rFonts w:ascii="Arial" w:cs="Arial" w:eastAsia="Arial" w:hAnsi="Arial"/>
                <w:sz w:val="12"/>
                <w:szCs w:val="12"/>
                <w:color w:val="0000EE"/>
                <w:w w:val="97"/>
              </w:rPr>
              <w:t>ADDITIONAL INFORMATION</w:t>
            </w:r>
          </w:p>
        </w:tc>
        <w:tc>
          <w:tcPr>
            <w:tcW w:w="220" w:type="dxa"/>
            <w:vAlign w:val="bottom"/>
            <w:gridSpan w:val="3"/>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A.</w:t>
            </w:r>
          </w:p>
        </w:tc>
        <w:tc>
          <w:tcPr>
            <w:tcW w:w="720" w:type="dxa"/>
            <w:vAlign w:val="bottom"/>
            <w:tcBorders>
              <w:bottom w:val="single" w:sz="8" w:color="0000EE"/>
            </w:tcBorders>
            <w:gridSpan w:val="8"/>
          </w:tcPr>
          <w:p>
            <w:pPr>
              <w:spacing w:after="0" w:line="135" w:lineRule="exact"/>
              <w:rPr>
                <w:sz w:val="20"/>
                <w:szCs w:val="20"/>
                <w:color w:val="auto"/>
              </w:rPr>
            </w:pPr>
            <w:r>
              <w:rPr>
                <w:rFonts w:ascii="Arial" w:cs="Arial" w:eastAsia="Arial" w:hAnsi="Arial"/>
                <w:sz w:val="12"/>
                <w:szCs w:val="12"/>
                <w:color w:val="0000EE"/>
                <w:w w:val="96"/>
              </w:rPr>
              <w:t>Share Capital</w:t>
            </w:r>
          </w:p>
        </w:tc>
        <w:tc>
          <w:tcPr>
            <w:tcW w:w="26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gridSpan w:val="6"/>
          </w:tcPr>
          <w:p>
            <w:pPr>
              <w:spacing w:after="0"/>
              <w:rPr>
                <w:sz w:val="12"/>
                <w:szCs w:val="12"/>
                <w:color w:val="auto"/>
              </w:rPr>
            </w:pPr>
          </w:p>
        </w:tc>
        <w:tc>
          <w:tcPr>
            <w:tcW w:w="600" w:type="dxa"/>
            <w:vAlign w:val="bottom"/>
            <w:gridSpan w:val="8"/>
          </w:tcPr>
          <w:p>
            <w:pPr>
              <w:spacing w:after="0"/>
              <w:rPr>
                <w:sz w:val="12"/>
                <w:szCs w:val="12"/>
                <w:color w:val="auto"/>
              </w:rPr>
            </w:pP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B.</w:t>
            </w:r>
          </w:p>
        </w:tc>
        <w:tc>
          <w:tcPr>
            <w:tcW w:w="2140" w:type="dxa"/>
            <w:vAlign w:val="bottom"/>
            <w:tcBorders>
              <w:bottom w:val="single" w:sz="8" w:color="0000EE"/>
            </w:tcBorders>
            <w:gridSpan w:val="41"/>
          </w:tcPr>
          <w:p>
            <w:pPr>
              <w:spacing w:after="0" w:line="135" w:lineRule="exact"/>
              <w:rPr>
                <w:sz w:val="20"/>
                <w:szCs w:val="20"/>
                <w:color w:val="auto"/>
              </w:rPr>
            </w:pPr>
            <w:r>
              <w:rPr>
                <w:rFonts w:ascii="Arial" w:cs="Arial" w:eastAsia="Arial" w:hAnsi="Arial"/>
                <w:sz w:val="12"/>
                <w:szCs w:val="12"/>
                <w:color w:val="0000EE"/>
                <w:w w:val="97"/>
              </w:rPr>
              <w:t>Memorandum and Articles of Association</w:t>
            </w:r>
          </w:p>
        </w:tc>
        <w:tc>
          <w:tcPr>
            <w:tcW w:w="1580" w:type="dxa"/>
            <w:vAlign w:val="bottom"/>
            <w:gridSpan w:val="10"/>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C.</w:t>
            </w:r>
          </w:p>
        </w:tc>
        <w:tc>
          <w:tcPr>
            <w:tcW w:w="980" w:type="dxa"/>
            <w:vAlign w:val="bottom"/>
            <w:tcBorders>
              <w:bottom w:val="single" w:sz="8" w:color="0000EE"/>
            </w:tcBorders>
            <w:gridSpan w:val="15"/>
          </w:tcPr>
          <w:p>
            <w:pPr>
              <w:spacing w:after="0" w:line="135" w:lineRule="exact"/>
              <w:rPr>
                <w:sz w:val="20"/>
                <w:szCs w:val="20"/>
                <w:color w:val="auto"/>
              </w:rPr>
            </w:pPr>
            <w:r>
              <w:rPr>
                <w:rFonts w:ascii="Arial" w:cs="Arial" w:eastAsia="Arial" w:hAnsi="Arial"/>
                <w:sz w:val="12"/>
                <w:szCs w:val="12"/>
                <w:color w:val="0000EE"/>
                <w:w w:val="98"/>
              </w:rPr>
              <w:t>Material Contracts</w:t>
            </w:r>
          </w:p>
        </w:tc>
        <w:tc>
          <w:tcPr>
            <w:tcW w:w="4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gridSpan w:val="6"/>
          </w:tcPr>
          <w:p>
            <w:pPr>
              <w:spacing w:after="0"/>
              <w:rPr>
                <w:sz w:val="12"/>
                <w:szCs w:val="12"/>
                <w:color w:val="auto"/>
              </w:rPr>
            </w:pPr>
          </w:p>
        </w:tc>
        <w:tc>
          <w:tcPr>
            <w:tcW w:w="2180" w:type="dxa"/>
            <w:vAlign w:val="bottom"/>
            <w:gridSpan w:val="18"/>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107</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D.</w:t>
            </w:r>
          </w:p>
        </w:tc>
        <w:tc>
          <w:tcPr>
            <w:tcW w:w="1020" w:type="dxa"/>
            <w:vAlign w:val="bottom"/>
            <w:tcBorders>
              <w:bottom w:val="single" w:sz="8" w:color="0000EE"/>
            </w:tcBorders>
            <w:gridSpan w:val="17"/>
          </w:tcPr>
          <w:p>
            <w:pPr>
              <w:spacing w:after="0" w:line="135" w:lineRule="exact"/>
              <w:rPr>
                <w:sz w:val="20"/>
                <w:szCs w:val="20"/>
                <w:color w:val="auto"/>
              </w:rPr>
            </w:pPr>
            <w:r>
              <w:rPr>
                <w:rFonts w:ascii="Arial" w:cs="Arial" w:eastAsia="Arial" w:hAnsi="Arial"/>
                <w:sz w:val="12"/>
                <w:szCs w:val="12"/>
                <w:color w:val="0000EE"/>
                <w:w w:val="98"/>
              </w:rPr>
              <w:t>Exchange Controls</w:t>
            </w:r>
          </w:p>
        </w:tc>
        <w:tc>
          <w:tcPr>
            <w:tcW w:w="16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gridSpan w:val="6"/>
          </w:tcPr>
          <w:p>
            <w:pPr>
              <w:spacing w:after="0"/>
              <w:rPr>
                <w:sz w:val="12"/>
                <w:szCs w:val="12"/>
                <w:color w:val="auto"/>
              </w:rPr>
            </w:pPr>
          </w:p>
        </w:tc>
        <w:tc>
          <w:tcPr>
            <w:tcW w:w="2180" w:type="dxa"/>
            <w:vAlign w:val="bottom"/>
            <w:gridSpan w:val="18"/>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108</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E.</w:t>
            </w:r>
          </w:p>
        </w:tc>
        <w:tc>
          <w:tcPr>
            <w:tcW w:w="44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1"/>
              </w:rPr>
              <w:t>Taxation</w:t>
            </w:r>
          </w:p>
        </w:tc>
        <w:tc>
          <w:tcPr>
            <w:tcW w:w="740" w:type="dxa"/>
            <w:vAlign w:val="bottom"/>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gridSpan w:val="6"/>
          </w:tcPr>
          <w:p>
            <w:pPr>
              <w:spacing w:after="0"/>
              <w:rPr>
                <w:sz w:val="12"/>
                <w:szCs w:val="12"/>
                <w:color w:val="auto"/>
              </w:rPr>
            </w:pPr>
          </w:p>
        </w:tc>
        <w:tc>
          <w:tcPr>
            <w:tcW w:w="2180" w:type="dxa"/>
            <w:vAlign w:val="bottom"/>
            <w:gridSpan w:val="18"/>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108</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F.</w:t>
            </w:r>
          </w:p>
        </w:tc>
        <w:tc>
          <w:tcPr>
            <w:tcW w:w="1540" w:type="dxa"/>
            <w:vAlign w:val="bottom"/>
            <w:tcBorders>
              <w:bottom w:val="single" w:sz="8" w:color="0000EE"/>
            </w:tcBorders>
            <w:gridSpan w:val="33"/>
          </w:tcPr>
          <w:p>
            <w:pPr>
              <w:spacing w:after="0" w:line="135" w:lineRule="exact"/>
              <w:rPr>
                <w:sz w:val="20"/>
                <w:szCs w:val="20"/>
                <w:color w:val="auto"/>
              </w:rPr>
            </w:pPr>
            <w:r>
              <w:rPr>
                <w:rFonts w:ascii="Arial" w:cs="Arial" w:eastAsia="Arial" w:hAnsi="Arial"/>
                <w:sz w:val="12"/>
                <w:szCs w:val="12"/>
                <w:color w:val="0000EE"/>
                <w:w w:val="96"/>
              </w:rPr>
              <w:t>Dividends and Paying Agents</w:t>
            </w:r>
          </w:p>
        </w:tc>
        <w:tc>
          <w:tcPr>
            <w:tcW w:w="2180" w:type="dxa"/>
            <w:vAlign w:val="bottom"/>
            <w:gridSpan w:val="18"/>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113</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G.</w:t>
            </w:r>
          </w:p>
        </w:tc>
        <w:tc>
          <w:tcPr>
            <w:tcW w:w="1260" w:type="dxa"/>
            <w:vAlign w:val="bottom"/>
            <w:tcBorders>
              <w:bottom w:val="single" w:sz="8" w:color="0000EE"/>
            </w:tcBorders>
            <w:gridSpan w:val="27"/>
          </w:tcPr>
          <w:p>
            <w:pPr>
              <w:spacing w:after="0" w:line="135" w:lineRule="exact"/>
              <w:rPr>
                <w:sz w:val="20"/>
                <w:szCs w:val="20"/>
                <w:color w:val="auto"/>
              </w:rPr>
            </w:pPr>
            <w:r>
              <w:rPr>
                <w:rFonts w:ascii="Arial" w:cs="Arial" w:eastAsia="Arial" w:hAnsi="Arial"/>
                <w:sz w:val="12"/>
                <w:szCs w:val="12"/>
                <w:color w:val="0000EE"/>
              </w:rPr>
              <w:t>Statements by Experts</w:t>
            </w:r>
          </w:p>
        </w:tc>
        <w:tc>
          <w:tcPr>
            <w:tcW w:w="2460" w:type="dxa"/>
            <w:vAlign w:val="bottom"/>
            <w:gridSpan w:val="24"/>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113</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H.</w:t>
            </w:r>
          </w:p>
        </w:tc>
        <w:tc>
          <w:tcPr>
            <w:tcW w:w="1220" w:type="dxa"/>
            <w:vAlign w:val="bottom"/>
            <w:tcBorders>
              <w:bottom w:val="single" w:sz="8" w:color="0000EE"/>
            </w:tcBorders>
            <w:gridSpan w:val="25"/>
          </w:tcPr>
          <w:p>
            <w:pPr>
              <w:spacing w:after="0" w:line="135" w:lineRule="exact"/>
              <w:rPr>
                <w:sz w:val="20"/>
                <w:szCs w:val="20"/>
                <w:color w:val="auto"/>
              </w:rPr>
            </w:pPr>
            <w:r>
              <w:rPr>
                <w:rFonts w:ascii="Arial" w:cs="Arial" w:eastAsia="Arial" w:hAnsi="Arial"/>
                <w:sz w:val="12"/>
                <w:szCs w:val="12"/>
                <w:color w:val="0000EE"/>
                <w:w w:val="99"/>
              </w:rPr>
              <w:t>Documents on Display</w:t>
            </w:r>
          </w:p>
        </w:tc>
        <w:tc>
          <w:tcPr>
            <w:tcW w:w="2500" w:type="dxa"/>
            <w:vAlign w:val="bottom"/>
            <w:gridSpan w:val="26"/>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113</w:t>
            </w: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I.</w:t>
            </w:r>
          </w:p>
        </w:tc>
        <w:tc>
          <w:tcPr>
            <w:tcW w:w="1180" w:type="dxa"/>
            <w:vAlign w:val="bottom"/>
            <w:tcBorders>
              <w:bottom w:val="single" w:sz="8" w:color="0000EE"/>
            </w:tcBorders>
            <w:gridSpan w:val="23"/>
          </w:tcPr>
          <w:p>
            <w:pPr>
              <w:spacing w:after="0" w:line="135" w:lineRule="exact"/>
              <w:rPr>
                <w:sz w:val="20"/>
                <w:szCs w:val="20"/>
                <w:color w:val="auto"/>
              </w:rPr>
            </w:pPr>
            <w:r>
              <w:rPr>
                <w:rFonts w:ascii="Arial" w:cs="Arial" w:eastAsia="Arial" w:hAnsi="Arial"/>
                <w:sz w:val="12"/>
                <w:szCs w:val="12"/>
                <w:color w:val="0000EE"/>
                <w:w w:val="97"/>
              </w:rPr>
              <w:t>Subsidiary Information</w:t>
            </w:r>
          </w:p>
        </w:tc>
        <w:tc>
          <w:tcPr>
            <w:tcW w:w="2540" w:type="dxa"/>
            <w:vAlign w:val="bottom"/>
            <w:gridSpan w:val="28"/>
          </w:tcPr>
          <w:p>
            <w:pPr>
              <w:spacing w:after="0"/>
              <w:rPr>
                <w:sz w:val="12"/>
                <w:szCs w:val="12"/>
                <w:color w:val="auto"/>
              </w:rPr>
            </w:pP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114</w:t>
            </w:r>
          </w:p>
        </w:tc>
      </w:tr>
      <w:tr>
        <w:trPr>
          <w:trHeight w:val="146"/>
        </w:trPr>
        <w:tc>
          <w:tcPr>
            <w:tcW w:w="20" w:type="dxa"/>
            <w:vAlign w:val="bottom"/>
          </w:tcPr>
          <w:p>
            <w:pPr>
              <w:spacing w:after="0"/>
              <w:rPr>
                <w:sz w:val="12"/>
                <w:szCs w:val="12"/>
                <w:color w:val="auto"/>
              </w:rPr>
            </w:pPr>
          </w:p>
        </w:tc>
        <w:tc>
          <w:tcPr>
            <w:tcW w:w="46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0"/>
              </w:rPr>
              <w:t>ITEM 11.</w:t>
            </w:r>
          </w:p>
        </w:tc>
        <w:tc>
          <w:tcPr>
            <w:tcW w:w="4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3980" w:type="dxa"/>
            <w:vAlign w:val="bottom"/>
            <w:tcBorders>
              <w:bottom w:val="single" w:sz="8" w:color="0000EE"/>
            </w:tcBorders>
            <w:gridSpan w:val="52"/>
          </w:tcPr>
          <w:p>
            <w:pPr>
              <w:spacing w:after="0" w:line="135" w:lineRule="exact"/>
              <w:rPr>
                <w:sz w:val="20"/>
                <w:szCs w:val="20"/>
                <w:color w:val="auto"/>
              </w:rPr>
            </w:pPr>
            <w:r>
              <w:rPr>
                <w:rFonts w:ascii="Arial" w:cs="Arial" w:eastAsia="Arial" w:hAnsi="Arial"/>
                <w:sz w:val="12"/>
                <w:szCs w:val="12"/>
                <w:color w:val="0000EE"/>
                <w:w w:val="97"/>
              </w:rPr>
              <w:t>QUANTITATIVE AND QUALITATIVE DISCLOSURE ABOUT MARKET RISK</w:t>
            </w:r>
          </w:p>
        </w:tc>
        <w:tc>
          <w:tcPr>
            <w:tcW w:w="1860" w:type="dxa"/>
            <w:vAlign w:val="bottom"/>
          </w:tcPr>
          <w:p>
            <w:pPr>
              <w:spacing w:after="0"/>
              <w:rPr>
                <w:sz w:val="12"/>
                <w:szCs w:val="12"/>
                <w:color w:val="auto"/>
              </w:rPr>
            </w:pPr>
          </w:p>
        </w:tc>
        <w:tc>
          <w:tcPr>
            <w:tcW w:w="2140" w:type="dxa"/>
            <w:vAlign w:val="bottom"/>
          </w:tcPr>
          <w:p>
            <w:pPr>
              <w:jc w:val="right"/>
              <w:spacing w:after="0" w:line="146" w:lineRule="exact"/>
              <w:rPr>
                <w:sz w:val="20"/>
                <w:szCs w:val="20"/>
                <w:color w:val="auto"/>
              </w:rPr>
            </w:pPr>
            <w:r>
              <w:rPr>
                <w:rFonts w:ascii="Arial" w:cs="Arial" w:eastAsia="Arial" w:hAnsi="Arial"/>
                <w:sz w:val="15"/>
                <w:szCs w:val="15"/>
                <w:color w:val="auto"/>
              </w:rPr>
              <w:t>114</w:t>
            </w:r>
          </w:p>
        </w:tc>
      </w:tr>
      <w:tr>
        <w:trPr>
          <w:trHeight w:val="5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49"/>
          </w:tcPr>
          <w:p>
            <w:pPr>
              <w:ind w:left="3200"/>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43"/>
        </w:trPr>
        <w:tc>
          <w:tcPr>
            <w:tcW w:w="8960" w:type="dxa"/>
            <w:vAlign w:val="bottom"/>
            <w:tcBorders>
              <w:bottom w:val="single" w:sz="8" w:color="auto"/>
            </w:tcBorders>
            <w:gridSpan w:val="63"/>
          </w:tcPr>
          <w:p>
            <w:pPr>
              <w:spacing w:after="0"/>
              <w:rPr>
                <w:sz w:val="24"/>
                <w:szCs w:val="24"/>
                <w:color w:val="auto"/>
              </w:rPr>
            </w:pPr>
          </w:p>
        </w:tc>
      </w:tr>
    </w:tbl>
    <w:p>
      <w:pPr>
        <w:sectPr>
          <w:pgSz w:w="11900" w:h="16838" w:orient="portrait"/>
          <w:cols w:equalWidth="0" w:num="1">
            <w:col w:w="9019"/>
          </w:cols>
          <w:pgMar w:left="1440" w:top="446"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0" w:type="dxa"/>
            <w:vAlign w:val="bottom"/>
            <w:tcBorders>
              <w:bottom w:val="single" w:sz="8" w:color="0000EE"/>
            </w:tcBorders>
          </w:tcPr>
          <w:p>
            <w:pPr>
              <w:spacing w:after="0"/>
              <w:rPr>
                <w:sz w:val="15"/>
                <w:szCs w:val="15"/>
                <w:color w:val="auto"/>
              </w:rPr>
            </w:pPr>
          </w:p>
        </w:tc>
        <w:tc>
          <w:tcPr>
            <w:tcW w:w="480" w:type="dxa"/>
            <w:vAlign w:val="bottom"/>
            <w:tcBorders>
              <w:bottom w:val="single" w:sz="8" w:color="0000EE"/>
            </w:tcBorders>
            <w:gridSpan w:val="3"/>
          </w:tcPr>
          <w:p>
            <w:pPr>
              <w:spacing w:after="0"/>
              <w:rPr>
                <w:sz w:val="20"/>
                <w:szCs w:val="20"/>
                <w:color w:val="auto"/>
              </w:rPr>
            </w:pPr>
            <w:r>
              <w:rPr>
                <w:rFonts w:ascii="Arial" w:cs="Arial" w:eastAsia="Arial" w:hAnsi="Arial"/>
                <w:sz w:val="12"/>
                <w:szCs w:val="12"/>
                <w:color w:val="0000EE"/>
                <w:w w:val="94"/>
              </w:rPr>
              <w:t>ITEM 12.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tcBorders>
              <w:bottom w:val="single" w:sz="8" w:color="0000EE"/>
            </w:tcBorders>
            <w:gridSpan w:val="12"/>
          </w:tcPr>
          <w:p>
            <w:pPr>
              <w:spacing w:after="0"/>
              <w:rPr>
                <w:sz w:val="20"/>
                <w:szCs w:val="20"/>
                <w:color w:val="auto"/>
              </w:rPr>
            </w:pPr>
            <w:r>
              <w:rPr>
                <w:rFonts w:ascii="Arial" w:cs="Arial" w:eastAsia="Arial" w:hAnsi="Arial"/>
                <w:sz w:val="12"/>
                <w:szCs w:val="12"/>
                <w:color w:val="0000EE"/>
                <w:w w:val="97"/>
              </w:rPr>
              <w:t>DESCRIPTION OF SECURITIES OTHER THAN EQUITY SECURITIES</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146"/>
        </w:trPr>
        <w:tc>
          <w:tcPr>
            <w:tcW w:w="20" w:type="dxa"/>
            <w:vAlign w:val="bottom"/>
            <w:tcBorders>
              <w:bottom w:val="single" w:sz="8" w:color="0000EE"/>
            </w:tcBorders>
          </w:tcPr>
          <w:p>
            <w:pPr>
              <w:spacing w:after="0"/>
              <w:rPr>
                <w:sz w:val="12"/>
                <w:szCs w:val="12"/>
                <w:color w:val="auto"/>
              </w:rPr>
            </w:pPr>
          </w:p>
        </w:tc>
        <w:tc>
          <w:tcPr>
            <w:tcW w:w="400" w:type="dxa"/>
            <w:vAlign w:val="bottom"/>
            <w:tcBorders>
              <w:bottom w:val="single" w:sz="8" w:color="0000EE"/>
            </w:tcBorders>
          </w:tcPr>
          <w:p>
            <w:pPr>
              <w:spacing w:after="0" w:line="135" w:lineRule="exact"/>
              <w:rPr>
                <w:sz w:val="20"/>
                <w:szCs w:val="20"/>
                <w:color w:val="auto"/>
              </w:rPr>
            </w:pPr>
            <w:r>
              <w:rPr>
                <w:rFonts w:ascii="Arial" w:cs="Arial" w:eastAsia="Arial" w:hAnsi="Arial"/>
                <w:sz w:val="12"/>
                <w:szCs w:val="12"/>
                <w:color w:val="0000EE"/>
                <w:w w:val="90"/>
              </w:rPr>
              <w:t>PART II</w:t>
            </w: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114</w:t>
            </w:r>
          </w:p>
        </w:tc>
      </w:tr>
      <w:tr>
        <w:trPr>
          <w:trHeight w:val="146"/>
        </w:trPr>
        <w:tc>
          <w:tcPr>
            <w:tcW w:w="20" w:type="dxa"/>
            <w:vAlign w:val="bottom"/>
            <w:tcBorders>
              <w:bottom w:val="single" w:sz="8" w:color="0000EE"/>
            </w:tcBorders>
          </w:tcPr>
          <w:p>
            <w:pPr>
              <w:spacing w:after="0"/>
              <w:rPr>
                <w:sz w:val="12"/>
                <w:szCs w:val="12"/>
                <w:color w:val="auto"/>
              </w:rPr>
            </w:pPr>
          </w:p>
        </w:tc>
        <w:tc>
          <w:tcPr>
            <w:tcW w:w="50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8"/>
              </w:rPr>
              <w:t>ITEM 13.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tcBorders>
              <w:bottom w:val="single" w:sz="8" w:color="0000EE"/>
            </w:tcBorders>
            <w:gridSpan w:val="11"/>
          </w:tcPr>
          <w:p>
            <w:pPr>
              <w:spacing w:after="0" w:line="135" w:lineRule="exact"/>
              <w:rPr>
                <w:sz w:val="20"/>
                <w:szCs w:val="20"/>
                <w:color w:val="auto"/>
              </w:rPr>
            </w:pPr>
            <w:r>
              <w:rPr>
                <w:rFonts w:ascii="Arial" w:cs="Arial" w:eastAsia="Arial" w:hAnsi="Arial"/>
                <w:sz w:val="12"/>
                <w:szCs w:val="12"/>
                <w:color w:val="0000EE"/>
                <w:w w:val="97"/>
              </w:rPr>
              <w:t>DEFAULTS, DIVIDEND ARREARAGES AND DELINQUENCIES</w:t>
            </w:r>
          </w:p>
        </w:tc>
        <w:tc>
          <w:tcPr>
            <w:tcW w:w="70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114</w:t>
            </w:r>
          </w:p>
        </w:tc>
      </w:tr>
      <w:tr>
        <w:trPr>
          <w:trHeight w:val="146"/>
        </w:trPr>
        <w:tc>
          <w:tcPr>
            <w:tcW w:w="20" w:type="dxa"/>
            <w:vAlign w:val="bottom"/>
            <w:tcBorders>
              <w:bottom w:val="single" w:sz="8" w:color="0000EE"/>
            </w:tcBorders>
          </w:tcPr>
          <w:p>
            <w:pPr>
              <w:spacing w:after="0"/>
              <w:rPr>
                <w:sz w:val="12"/>
                <w:szCs w:val="12"/>
                <w:color w:val="auto"/>
              </w:rPr>
            </w:pPr>
          </w:p>
        </w:tc>
        <w:tc>
          <w:tcPr>
            <w:tcW w:w="50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8"/>
              </w:rPr>
              <w:t>ITEM 14.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60" w:type="dxa"/>
            <w:vAlign w:val="bottom"/>
            <w:tcBorders>
              <w:bottom w:val="single" w:sz="8" w:color="0000EE"/>
            </w:tcBorders>
            <w:gridSpan w:val="16"/>
          </w:tcPr>
          <w:p>
            <w:pPr>
              <w:spacing w:after="0" w:line="135" w:lineRule="exact"/>
              <w:rPr>
                <w:sz w:val="20"/>
                <w:szCs w:val="20"/>
                <w:color w:val="auto"/>
              </w:rPr>
            </w:pPr>
            <w:r>
              <w:rPr>
                <w:rFonts w:ascii="Arial" w:cs="Arial" w:eastAsia="Arial" w:hAnsi="Arial"/>
                <w:sz w:val="12"/>
                <w:szCs w:val="12"/>
                <w:color w:val="0000EE"/>
                <w:w w:val="97"/>
              </w:rPr>
              <w:t>MATERIAL MODIFICATIONS TO THE RIGHTS OF SECURITY HOLDERS AND USE OF PROCEEDS</w:t>
            </w:r>
          </w:p>
        </w:tc>
        <w:tc>
          <w:tcPr>
            <w:tcW w:w="1180" w:type="dxa"/>
            <w:vAlign w:val="bottom"/>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114</w:t>
            </w:r>
          </w:p>
        </w:tc>
      </w:tr>
      <w:tr>
        <w:trPr>
          <w:trHeight w:val="146"/>
        </w:trPr>
        <w:tc>
          <w:tcPr>
            <w:tcW w:w="20" w:type="dxa"/>
            <w:vAlign w:val="bottom"/>
            <w:tcBorders>
              <w:bottom w:val="single" w:sz="8" w:color="0000EE"/>
            </w:tcBorders>
          </w:tcPr>
          <w:p>
            <w:pPr>
              <w:spacing w:after="0"/>
              <w:rPr>
                <w:sz w:val="12"/>
                <w:szCs w:val="12"/>
                <w:color w:val="auto"/>
              </w:rPr>
            </w:pPr>
          </w:p>
        </w:tc>
        <w:tc>
          <w:tcPr>
            <w:tcW w:w="50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8"/>
              </w:rPr>
              <w:t>ITEM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Borders>
              <w:bottom w:val="single" w:sz="8" w:color="0000EE"/>
            </w:tcBorders>
            <w:gridSpan w:val="6"/>
          </w:tcPr>
          <w:p>
            <w:pPr>
              <w:spacing w:after="0" w:line="135" w:lineRule="exact"/>
              <w:rPr>
                <w:sz w:val="20"/>
                <w:szCs w:val="20"/>
                <w:color w:val="auto"/>
              </w:rPr>
            </w:pPr>
            <w:r>
              <w:rPr>
                <w:rFonts w:ascii="Arial" w:cs="Arial" w:eastAsia="Arial" w:hAnsi="Arial"/>
                <w:sz w:val="12"/>
                <w:szCs w:val="12"/>
                <w:color w:val="0000EE"/>
                <w:w w:val="97"/>
              </w:rPr>
              <w:t>CONTROLS AND PROCEDURES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114</w:t>
            </w:r>
          </w:p>
        </w:tc>
      </w:tr>
      <w:tr>
        <w:trPr>
          <w:trHeight w:val="146"/>
        </w:trPr>
        <w:tc>
          <w:tcPr>
            <w:tcW w:w="20" w:type="dxa"/>
            <w:vAlign w:val="bottom"/>
            <w:tcBorders>
              <w:bottom w:val="single" w:sz="8" w:color="0000EE"/>
            </w:tcBorders>
          </w:tcPr>
          <w:p>
            <w:pPr>
              <w:spacing w:after="0"/>
              <w:rPr>
                <w:sz w:val="12"/>
                <w:szCs w:val="12"/>
                <w:color w:val="auto"/>
              </w:rPr>
            </w:pPr>
          </w:p>
        </w:tc>
        <w:tc>
          <w:tcPr>
            <w:tcW w:w="580" w:type="dxa"/>
            <w:vAlign w:val="bottom"/>
            <w:tcBorders>
              <w:bottom w:val="single" w:sz="8" w:color="0000EE"/>
            </w:tcBorders>
            <w:gridSpan w:val="7"/>
          </w:tcPr>
          <w:p>
            <w:pPr>
              <w:spacing w:after="0" w:line="135" w:lineRule="exact"/>
              <w:rPr>
                <w:sz w:val="20"/>
                <w:szCs w:val="20"/>
                <w:color w:val="auto"/>
              </w:rPr>
            </w:pPr>
            <w:r>
              <w:rPr>
                <w:rFonts w:ascii="Arial" w:cs="Arial" w:eastAsia="Arial" w:hAnsi="Arial"/>
                <w:sz w:val="12"/>
                <w:szCs w:val="12"/>
                <w:color w:val="0000EE"/>
                <w:w w:val="98"/>
              </w:rPr>
              <w:t>ITEM 16A.</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Borders>
              <w:bottom w:val="single" w:sz="8" w:color="0000EE"/>
            </w:tcBorders>
            <w:gridSpan w:val="8"/>
          </w:tcPr>
          <w:p>
            <w:pPr>
              <w:spacing w:after="0" w:line="135" w:lineRule="exact"/>
              <w:rPr>
                <w:sz w:val="20"/>
                <w:szCs w:val="20"/>
                <w:color w:val="auto"/>
              </w:rPr>
            </w:pPr>
            <w:r>
              <w:rPr>
                <w:rFonts w:ascii="Arial" w:cs="Arial" w:eastAsia="Arial" w:hAnsi="Arial"/>
                <w:sz w:val="12"/>
                <w:szCs w:val="12"/>
                <w:color w:val="0000EE"/>
                <w:w w:val="97"/>
              </w:rPr>
              <w:t>AUDIT COMMITTEE FINANCIAL EXPERT</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115</w:t>
            </w:r>
          </w:p>
        </w:tc>
      </w:tr>
      <w:tr>
        <w:trPr>
          <w:trHeight w:val="146"/>
        </w:trPr>
        <w:tc>
          <w:tcPr>
            <w:tcW w:w="20" w:type="dxa"/>
            <w:vAlign w:val="bottom"/>
            <w:tcBorders>
              <w:bottom w:val="single" w:sz="8" w:color="0000EE"/>
            </w:tcBorders>
          </w:tcPr>
          <w:p>
            <w:pPr>
              <w:spacing w:after="0"/>
              <w:rPr>
                <w:sz w:val="12"/>
                <w:szCs w:val="12"/>
                <w:color w:val="auto"/>
              </w:rPr>
            </w:pPr>
          </w:p>
        </w:tc>
        <w:tc>
          <w:tcPr>
            <w:tcW w:w="580" w:type="dxa"/>
            <w:vAlign w:val="bottom"/>
            <w:tcBorders>
              <w:bottom w:val="single" w:sz="8" w:color="0000EE"/>
            </w:tcBorders>
            <w:gridSpan w:val="7"/>
          </w:tcPr>
          <w:p>
            <w:pPr>
              <w:spacing w:after="0" w:line="135" w:lineRule="exact"/>
              <w:rPr>
                <w:sz w:val="20"/>
                <w:szCs w:val="20"/>
                <w:color w:val="auto"/>
              </w:rPr>
            </w:pPr>
            <w:r>
              <w:rPr>
                <w:rFonts w:ascii="Arial" w:cs="Arial" w:eastAsia="Arial" w:hAnsi="Arial"/>
                <w:sz w:val="12"/>
                <w:szCs w:val="12"/>
                <w:color w:val="0000EE"/>
                <w:w w:val="98"/>
              </w:rPr>
              <w:t>ITEM 16B.</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96"/>
              </w:rPr>
              <w:t>CODE OF ETHICS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7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116</w:t>
            </w:r>
          </w:p>
        </w:tc>
      </w:tr>
      <w:tr>
        <w:trPr>
          <w:trHeight w:val="146"/>
        </w:trPr>
        <w:tc>
          <w:tcPr>
            <w:tcW w:w="20" w:type="dxa"/>
            <w:vAlign w:val="bottom"/>
            <w:tcBorders>
              <w:bottom w:val="single" w:sz="8" w:color="0000EE"/>
            </w:tcBorders>
          </w:tcPr>
          <w:p>
            <w:pPr>
              <w:spacing w:after="0"/>
              <w:rPr>
                <w:sz w:val="12"/>
                <w:szCs w:val="12"/>
                <w:color w:val="auto"/>
              </w:rPr>
            </w:pPr>
          </w:p>
        </w:tc>
        <w:tc>
          <w:tcPr>
            <w:tcW w:w="620" w:type="dxa"/>
            <w:vAlign w:val="bottom"/>
            <w:tcBorders>
              <w:bottom w:val="single" w:sz="8" w:color="0000EE"/>
            </w:tcBorders>
            <w:gridSpan w:val="9"/>
          </w:tcPr>
          <w:p>
            <w:pPr>
              <w:spacing w:after="0" w:line="135" w:lineRule="exact"/>
              <w:rPr>
                <w:sz w:val="20"/>
                <w:szCs w:val="20"/>
                <w:color w:val="auto"/>
              </w:rPr>
            </w:pPr>
            <w:r>
              <w:rPr>
                <w:rFonts w:ascii="Arial" w:cs="Arial" w:eastAsia="Arial" w:hAnsi="Arial"/>
                <w:sz w:val="12"/>
                <w:szCs w:val="12"/>
                <w:color w:val="0000EE"/>
              </w:rPr>
              <w:t>ITEM 16C.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tcBorders>
              <w:bottom w:val="single" w:sz="8" w:color="0000EE"/>
            </w:tcBorders>
            <w:gridSpan w:val="9"/>
          </w:tcPr>
          <w:p>
            <w:pPr>
              <w:spacing w:after="0" w:line="135" w:lineRule="exact"/>
              <w:rPr>
                <w:sz w:val="20"/>
                <w:szCs w:val="20"/>
                <w:color w:val="auto"/>
              </w:rPr>
            </w:pPr>
            <w:r>
              <w:rPr>
                <w:rFonts w:ascii="Arial" w:cs="Arial" w:eastAsia="Arial" w:hAnsi="Arial"/>
                <w:sz w:val="12"/>
                <w:szCs w:val="12"/>
                <w:color w:val="0000EE"/>
                <w:w w:val="96"/>
              </w:rPr>
              <w:t>PRINCIPAL ACCOUNTANT FEES AND SERVICES</w:t>
            </w:r>
          </w:p>
        </w:tc>
        <w:tc>
          <w:tcPr>
            <w:tcW w:w="440" w:type="dxa"/>
            <w:vAlign w:val="bottom"/>
          </w:tcPr>
          <w:p>
            <w:pPr>
              <w:spacing w:after="0"/>
              <w:rPr>
                <w:sz w:val="12"/>
                <w:szCs w:val="12"/>
                <w:color w:val="auto"/>
              </w:rPr>
            </w:pPr>
          </w:p>
        </w:tc>
        <w:tc>
          <w:tcPr>
            <w:tcW w:w="92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116</w:t>
            </w:r>
          </w:p>
        </w:tc>
      </w:tr>
      <w:tr>
        <w:trPr>
          <w:trHeight w:val="146"/>
        </w:trPr>
        <w:tc>
          <w:tcPr>
            <w:tcW w:w="20" w:type="dxa"/>
            <w:vAlign w:val="bottom"/>
            <w:tcBorders>
              <w:bottom w:val="single" w:sz="8" w:color="0000EE"/>
            </w:tcBorders>
          </w:tcPr>
          <w:p>
            <w:pPr>
              <w:spacing w:after="0"/>
              <w:rPr>
                <w:sz w:val="12"/>
                <w:szCs w:val="12"/>
                <w:color w:val="auto"/>
              </w:rPr>
            </w:pPr>
          </w:p>
        </w:tc>
        <w:tc>
          <w:tcPr>
            <w:tcW w:w="600" w:type="dxa"/>
            <w:vAlign w:val="bottom"/>
            <w:tcBorders>
              <w:bottom w:val="single" w:sz="8" w:color="0000EE"/>
            </w:tcBorders>
            <w:gridSpan w:val="8"/>
          </w:tcPr>
          <w:p>
            <w:pPr>
              <w:spacing w:after="0" w:line="135" w:lineRule="exact"/>
              <w:rPr>
                <w:sz w:val="20"/>
                <w:szCs w:val="20"/>
                <w:color w:val="auto"/>
              </w:rPr>
            </w:pPr>
            <w:r>
              <w:rPr>
                <w:rFonts w:ascii="Arial" w:cs="Arial" w:eastAsia="Arial" w:hAnsi="Arial"/>
                <w:sz w:val="12"/>
                <w:szCs w:val="12"/>
                <w:color w:val="0000EE"/>
              </w:rPr>
              <w:t>ITEM 16D.</w:t>
            </w:r>
          </w:p>
        </w:tc>
        <w:tc>
          <w:tcPr>
            <w:tcW w:w="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60" w:type="dxa"/>
            <w:vAlign w:val="bottom"/>
            <w:tcBorders>
              <w:bottom w:val="single" w:sz="8" w:color="0000EE"/>
            </w:tcBorders>
            <w:gridSpan w:val="13"/>
          </w:tcPr>
          <w:p>
            <w:pPr>
              <w:spacing w:after="0" w:line="135" w:lineRule="exact"/>
              <w:rPr>
                <w:sz w:val="20"/>
                <w:szCs w:val="20"/>
                <w:color w:val="auto"/>
              </w:rPr>
            </w:pPr>
            <w:r>
              <w:rPr>
                <w:rFonts w:ascii="Arial" w:cs="Arial" w:eastAsia="Arial" w:hAnsi="Arial"/>
                <w:sz w:val="12"/>
                <w:szCs w:val="12"/>
                <w:color w:val="0000EE"/>
                <w:w w:val="97"/>
              </w:rPr>
              <w:t>EXEMPTION FROM THE LISTING STANDARDS FOR AUDIT COMMITTEES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116</w:t>
            </w:r>
          </w:p>
        </w:tc>
      </w:tr>
      <w:tr>
        <w:trPr>
          <w:trHeight w:val="146"/>
        </w:trPr>
        <w:tc>
          <w:tcPr>
            <w:tcW w:w="20" w:type="dxa"/>
            <w:vAlign w:val="bottom"/>
            <w:tcBorders>
              <w:bottom w:val="single" w:sz="8" w:color="0000EE"/>
            </w:tcBorders>
          </w:tcPr>
          <w:p>
            <w:pPr>
              <w:spacing w:after="0"/>
              <w:rPr>
                <w:sz w:val="12"/>
                <w:szCs w:val="12"/>
                <w:color w:val="auto"/>
              </w:rPr>
            </w:pPr>
          </w:p>
        </w:tc>
        <w:tc>
          <w:tcPr>
            <w:tcW w:w="560" w:type="dxa"/>
            <w:vAlign w:val="bottom"/>
            <w:tcBorders>
              <w:bottom w:val="single" w:sz="8" w:color="0000EE"/>
            </w:tcBorders>
            <w:gridSpan w:val="6"/>
          </w:tcPr>
          <w:p>
            <w:pPr>
              <w:spacing w:after="0" w:line="135" w:lineRule="exact"/>
              <w:rPr>
                <w:sz w:val="20"/>
                <w:szCs w:val="20"/>
                <w:color w:val="auto"/>
              </w:rPr>
            </w:pPr>
            <w:r>
              <w:rPr>
                <w:rFonts w:ascii="Arial" w:cs="Arial" w:eastAsia="Arial" w:hAnsi="Arial"/>
                <w:sz w:val="12"/>
                <w:szCs w:val="12"/>
                <w:color w:val="0000EE"/>
                <w:w w:val="95"/>
              </w:rPr>
              <w:t>ITEM 16E.</w:t>
            </w:r>
          </w:p>
        </w:tc>
        <w:tc>
          <w:tcPr>
            <w:tcW w:w="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Borders>
              <w:bottom w:val="single" w:sz="8" w:color="0000EE"/>
            </w:tcBorders>
            <w:gridSpan w:val="15"/>
          </w:tcPr>
          <w:p>
            <w:pPr>
              <w:spacing w:after="0" w:line="135" w:lineRule="exact"/>
              <w:rPr>
                <w:sz w:val="20"/>
                <w:szCs w:val="20"/>
                <w:color w:val="auto"/>
              </w:rPr>
            </w:pPr>
            <w:r>
              <w:rPr>
                <w:rFonts w:ascii="Arial" w:cs="Arial" w:eastAsia="Arial" w:hAnsi="Arial"/>
                <w:sz w:val="12"/>
                <w:szCs w:val="12"/>
                <w:color w:val="0000EE"/>
                <w:w w:val="97"/>
              </w:rPr>
              <w:t>PURCHASES OF EQUITY SECURITIES BY THE ISSUER AND AFFILIATED PURCHASERS</w:t>
            </w:r>
          </w:p>
        </w:tc>
        <w:tc>
          <w:tcPr>
            <w:tcW w:w="1640" w:type="dxa"/>
            <w:vAlign w:val="bottom"/>
            <w:gridSpan w:val="2"/>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116</w:t>
            </w:r>
          </w:p>
        </w:tc>
      </w:tr>
      <w:tr>
        <w:trPr>
          <w:trHeight w:val="146"/>
        </w:trPr>
        <w:tc>
          <w:tcPr>
            <w:tcW w:w="20" w:type="dxa"/>
            <w:vAlign w:val="bottom"/>
            <w:tcBorders>
              <w:bottom w:val="single" w:sz="8" w:color="0000EE"/>
            </w:tcBorders>
          </w:tcPr>
          <w:p>
            <w:pPr>
              <w:spacing w:after="0"/>
              <w:rPr>
                <w:sz w:val="12"/>
                <w:szCs w:val="12"/>
                <w:color w:val="auto"/>
              </w:rPr>
            </w:pPr>
          </w:p>
        </w:tc>
        <w:tc>
          <w:tcPr>
            <w:tcW w:w="540" w:type="dxa"/>
            <w:vAlign w:val="bottom"/>
            <w:tcBorders>
              <w:bottom w:val="single" w:sz="8" w:color="0000EE"/>
            </w:tcBorders>
            <w:gridSpan w:val="5"/>
          </w:tcPr>
          <w:p>
            <w:pPr>
              <w:spacing w:after="0" w:line="135" w:lineRule="exact"/>
              <w:rPr>
                <w:sz w:val="20"/>
                <w:szCs w:val="20"/>
                <w:color w:val="auto"/>
              </w:rPr>
            </w:pPr>
            <w:r>
              <w:rPr>
                <w:rFonts w:ascii="Arial" w:cs="Arial" w:eastAsia="Arial" w:hAnsi="Arial"/>
                <w:sz w:val="12"/>
                <w:szCs w:val="12"/>
                <w:color w:val="0000EE"/>
                <w:w w:val="92"/>
              </w:rPr>
              <w:t>ITEM 16F.</w:t>
            </w:r>
          </w:p>
        </w:tc>
        <w:tc>
          <w:tcPr>
            <w:tcW w:w="10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tcBorders>
              <w:bottom w:val="single" w:sz="8" w:color="0000EE"/>
            </w:tcBorders>
            <w:gridSpan w:val="10"/>
          </w:tcPr>
          <w:p>
            <w:pPr>
              <w:spacing w:after="0" w:line="135" w:lineRule="exact"/>
              <w:rPr>
                <w:sz w:val="20"/>
                <w:szCs w:val="20"/>
                <w:color w:val="auto"/>
              </w:rPr>
            </w:pPr>
            <w:r>
              <w:rPr>
                <w:rFonts w:ascii="Arial" w:cs="Arial" w:eastAsia="Arial" w:hAnsi="Arial"/>
                <w:sz w:val="12"/>
                <w:szCs w:val="12"/>
                <w:color w:val="0000EE"/>
                <w:w w:val="97"/>
              </w:rPr>
              <w:t>CHANGE IN REGISTRANT’S CERTIFYING ACCOUNTANT</w:t>
            </w:r>
          </w:p>
        </w:tc>
        <w:tc>
          <w:tcPr>
            <w:tcW w:w="1620" w:type="dxa"/>
            <w:vAlign w:val="bottom"/>
            <w:gridSpan w:val="4"/>
          </w:tcPr>
          <w:p>
            <w:pPr>
              <w:spacing w:after="0"/>
              <w:rPr>
                <w:sz w:val="12"/>
                <w:szCs w:val="12"/>
                <w:color w:val="auto"/>
              </w:rPr>
            </w:pPr>
          </w:p>
        </w:tc>
        <w:tc>
          <w:tcPr>
            <w:tcW w:w="1780" w:type="dxa"/>
            <w:vAlign w:val="bottom"/>
            <w:gridSpan w:val="3"/>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117</w:t>
            </w:r>
          </w:p>
        </w:tc>
      </w:tr>
      <w:tr>
        <w:trPr>
          <w:trHeight w:val="146"/>
        </w:trPr>
        <w:tc>
          <w:tcPr>
            <w:tcW w:w="20" w:type="dxa"/>
            <w:vAlign w:val="bottom"/>
            <w:tcBorders>
              <w:bottom w:val="single" w:sz="8" w:color="0000EE"/>
            </w:tcBorders>
          </w:tcPr>
          <w:p>
            <w:pPr>
              <w:spacing w:after="0"/>
              <w:rPr>
                <w:sz w:val="12"/>
                <w:szCs w:val="12"/>
                <w:color w:val="auto"/>
              </w:rPr>
            </w:pPr>
          </w:p>
        </w:tc>
        <w:tc>
          <w:tcPr>
            <w:tcW w:w="640" w:type="dxa"/>
            <w:vAlign w:val="bottom"/>
            <w:tcBorders>
              <w:bottom w:val="single" w:sz="8" w:color="0000EE"/>
            </w:tcBorders>
            <w:gridSpan w:val="10"/>
          </w:tcPr>
          <w:p>
            <w:pPr>
              <w:spacing w:after="0" w:line="135" w:lineRule="exact"/>
              <w:rPr>
                <w:sz w:val="20"/>
                <w:szCs w:val="20"/>
                <w:color w:val="auto"/>
              </w:rPr>
            </w:pPr>
            <w:r>
              <w:rPr>
                <w:rFonts w:ascii="Arial" w:cs="Arial" w:eastAsia="Arial" w:hAnsi="Arial"/>
                <w:sz w:val="12"/>
                <w:szCs w:val="12"/>
                <w:color w:val="0000EE"/>
              </w:rPr>
              <w:t>ITEM 16G.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Borders>
              <w:bottom w:val="single" w:sz="8" w:color="0000EE"/>
            </w:tcBorders>
            <w:gridSpan w:val="5"/>
          </w:tcPr>
          <w:p>
            <w:pPr>
              <w:spacing w:after="0" w:line="135" w:lineRule="exact"/>
              <w:rPr>
                <w:sz w:val="20"/>
                <w:szCs w:val="20"/>
                <w:color w:val="auto"/>
              </w:rPr>
            </w:pPr>
            <w:r>
              <w:rPr>
                <w:rFonts w:ascii="Arial" w:cs="Arial" w:eastAsia="Arial" w:hAnsi="Arial"/>
                <w:sz w:val="12"/>
                <w:szCs w:val="12"/>
                <w:color w:val="0000EE"/>
                <w:w w:val="95"/>
              </w:rPr>
              <w:t>CORPORATE GOVERNANCE</w:t>
            </w:r>
          </w:p>
        </w:tc>
        <w:tc>
          <w:tcPr>
            <w:tcW w:w="400" w:type="dxa"/>
            <w:vAlign w:val="bottom"/>
            <w:gridSpan w:val="2"/>
          </w:tcPr>
          <w:p>
            <w:pPr>
              <w:spacing w:after="0"/>
              <w:rPr>
                <w:sz w:val="12"/>
                <w:szCs w:val="12"/>
                <w:color w:val="auto"/>
              </w:rPr>
            </w:pPr>
          </w:p>
        </w:tc>
        <w:tc>
          <w:tcPr>
            <w:tcW w:w="2760" w:type="dxa"/>
            <w:vAlign w:val="bottom"/>
            <w:gridSpan w:val="7"/>
          </w:tcPr>
          <w:p>
            <w:pPr>
              <w:spacing w:after="0"/>
              <w:rPr>
                <w:sz w:val="12"/>
                <w:szCs w:val="12"/>
                <w:color w:val="auto"/>
              </w:rPr>
            </w:pPr>
          </w:p>
        </w:tc>
        <w:tc>
          <w:tcPr>
            <w:tcW w:w="1780" w:type="dxa"/>
            <w:vAlign w:val="bottom"/>
            <w:gridSpan w:val="3"/>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117</w:t>
            </w:r>
          </w:p>
        </w:tc>
      </w:tr>
      <w:tr>
        <w:trPr>
          <w:trHeight w:val="146"/>
        </w:trPr>
        <w:tc>
          <w:tcPr>
            <w:tcW w:w="20" w:type="dxa"/>
            <w:vAlign w:val="bottom"/>
            <w:tcBorders>
              <w:bottom w:val="single" w:sz="8" w:color="0000EE"/>
            </w:tcBorders>
          </w:tcPr>
          <w:p>
            <w:pPr>
              <w:spacing w:after="0"/>
              <w:rPr>
                <w:sz w:val="12"/>
                <w:szCs w:val="12"/>
                <w:color w:val="auto"/>
              </w:rPr>
            </w:pPr>
          </w:p>
        </w:tc>
        <w:tc>
          <w:tcPr>
            <w:tcW w:w="600" w:type="dxa"/>
            <w:vAlign w:val="bottom"/>
            <w:tcBorders>
              <w:bottom w:val="single" w:sz="8" w:color="0000EE"/>
            </w:tcBorders>
            <w:gridSpan w:val="8"/>
          </w:tcPr>
          <w:p>
            <w:pPr>
              <w:spacing w:after="0" w:line="135" w:lineRule="exact"/>
              <w:rPr>
                <w:sz w:val="20"/>
                <w:szCs w:val="20"/>
                <w:color w:val="auto"/>
              </w:rPr>
            </w:pPr>
            <w:r>
              <w:rPr>
                <w:rFonts w:ascii="Arial" w:cs="Arial" w:eastAsia="Arial" w:hAnsi="Arial"/>
                <w:sz w:val="12"/>
                <w:szCs w:val="12"/>
                <w:color w:val="0000EE"/>
              </w:rPr>
              <w:t>ITEM 16H.</w:t>
            </w:r>
          </w:p>
        </w:tc>
        <w:tc>
          <w:tcPr>
            <w:tcW w:w="16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6"/>
              </w:rPr>
              <w:t>MINE SAFETY DISCLOSURE</w:t>
            </w:r>
          </w:p>
        </w:tc>
        <w:tc>
          <w:tcPr>
            <w:tcW w:w="420" w:type="dxa"/>
            <w:vAlign w:val="bottom"/>
            <w:gridSpan w:val="3"/>
          </w:tcPr>
          <w:p>
            <w:pPr>
              <w:spacing w:after="0"/>
              <w:rPr>
                <w:sz w:val="12"/>
                <w:szCs w:val="12"/>
                <w:color w:val="auto"/>
              </w:rPr>
            </w:pPr>
          </w:p>
        </w:tc>
        <w:tc>
          <w:tcPr>
            <w:tcW w:w="2760" w:type="dxa"/>
            <w:vAlign w:val="bottom"/>
            <w:gridSpan w:val="7"/>
          </w:tcPr>
          <w:p>
            <w:pPr>
              <w:spacing w:after="0"/>
              <w:rPr>
                <w:sz w:val="12"/>
                <w:szCs w:val="12"/>
                <w:color w:val="auto"/>
              </w:rPr>
            </w:pPr>
          </w:p>
        </w:tc>
        <w:tc>
          <w:tcPr>
            <w:tcW w:w="1780" w:type="dxa"/>
            <w:vAlign w:val="bottom"/>
            <w:gridSpan w:val="3"/>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118</w:t>
            </w:r>
          </w:p>
        </w:tc>
      </w:tr>
      <w:tr>
        <w:trPr>
          <w:trHeight w:val="146"/>
        </w:trPr>
        <w:tc>
          <w:tcPr>
            <w:tcW w:w="20" w:type="dxa"/>
            <w:vAlign w:val="bottom"/>
            <w:tcBorders>
              <w:bottom w:val="single" w:sz="8" w:color="0000EE"/>
            </w:tcBorders>
          </w:tcPr>
          <w:p>
            <w:pPr>
              <w:spacing w:after="0"/>
              <w:rPr>
                <w:sz w:val="12"/>
                <w:szCs w:val="12"/>
                <w:color w:val="auto"/>
              </w:rPr>
            </w:pPr>
          </w:p>
        </w:tc>
        <w:tc>
          <w:tcPr>
            <w:tcW w:w="480" w:type="dxa"/>
            <w:vAlign w:val="bottom"/>
            <w:tcBorders>
              <w:bottom w:val="single" w:sz="8" w:color="0000EE"/>
            </w:tcBorders>
            <w:gridSpan w:val="3"/>
          </w:tcPr>
          <w:p>
            <w:pPr>
              <w:spacing w:after="0" w:line="135" w:lineRule="exact"/>
              <w:rPr>
                <w:sz w:val="20"/>
                <w:szCs w:val="20"/>
                <w:color w:val="auto"/>
              </w:rPr>
            </w:pPr>
            <w:r>
              <w:rPr>
                <w:rFonts w:ascii="Arial" w:cs="Arial" w:eastAsia="Arial" w:hAnsi="Arial"/>
                <w:sz w:val="12"/>
                <w:szCs w:val="12"/>
                <w:color w:val="0000EE"/>
                <w:w w:val="94"/>
              </w:rPr>
              <w:t>ITEM 16I</w:t>
            </w:r>
          </w:p>
        </w:tc>
        <w:tc>
          <w:tcPr>
            <w:tcW w:w="280" w:type="dxa"/>
            <w:vAlign w:val="bottom"/>
            <w:gridSpan w:val="8"/>
          </w:tcPr>
          <w:p>
            <w:pPr>
              <w:spacing w:after="0"/>
              <w:rPr>
                <w:sz w:val="12"/>
                <w:szCs w:val="12"/>
                <w:color w:val="auto"/>
              </w:rPr>
            </w:pPr>
          </w:p>
        </w:tc>
        <w:tc>
          <w:tcPr>
            <w:tcW w:w="200" w:type="dxa"/>
            <w:vAlign w:val="bottom"/>
          </w:tcPr>
          <w:p>
            <w:pPr>
              <w:spacing w:after="0"/>
              <w:rPr>
                <w:sz w:val="12"/>
                <w:szCs w:val="12"/>
                <w:color w:val="auto"/>
              </w:rPr>
            </w:pPr>
          </w:p>
        </w:tc>
        <w:tc>
          <w:tcPr>
            <w:tcW w:w="4760" w:type="dxa"/>
            <w:vAlign w:val="bottom"/>
            <w:tcBorders>
              <w:bottom w:val="single" w:sz="8" w:color="0000EE"/>
            </w:tcBorders>
            <w:gridSpan w:val="14"/>
          </w:tcPr>
          <w:p>
            <w:pPr>
              <w:spacing w:after="0" w:line="135" w:lineRule="exact"/>
              <w:rPr>
                <w:sz w:val="20"/>
                <w:szCs w:val="20"/>
                <w:color w:val="auto"/>
              </w:rPr>
            </w:pPr>
            <w:r>
              <w:rPr>
                <w:rFonts w:ascii="Arial" w:cs="Arial" w:eastAsia="Arial" w:hAnsi="Arial"/>
                <w:sz w:val="12"/>
                <w:szCs w:val="12"/>
                <w:color w:val="0000EE"/>
                <w:w w:val="97"/>
              </w:rPr>
              <w:t>DISCLOSURE REGARDING FOREIGN JURISDICTIONS THAT PREVENT INSPECTIONS</w:t>
            </w:r>
          </w:p>
        </w:tc>
        <w:tc>
          <w:tcPr>
            <w:tcW w:w="1780" w:type="dxa"/>
            <w:vAlign w:val="bottom"/>
            <w:gridSpan w:val="3"/>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118</w:t>
            </w:r>
          </w:p>
        </w:tc>
      </w:tr>
      <w:tr>
        <w:trPr>
          <w:trHeight w:val="146"/>
        </w:trPr>
        <w:tc>
          <w:tcPr>
            <w:tcW w:w="20" w:type="dxa"/>
            <w:vAlign w:val="bottom"/>
            <w:tcBorders>
              <w:bottom w:val="single" w:sz="8" w:color="0000EE"/>
            </w:tcBorders>
          </w:tcPr>
          <w:p>
            <w:pPr>
              <w:spacing w:after="0"/>
              <w:rPr>
                <w:sz w:val="12"/>
                <w:szCs w:val="12"/>
                <w:color w:val="auto"/>
              </w:rPr>
            </w:pPr>
          </w:p>
        </w:tc>
        <w:tc>
          <w:tcPr>
            <w:tcW w:w="420" w:type="dxa"/>
            <w:vAlign w:val="bottom"/>
            <w:tcBorders>
              <w:bottom w:val="single" w:sz="8" w:color="0000EE"/>
            </w:tcBorders>
            <w:gridSpan w:val="2"/>
          </w:tcPr>
          <w:p>
            <w:pPr>
              <w:spacing w:after="0" w:line="135" w:lineRule="exact"/>
              <w:rPr>
                <w:sz w:val="20"/>
                <w:szCs w:val="20"/>
                <w:color w:val="auto"/>
              </w:rPr>
            </w:pPr>
            <w:r>
              <w:rPr>
                <w:rFonts w:ascii="Arial" w:cs="Arial" w:eastAsia="Arial" w:hAnsi="Arial"/>
                <w:sz w:val="12"/>
                <w:szCs w:val="12"/>
                <w:color w:val="0000EE"/>
                <w:w w:val="88"/>
              </w:rPr>
              <w:t>PART III</w:t>
            </w:r>
          </w:p>
        </w:tc>
        <w:tc>
          <w:tcPr>
            <w:tcW w:w="340" w:type="dxa"/>
            <w:vAlign w:val="bottom"/>
            <w:gridSpan w:val="9"/>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118</w:t>
            </w:r>
          </w:p>
        </w:tc>
      </w:tr>
      <w:tr>
        <w:trPr>
          <w:trHeight w:val="146"/>
        </w:trPr>
        <w:tc>
          <w:tcPr>
            <w:tcW w:w="20" w:type="dxa"/>
            <w:vAlign w:val="bottom"/>
            <w:tcBorders>
              <w:bottom w:val="single" w:sz="8" w:color="0000EE"/>
            </w:tcBorders>
          </w:tcPr>
          <w:p>
            <w:pPr>
              <w:spacing w:after="0"/>
              <w:rPr>
                <w:sz w:val="12"/>
                <w:szCs w:val="12"/>
                <w:color w:val="auto"/>
              </w:rPr>
            </w:pPr>
          </w:p>
        </w:tc>
        <w:tc>
          <w:tcPr>
            <w:tcW w:w="50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8"/>
              </w:rPr>
              <w:t>ITEM 17.</w:t>
            </w:r>
          </w:p>
        </w:tc>
        <w:tc>
          <w:tcPr>
            <w:tcW w:w="260" w:type="dxa"/>
            <w:vAlign w:val="bottom"/>
            <w:gridSpan w:val="7"/>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bottom w:val="single" w:sz="8" w:color="0000EE"/>
            </w:tcBorders>
            <w:gridSpan w:val="3"/>
          </w:tcPr>
          <w:p>
            <w:pPr>
              <w:spacing w:after="0" w:line="135" w:lineRule="exact"/>
              <w:rPr>
                <w:sz w:val="20"/>
                <w:szCs w:val="20"/>
                <w:color w:val="auto"/>
              </w:rPr>
            </w:pPr>
            <w:r>
              <w:rPr>
                <w:rFonts w:ascii="Arial" w:cs="Arial" w:eastAsia="Arial" w:hAnsi="Arial"/>
                <w:sz w:val="12"/>
                <w:szCs w:val="12"/>
                <w:color w:val="0000EE"/>
                <w:w w:val="95"/>
              </w:rPr>
              <w:t>FINANCIAL STATEMENTS</w:t>
            </w:r>
          </w:p>
        </w:tc>
        <w:tc>
          <w:tcPr>
            <w:tcW w:w="580" w:type="dxa"/>
            <w:vAlign w:val="bottom"/>
            <w:gridSpan w:val="4"/>
          </w:tcPr>
          <w:p>
            <w:pPr>
              <w:spacing w:after="0"/>
              <w:rPr>
                <w:sz w:val="12"/>
                <w:szCs w:val="12"/>
                <w:color w:val="auto"/>
              </w:rPr>
            </w:pPr>
          </w:p>
        </w:tc>
        <w:tc>
          <w:tcPr>
            <w:tcW w:w="4540" w:type="dxa"/>
            <w:vAlign w:val="bottom"/>
            <w:gridSpan w:val="10"/>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118</w:t>
            </w:r>
          </w:p>
        </w:tc>
      </w:tr>
      <w:tr>
        <w:trPr>
          <w:trHeight w:val="146"/>
        </w:trPr>
        <w:tc>
          <w:tcPr>
            <w:tcW w:w="20" w:type="dxa"/>
            <w:vAlign w:val="bottom"/>
            <w:tcBorders>
              <w:bottom w:val="single" w:sz="8" w:color="0000EE"/>
            </w:tcBorders>
          </w:tcPr>
          <w:p>
            <w:pPr>
              <w:spacing w:after="0"/>
              <w:rPr>
                <w:sz w:val="12"/>
                <w:szCs w:val="12"/>
                <w:color w:val="auto"/>
              </w:rPr>
            </w:pPr>
          </w:p>
        </w:tc>
        <w:tc>
          <w:tcPr>
            <w:tcW w:w="50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8"/>
              </w:rPr>
              <w:t>ITEM 18.</w:t>
            </w:r>
          </w:p>
        </w:tc>
        <w:tc>
          <w:tcPr>
            <w:tcW w:w="260" w:type="dxa"/>
            <w:vAlign w:val="bottom"/>
            <w:gridSpan w:val="7"/>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bottom w:val="single" w:sz="8" w:color="0000EE"/>
            </w:tcBorders>
            <w:gridSpan w:val="3"/>
          </w:tcPr>
          <w:p>
            <w:pPr>
              <w:spacing w:after="0" w:line="135" w:lineRule="exact"/>
              <w:rPr>
                <w:sz w:val="20"/>
                <w:szCs w:val="20"/>
                <w:color w:val="auto"/>
              </w:rPr>
            </w:pPr>
            <w:r>
              <w:rPr>
                <w:rFonts w:ascii="Arial" w:cs="Arial" w:eastAsia="Arial" w:hAnsi="Arial"/>
                <w:sz w:val="12"/>
                <w:szCs w:val="12"/>
                <w:color w:val="0000EE"/>
                <w:w w:val="95"/>
              </w:rPr>
              <w:t>FINANCIAL STATEMENTS</w:t>
            </w:r>
          </w:p>
        </w:tc>
        <w:tc>
          <w:tcPr>
            <w:tcW w:w="580" w:type="dxa"/>
            <w:vAlign w:val="bottom"/>
            <w:gridSpan w:val="4"/>
          </w:tcPr>
          <w:p>
            <w:pPr>
              <w:spacing w:after="0"/>
              <w:rPr>
                <w:sz w:val="12"/>
                <w:szCs w:val="12"/>
                <w:color w:val="auto"/>
              </w:rPr>
            </w:pPr>
          </w:p>
        </w:tc>
        <w:tc>
          <w:tcPr>
            <w:tcW w:w="4540" w:type="dxa"/>
            <w:vAlign w:val="bottom"/>
            <w:gridSpan w:val="10"/>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118</w:t>
            </w:r>
          </w:p>
        </w:tc>
      </w:tr>
      <w:tr>
        <w:trPr>
          <w:trHeight w:val="146"/>
        </w:trPr>
        <w:tc>
          <w:tcPr>
            <w:tcW w:w="20" w:type="dxa"/>
            <w:vAlign w:val="bottom"/>
            <w:tcBorders>
              <w:bottom w:val="single" w:sz="8" w:color="0000EE"/>
            </w:tcBorders>
          </w:tcPr>
          <w:p>
            <w:pPr>
              <w:spacing w:after="0"/>
              <w:rPr>
                <w:sz w:val="12"/>
                <w:szCs w:val="12"/>
                <w:color w:val="auto"/>
              </w:rPr>
            </w:pPr>
          </w:p>
        </w:tc>
        <w:tc>
          <w:tcPr>
            <w:tcW w:w="500" w:type="dxa"/>
            <w:vAlign w:val="bottom"/>
            <w:tcBorders>
              <w:bottom w:val="single" w:sz="8" w:color="0000EE"/>
            </w:tcBorders>
            <w:gridSpan w:val="4"/>
          </w:tcPr>
          <w:p>
            <w:pPr>
              <w:spacing w:after="0" w:line="135" w:lineRule="exact"/>
              <w:rPr>
                <w:sz w:val="20"/>
                <w:szCs w:val="20"/>
                <w:color w:val="auto"/>
              </w:rPr>
            </w:pPr>
            <w:r>
              <w:rPr>
                <w:rFonts w:ascii="Arial" w:cs="Arial" w:eastAsia="Arial" w:hAnsi="Arial"/>
                <w:sz w:val="12"/>
                <w:szCs w:val="12"/>
                <w:color w:val="0000EE"/>
                <w:w w:val="98"/>
              </w:rPr>
              <w:t>ITEM 19.</w:t>
            </w:r>
          </w:p>
        </w:tc>
        <w:tc>
          <w:tcPr>
            <w:tcW w:w="260" w:type="dxa"/>
            <w:vAlign w:val="bottom"/>
            <w:gridSpan w:val="7"/>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0000EE"/>
            </w:tcBorders>
          </w:tcPr>
          <w:p>
            <w:pPr>
              <w:spacing w:after="0" w:line="135" w:lineRule="exact"/>
              <w:rPr>
                <w:sz w:val="20"/>
                <w:szCs w:val="20"/>
                <w:color w:val="auto"/>
              </w:rPr>
            </w:pPr>
            <w:r>
              <w:rPr>
                <w:rFonts w:ascii="Arial" w:cs="Arial" w:eastAsia="Arial" w:hAnsi="Arial"/>
                <w:sz w:val="12"/>
                <w:szCs w:val="12"/>
                <w:color w:val="0000EE"/>
                <w:w w:val="95"/>
              </w:rPr>
              <w:t>EXHIBITS</w:t>
            </w:r>
          </w:p>
        </w:tc>
        <w:tc>
          <w:tcPr>
            <w:tcW w:w="1460" w:type="dxa"/>
            <w:vAlign w:val="bottom"/>
            <w:gridSpan w:val="6"/>
          </w:tcPr>
          <w:p>
            <w:pPr>
              <w:spacing w:after="0"/>
              <w:rPr>
                <w:sz w:val="12"/>
                <w:szCs w:val="12"/>
                <w:color w:val="auto"/>
              </w:rPr>
            </w:pPr>
          </w:p>
        </w:tc>
        <w:tc>
          <w:tcPr>
            <w:tcW w:w="4540" w:type="dxa"/>
            <w:vAlign w:val="bottom"/>
            <w:gridSpan w:val="10"/>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119</w:t>
            </w:r>
          </w:p>
        </w:tc>
      </w:tr>
      <w:tr>
        <w:trPr>
          <w:trHeight w:val="146"/>
        </w:trPr>
        <w:tc>
          <w:tcPr>
            <w:tcW w:w="20" w:type="dxa"/>
            <w:vAlign w:val="bottom"/>
            <w:tcBorders>
              <w:bottom w:val="single" w:sz="8" w:color="0000EE"/>
            </w:tcBorders>
          </w:tcPr>
          <w:p>
            <w:pPr>
              <w:spacing w:after="0"/>
              <w:rPr>
                <w:sz w:val="12"/>
                <w:szCs w:val="12"/>
                <w:color w:val="auto"/>
              </w:rPr>
            </w:pPr>
          </w:p>
        </w:tc>
        <w:tc>
          <w:tcPr>
            <w:tcW w:w="760" w:type="dxa"/>
            <w:vAlign w:val="bottom"/>
            <w:tcBorders>
              <w:bottom w:val="single" w:sz="8" w:color="0000EE"/>
            </w:tcBorders>
            <w:gridSpan w:val="11"/>
          </w:tcPr>
          <w:p>
            <w:pPr>
              <w:spacing w:after="0" w:line="135" w:lineRule="exact"/>
              <w:rPr>
                <w:sz w:val="20"/>
                <w:szCs w:val="20"/>
                <w:color w:val="auto"/>
              </w:rPr>
            </w:pPr>
            <w:r>
              <w:rPr>
                <w:rFonts w:ascii="Arial" w:cs="Arial" w:eastAsia="Arial" w:hAnsi="Arial"/>
                <w:sz w:val="12"/>
                <w:szCs w:val="12"/>
                <w:color w:val="0000EE"/>
                <w:w w:val="94"/>
              </w:rPr>
              <w:t>SIGNATURES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122</w:t>
            </w:r>
          </w:p>
        </w:tc>
      </w:tr>
      <w:tr>
        <w:trPr>
          <w:trHeight w:val="146"/>
        </w:trPr>
        <w:tc>
          <w:tcPr>
            <w:tcW w:w="20" w:type="dxa"/>
            <w:vAlign w:val="bottom"/>
          </w:tcPr>
          <w:p>
            <w:pPr>
              <w:spacing w:after="0"/>
              <w:rPr>
                <w:sz w:val="12"/>
                <w:szCs w:val="12"/>
                <w:color w:val="auto"/>
              </w:rPr>
            </w:pPr>
          </w:p>
        </w:tc>
        <w:tc>
          <w:tcPr>
            <w:tcW w:w="2960" w:type="dxa"/>
            <w:vAlign w:val="bottom"/>
            <w:tcBorders>
              <w:bottom w:val="single" w:sz="8" w:color="0000EE"/>
            </w:tcBorders>
            <w:gridSpan w:val="19"/>
          </w:tcPr>
          <w:p>
            <w:pPr>
              <w:spacing w:after="0" w:line="135" w:lineRule="exact"/>
              <w:rPr>
                <w:sz w:val="20"/>
                <w:szCs w:val="20"/>
                <w:color w:val="auto"/>
              </w:rPr>
            </w:pPr>
            <w:r>
              <w:rPr>
                <w:rFonts w:ascii="Arial" w:cs="Arial" w:eastAsia="Arial" w:hAnsi="Arial"/>
                <w:sz w:val="12"/>
                <w:szCs w:val="12"/>
                <w:color w:val="0000EE"/>
                <w:w w:val="96"/>
              </w:rPr>
              <w:t>INDEX TO CONSOLIDATED FINANCIAL STATEMENTS</w:t>
            </w:r>
          </w:p>
        </w:tc>
        <w:tc>
          <w:tcPr>
            <w:tcW w:w="4540" w:type="dxa"/>
            <w:vAlign w:val="bottom"/>
            <w:gridSpan w:val="10"/>
          </w:tcPr>
          <w:p>
            <w:pPr>
              <w:spacing w:after="0"/>
              <w:rPr>
                <w:sz w:val="12"/>
                <w:szCs w:val="12"/>
                <w:color w:val="auto"/>
              </w:rPr>
            </w:pPr>
          </w:p>
        </w:tc>
        <w:tc>
          <w:tcPr>
            <w:tcW w:w="1440" w:type="dxa"/>
            <w:vAlign w:val="bottom"/>
          </w:tcPr>
          <w:p>
            <w:pPr>
              <w:jc w:val="right"/>
              <w:spacing w:after="0" w:line="146" w:lineRule="exact"/>
              <w:rPr>
                <w:sz w:val="20"/>
                <w:szCs w:val="20"/>
                <w:color w:val="auto"/>
              </w:rPr>
            </w:pPr>
            <w:r>
              <w:rPr>
                <w:rFonts w:ascii="Arial" w:cs="Arial" w:eastAsia="Arial" w:hAnsi="Arial"/>
                <w:sz w:val="15"/>
                <w:szCs w:val="15"/>
                <w:color w:val="auto"/>
              </w:rPr>
              <w:t>F-1</w:t>
            </w:r>
          </w:p>
        </w:tc>
      </w:tr>
      <w:tr>
        <w:trPr>
          <w:trHeight w:val="90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12"/>
          </w:tcPr>
          <w:p>
            <w:pPr>
              <w:ind w:left="3460"/>
              <w:spacing w:after="0"/>
              <w:rPr>
                <w:sz w:val="20"/>
                <w:szCs w:val="20"/>
                <w:color w:val="auto"/>
              </w:rPr>
            </w:pPr>
            <w:r>
              <w:rPr>
                <w:rFonts w:ascii="Arial" w:cs="Arial" w:eastAsia="Arial" w:hAnsi="Arial"/>
                <w:sz w:val="15"/>
                <w:szCs w:val="15"/>
                <w:color w:val="auto"/>
              </w:rPr>
              <w:t>2</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6"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INTRODUCTION</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Unless otherwise indicated or the context otherwise requires, all references in this annual report on Form 20-F to the terms “ibex,” “IBEX,” “IBEX Limited,” the “Group,” the “Company,” “we,” “us,” and “our” refer to IBEX Limited and our wholly-owned subsidiaries for all periods presented in this Form 20-F.</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On August 7, 2020, our common shares were listed on the Nasdaq Global Market and began trading under the ticker symbol “IBEX”.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PRESENTATION OF FINANCIAL INFORMATION</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Our fiscal year ends on June 30. Our audited consolidated financial statements for the three years ended June 30, 2022 have been prepared in accordance with International Financial Reporting Standards (“IFRS”), as issued by the International Accounting Standards Board (“IASB”). Our financial information is presented in U.S. dollars. All references in this annual report on Form 20-F to “$” mean U.S. dollars. We have made rounding adjustments to some of the figures included in this annual report on Form 20-F. Accordingly, numerical figures shown as totals in some tables may not be an arithmetic aggregation of the figures that preceded them.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70"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This annual report contains forward-looking statements within the meaning of Section 27A of the Securities Act of 1933, as amended (“Securities Act”), Section 21E of the Securities Exchange Act of 1934, as amended (“Exchange Act”) and as defined in the Private Securities Litigation Reform Act of 1995 (“PSLRA”) that are subject to risks and uncertainties. All statements other than statements of historical fact included in this annual report are forward-looking statements. Forward-looking statements give our current expectations and projections relating to our financial condition, results of operations, plans, objectives, future performance and business. In some cases, you can identify forward-looking statements by the fact that they do not relate strictly to historical or current facts. These statements may include words such as “anticipate,” “estimate,” “expect,” “project,” “plan,” “intend,” “believe,” “may,” “will,” “should,” “can have,” “likely” and other words, the negative forms of such words and terms of similar meaning in connection with any discussion of the timing or nature of future operating or financial performance or other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 Important factors that could cause our actual results to differ materially from those indicated in the forward-looking statements include among others:</w:t>
      </w:r>
    </w:p>
    <w:p>
      <w:pPr>
        <w:spacing w:after="0" w:line="157" w:lineRule="exact"/>
        <w:rPr>
          <w:sz w:val="20"/>
          <w:szCs w:val="20"/>
          <w:color w:val="auto"/>
        </w:rPr>
      </w:pPr>
    </w:p>
    <w:p>
      <w:pPr>
        <w:jc w:val="both"/>
        <w:ind w:left="480" w:right="59" w:hanging="213"/>
        <w:spacing w:after="0" w:line="244" w:lineRule="auto"/>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The developments relating to COVID-19 and its variants, including the scope and duration of the pandemic and actions taken by federal, state and local governmental authorities in the United States, local governmental authorities in our international sites and our clients in response to the pandemic and the effect on our operations, operating budgets, cash flows and liquidity.</w:t>
      </w:r>
    </w:p>
    <w:p>
      <w:pPr>
        <w:spacing w:after="0" w:line="147"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The effect of cyberattacks on our information technology systems.</w:t>
      </w:r>
    </w:p>
    <w:p>
      <w:pPr>
        <w:spacing w:after="0" w:line="180"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attract new business and retain key clients.</w:t>
      </w:r>
    </w:p>
    <w:p>
      <w:pPr>
        <w:spacing w:after="0" w:line="180"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enter into multi-year contracts with our clients at appropriate rates.</w:t>
      </w:r>
    </w:p>
    <w:p>
      <w:pPr>
        <w:spacing w:after="0" w:line="180"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The potential for our clients or potential clients to consolidate.</w:t>
      </w:r>
    </w:p>
    <w:p>
      <w:pPr>
        <w:spacing w:after="0" w:line="180"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clients deciding to enter into or further expand their insourcing activities.</w:t>
      </w:r>
    </w:p>
    <w:p>
      <w:pPr>
        <w:spacing w:after="0" w:line="180" w:lineRule="exact"/>
        <w:rPr>
          <w:rFonts w:ascii="Times New Roman" w:cs="Times New Roman" w:eastAsia="Times New Roman" w:hAnsi="Times New Roman"/>
          <w:sz w:val="15"/>
          <w:szCs w:val="15"/>
          <w:color w:val="auto"/>
        </w:rPr>
      </w:pPr>
    </w:p>
    <w:p>
      <w:pPr>
        <w:ind w:left="480" w:right="59" w:hanging="213"/>
        <w:spacing w:after="0" w:line="259" w:lineRule="auto"/>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manage portions of our business that have long sales cycles and long implementation cycles that require significant resources and working capital.</w:t>
      </w:r>
    </w:p>
    <w:p>
      <w:pPr>
        <w:spacing w:after="0" w:line="135"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manage our international operations, particularly in the Philippines, Jamaica, Pakistan and Nicaragua.</w:t>
      </w:r>
    </w:p>
    <w:p>
      <w:pPr>
        <w:spacing w:after="0" w:line="180" w:lineRule="exact"/>
        <w:rPr>
          <w:rFonts w:ascii="Times New Roman" w:cs="Times New Roman" w:eastAsia="Times New Roman" w:hAnsi="Times New Roman"/>
          <w:sz w:val="15"/>
          <w:szCs w:val="15"/>
          <w:color w:val="auto"/>
        </w:rPr>
      </w:pPr>
    </w:p>
    <w:p>
      <w:pPr>
        <w:ind w:left="480" w:right="59" w:hanging="213"/>
        <w:spacing w:after="0" w:line="259" w:lineRule="auto"/>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comply with applicable laws and regulations, including those regarding privacy, data protection and information security.</w:t>
      </w:r>
    </w:p>
    <w:p>
      <w:pPr>
        <w:spacing w:after="0" w:line="135"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manage the inelasticity of our labor costs relative to short-term movements in client demand.</w:t>
      </w:r>
    </w:p>
    <w:p>
      <w:pPr>
        <w:spacing w:after="0" w:line="180"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realize the anticipated strategic and financial benefits of our relationship with Amazon.</w:t>
      </w:r>
    </w:p>
    <w:p>
      <w:pPr>
        <w:spacing w:after="0" w:line="180"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recruit, engage, motivate, manage and retain our global workforce.</w:t>
      </w:r>
    </w:p>
    <w:p>
      <w:pPr>
        <w:spacing w:after="0" w:line="180" w:lineRule="exact"/>
        <w:rPr>
          <w:rFonts w:ascii="Times New Roman" w:cs="Times New Roman" w:eastAsia="Times New Roman" w:hAnsi="Times New Roman"/>
          <w:sz w:val="15"/>
          <w:szCs w:val="15"/>
          <w:color w:val="auto"/>
        </w:rPr>
      </w:pPr>
    </w:p>
    <w:p>
      <w:pPr>
        <w:ind w:left="480" w:right="59" w:hanging="213"/>
        <w:spacing w:after="0" w:line="259" w:lineRule="auto"/>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anticipate, develop and implement information technology solutions that keep pace with evolving industry standards and changing client demands.</w:t>
      </w:r>
    </w:p>
    <w:p>
      <w:pPr>
        <w:spacing w:after="0" w:line="135"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maintain and enhance our reputation and brand.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derive many of our forward-looking statements from our operating budgets and forecasts, which are based upon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“Risk Factors” and “Operating and Financial Review and Prospects” in this annual report. 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annual report in the context of these risks and uncertainties.</w:t>
      </w:r>
    </w:p>
    <w:p>
      <w:pPr>
        <w:spacing w:after="0" w:line="153"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PART I</w:t>
      </w:r>
    </w:p>
    <w:p>
      <w:pPr>
        <w:spacing w:after="0" w:line="14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IDENTITY OF DIRECTORS, SENIOR MANAGEMENT AND ADVISERS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37"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OFFER STATISTICS AND EXPECTED TIMETABLE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37"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KEY INFORMATION</w:t>
      </w:r>
    </w:p>
    <w:p>
      <w:pPr>
        <w:spacing w:after="0" w:line="170" w:lineRule="exact"/>
        <w:rPr>
          <w:sz w:val="20"/>
          <w:szCs w:val="20"/>
          <w:color w:val="auto"/>
        </w:rPr>
      </w:pPr>
    </w:p>
    <w:p>
      <w:pPr>
        <w:ind w:left="40" w:right="339"/>
        <w:spacing w:after="0" w:line="271" w:lineRule="auto"/>
        <w:rPr>
          <w:sz w:val="20"/>
          <w:szCs w:val="20"/>
          <w:color w:val="auto"/>
        </w:rPr>
      </w:pPr>
      <w:r>
        <w:rPr>
          <w:rFonts w:ascii="Arial" w:cs="Arial" w:eastAsia="Arial" w:hAnsi="Arial"/>
          <w:sz w:val="15"/>
          <w:szCs w:val="15"/>
          <w:b w:val="1"/>
          <w:bCs w:val="1"/>
          <w:i w:val="1"/>
          <w:iCs w:val="1"/>
          <w:color w:val="auto"/>
        </w:rPr>
        <w:t>ibex is a leading provider of customer support services that helps drive extraordinary customer experiences for the world’s most recognized brands.</w:t>
      </w:r>
    </w:p>
    <w:p>
      <w:pPr>
        <w:spacing w:after="0" w:line="119"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We combine our strong heritage of delivering world-class CX operations delivery with best-in-class services and solutions that span omnichannel customer engagement and support, digital marketing and customer experience management to help our clients measure customer sentiment and deliver a superior CX to their end-customers.</w:t>
      </w:r>
    </w:p>
    <w:p>
      <w:pPr>
        <w:spacing w:after="0" w:line="14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Leveraging our proprietary Wave X purpose-built technology platform, company culture and operational excellence, ibex helps more than 130 clients create innovative and differentiated customer experiences to help increase loyalty, enhance brand awareness and drive revenue in an era of rapid change and digital transformation.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See “Item 4B Business Overview” for more information.</w:t>
      </w:r>
    </w:p>
    <w:p>
      <w:pPr>
        <w:spacing w:after="0" w:line="170" w:lineRule="exact"/>
        <w:rPr>
          <w:sz w:val="20"/>
          <w:szCs w:val="20"/>
          <w:color w:val="auto"/>
        </w:rPr>
      </w:pPr>
    </w:p>
    <w:p>
      <w:pPr>
        <w:ind w:left="280" w:hanging="245"/>
        <w:spacing w:after="0"/>
        <w:tabs>
          <w:tab w:leader="none" w:pos="2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[Reserved]</w:t>
      </w:r>
    </w:p>
    <w:p>
      <w:pPr>
        <w:spacing w:after="0" w:line="137" w:lineRule="exact"/>
        <w:rPr>
          <w:rFonts w:ascii="Arial" w:cs="Arial" w:eastAsia="Arial" w:hAnsi="Arial"/>
          <w:sz w:val="15"/>
          <w:szCs w:val="15"/>
          <w:b w:val="1"/>
          <w:bCs w:val="1"/>
          <w:color w:val="auto"/>
        </w:rPr>
      </w:pPr>
    </w:p>
    <w:p>
      <w:pPr>
        <w:ind w:left="300" w:hanging="265"/>
        <w:spacing w:after="0"/>
        <w:tabs>
          <w:tab w:leader="none" w:pos="30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Capitalization and Indebtedness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  Reasons for the Offer and Use of Proceeds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  Risk Factors</w:t>
      </w:r>
    </w:p>
    <w:p>
      <w:pPr>
        <w:spacing w:after="0" w:line="183" w:lineRule="exact"/>
        <w:rPr>
          <w:sz w:val="20"/>
          <w:szCs w:val="20"/>
          <w:color w:val="auto"/>
        </w:rPr>
      </w:pPr>
    </w:p>
    <w:p>
      <w:pPr>
        <w:jc w:val="both"/>
        <w:ind w:left="40" w:right="39"/>
        <w:spacing w:after="0" w:line="244" w:lineRule="auto"/>
        <w:rPr>
          <w:sz w:val="20"/>
          <w:szCs w:val="20"/>
          <w:color w:val="auto"/>
        </w:rPr>
      </w:pPr>
      <w:r>
        <w:rPr>
          <w:rFonts w:ascii="Arial" w:cs="Arial" w:eastAsia="Arial" w:hAnsi="Arial"/>
          <w:sz w:val="15"/>
          <w:szCs w:val="15"/>
          <w:i w:val="1"/>
          <w:iCs w:val="1"/>
          <w:color w:val="auto"/>
        </w:rPr>
        <w:t>We are subject to certain risks and uncertainties described below. These risks and uncertainties are not the only risks we face. Additional risks and uncertainties that are not presently known or are currently deemed immaterial may also impair our business and financial results.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Our Business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b w:val="1"/>
          <w:bCs w:val="1"/>
          <w:i w:val="1"/>
          <w:iCs w:val="1"/>
          <w:color w:val="auto"/>
        </w:rPr>
        <w:t>The COVID-19 pandemic has adversely impacted our business and results of operations. The ultimate impact of COVID-19 and its variants on our business, financial condition and results of operations will depend on future developments which are highly uncertain and cannot be predicted at this time, including the scope and duration of the pandemic and actions taken by federal, state and local governmental authorities in the United States, governmental authorities in our international sites and our clients in response to the pandemic.</w:t>
      </w:r>
    </w:p>
    <w:p>
      <w:pPr>
        <w:spacing w:after="0" w:line="14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global outbreak of COVID-19, including the emergence of variants and mutations of the original COVID-19 virus (the “Pandemic”) continues to rapidly evolve and has had a widespread and detrimental effect on the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global economy and has adversely impacted our business and results of operations. We have experienced travel bans, states of emergency, quarantines, lockdowns, “shelter in place” orders, business restrictions and shutdowns in most countries where we operate. While we are unable to accurately predict the full future impact that the Pandemic may have on our results from operations, financial condition, liquidity and cash flows due to numerous uncertainties, including the duration and severity of the Pandemic and its containment measures, our compliance with these measures has impacted our day-to-day operations and disrupted our business.</w:t>
      </w:r>
    </w:p>
    <w:p>
      <w:pPr>
        <w:spacing w:after="0" w:line="151" w:lineRule="exact"/>
        <w:rPr>
          <w:sz w:val="20"/>
          <w:szCs w:val="20"/>
          <w:color w:val="auto"/>
        </w:rPr>
      </w:pPr>
    </w:p>
    <w:p>
      <w:pPr>
        <w:jc w:val="both"/>
        <w:ind w:left="40" w:right="39"/>
        <w:spacing w:after="0" w:line="251" w:lineRule="auto"/>
        <w:rPr>
          <w:sz w:val="20"/>
          <w:szCs w:val="20"/>
          <w:color w:val="auto"/>
        </w:rPr>
      </w:pPr>
      <w:r>
        <w:rPr>
          <w:rFonts w:ascii="Arial" w:cs="Arial" w:eastAsia="Arial" w:hAnsi="Arial"/>
          <w:sz w:val="14"/>
          <w:szCs w:val="14"/>
          <w:color w:val="auto"/>
        </w:rPr>
        <w:t>The extent to which the Pandemic continues to adversely impact our business and results of operations will depend on numerous evolving factors that are difficult to predict and outside of our control, including: the duration and scope of the Pandemic; actions taken by governments and other parties, such as our clients, in response to the Pandemic; the impact of the Pandemic on economic activity in various regions and local economic actions taken in response; the continued effect of the Pandemic on our clients and client demand for our services and solutions; the continued ability of our clients to pay for our services and solutions on time or at all; our ability to sell and provide our services and solutions to clients and prospects; and the ability of our employees to successfully work remotely without suffering productivity issues due to, among other things, their own illness or the illness of family members, distractions at home, including family issues or virtual school learning for their children; and/or continued ability to have access to reliable and stable internet connections with sufficient bandwidth. The Pandemic has also led to, and may continue to lead to, increased costs, as we incur additional costs to ensure the continuity of our operations and support our remote work model. We expect to incur additional costs to monitor and improve the operational efficiency of our remote work model, implement new information technology solutions and security measures to safeguard against information security risks and protect the health and safety of our employees as they return to the office.</w:t>
      </w:r>
    </w:p>
    <w:p>
      <w:pPr>
        <w:spacing w:after="0" w:line="147" w:lineRule="exact"/>
        <w:rPr>
          <w:sz w:val="20"/>
          <w:szCs w:val="20"/>
          <w:color w:val="auto"/>
        </w:rPr>
      </w:pPr>
    </w:p>
    <w:p>
      <w:pPr>
        <w:jc w:val="both"/>
        <w:ind w:left="40" w:right="39"/>
        <w:spacing w:after="0" w:line="255" w:lineRule="auto"/>
        <w:rPr>
          <w:sz w:val="20"/>
          <w:szCs w:val="20"/>
          <w:color w:val="auto"/>
        </w:rPr>
      </w:pPr>
      <w:r>
        <w:rPr>
          <w:rFonts w:ascii="Arial" w:cs="Arial" w:eastAsia="Arial" w:hAnsi="Arial"/>
          <w:sz w:val="14"/>
          <w:szCs w:val="14"/>
          <w:color w:val="auto"/>
        </w:rPr>
        <w:t>Our continuous efforts to mitigate the negative effects of the Pandemic on our business may not be as effective in the future, and we may be affected by a protracted economic downturn. Even after the Pandemic has subsided, we may experience negative effects as a result of the Pandemic’s global economic impact. Further, as this Pandemic is unprecedented and continuously evolving, it may also affect our operating and financial results in a manner that is not presently known to us or in a manner that we currently do not consider will present significant risks to us or our operations. Addressing the significant personal and business challenges presented by the Pandemic, including various business continuity measures and the need to enable work-at-home arrangements for many of our employees, has demanded significant management time and attention and strained other corporate resources, and is expected to continue to do so.</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more information, see “Item 5A. Operating Results - Key Factors Affecting Our Performance.”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were the target of a cybersecurity attack that impacted a portion of our information technology systems.</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In August 2020, we detected a ransomware attack that briefly impacted a portion of our information technology systems. Immediately upon becoming aware of the attack, we implemented containment measures to prohibit access by the threat actor to our extended network which also prevented its access to our client’s networks and systems. Normal IT operations continued, leveraging our redundant infrastructure, and immediately restoring the impacted systems from online backup systems. At no time did the attack impact our business operations, but the unauthorized access included the exfiltration of non-production data files from a file server in our backup data center. In conjunction with our containment activities, we launched an investigation, notified our insurance broker and carrier, and engaged an incident response team and cybersecurity forensics firm. We worked with industry-leading cybersecurity firms who have implemented a series of additional containment and remediation measures to address the incident and reinforce the security of our information technology systems.</w:t>
      </w:r>
    </w:p>
    <w:p>
      <w:pPr>
        <w:spacing w:after="0" w:line="15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In March 2022, a class action lawsuit was filed against us in the United States District Court for the District of Columbia alleging the plaintiffs’ personal information was exposed as a result of the ransomware incident. In July 2022, the parties agreed to a preliminary settlement, which is subject to the Court approval. This incident has not had a material financial impact on our business, however we may incur losses associated with claims by third parties, as well as fines, penalties and other sanctions imposed by regulators relating to or arising from</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incident, which could have a material adverse impact on our business, financial condition or results of operations in future periods.</w:t>
      </w:r>
    </w:p>
    <w:p>
      <w:pPr>
        <w:spacing w:after="0" w:line="170" w:lineRule="exact"/>
        <w:rPr>
          <w:sz w:val="20"/>
          <w:szCs w:val="20"/>
          <w:color w:val="auto"/>
        </w:rPr>
      </w:pPr>
    </w:p>
    <w:p>
      <w:pPr>
        <w:jc w:val="both"/>
        <w:ind w:left="40" w:right="39"/>
        <w:spacing w:after="0" w:line="259" w:lineRule="auto"/>
        <w:rPr>
          <w:sz w:val="20"/>
          <w:szCs w:val="20"/>
          <w:color w:val="auto"/>
        </w:rPr>
      </w:pPr>
      <w:r>
        <w:rPr>
          <w:rFonts w:ascii="Arial" w:cs="Arial" w:eastAsia="Arial" w:hAnsi="Arial"/>
          <w:sz w:val="14"/>
          <w:szCs w:val="14"/>
          <w:color w:val="auto"/>
        </w:rPr>
        <w:t>While we continue to harden our cyber security infrastructure to address the constantly evolving threat landscape, we cannot provide assurance that our security frameworks and measures will be successful in preventing or promptly detecting and remediating future cyberattacks or a breach or compromise of security. Further, the incident or future incidents may have a negative impact on our reputation and cause customers, suppliers and other third parties with whom we maintain relationships to lose confidence in us. We are unable to definitively determine the impact to these relationships and whether we will need to engage in any activities to rebuild them.</w:t>
      </w:r>
    </w:p>
    <w:p>
      <w:pPr>
        <w:spacing w:after="0" w:line="138"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For more information, please refer to “Item 3D. Risk Factors—Risks Related to Our Business—Unauthorized or improper disclosure of personal information or breach of privacy, whether inadvertent or as the result of a cyber-attack or improperly by our employees, could result in liability and harm our reputation which could adversely affect our business, financial condition, results of operations and prospects” and “Item 3D. Risk Factors— Risks Related to Our Business—Our business is subject to a variety of U.S. and international laws and regulations, including those regarding privacy, data protection and information security, and our customers may be subject to regulations related to the handling and transfer of certain types of sensitive and confidential information. Any failure to comply with applicable laws and regulations would harm our business, results of operations and financial condition.”</w:t>
      </w:r>
    </w:p>
    <w:p>
      <w:pPr>
        <w:spacing w:after="0" w:line="151"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Our business is dependent on key clients, and the loss of a key client could have an adverse effect on our business and results of operations.</w:t>
      </w:r>
    </w:p>
    <w:p>
      <w:pPr>
        <w:spacing w:after="0" w:line="119"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We derive a substantial portion of our revenue from a few key clients. Our top three clients accounted for 27% of our revenue, and our top client accounted for 12% of our revenue for the fiscal year ended June 30, 2022. The loss of business with, or the failure to retain a significant amount of business with, any of our key clients could have a material adverse effect on our business, financial condition and results of operations. In addition, our ability to collect revenue could be impacted by the financial condition of our clients.</w:t>
      </w:r>
    </w:p>
    <w:p>
      <w:pPr>
        <w:spacing w:after="0" w:line="151"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We enter into multi-year contracts with our clients. Our failure to price these contracts correctly may negatively affect our profitability.</w:t>
      </w:r>
    </w:p>
    <w:p>
      <w:pPr>
        <w:spacing w:after="0" w:line="119"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pricing of our solutions is usually included in statements of work entered into with our clients, many of which are for terms of two to five years. In certain cases, we have committed to pricing over this period with limited to no sharing of risks regarding inflation and currency exchange rates. In addition, we are obligated under some of our contracts to deliver productivity benefits to our clients, such as reduction in handle time or speed to answer. If we fail to accurately estimate future wage inflation rates, unhedged currency exchange rates or our costs, or if we fail to accurately estimate the productivity benefits we can achieve under a contract, it could have a material adverse effect on our business, results of operations and financial condition.</w:t>
      </w:r>
    </w:p>
    <w:p>
      <w:pPr>
        <w:spacing w:after="0" w:line="150"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The terms of our client contracts may limit our profitability or enable our clients to reduce or terminate their use of our solutions.</w:t>
      </w:r>
    </w:p>
    <w:p>
      <w:pPr>
        <w:spacing w:after="0" w:line="119"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Most of our client contracts do not have minimum volume requirements, and the profitability of each client contract or work order may fluctuate, sometimes significantly, throughout various stages of the program. Certain contracts have performance-related bonus (penalty) provisions that require the client to pay us a bonus (require us to issue the client a credit) based upon our meeting (failing to meet) agreed-upon service levels and performance metrics. In addition, certain of our client contracts may subject us to potential liability and / or rebate payments in certain circumstances. Moreover, although our objective is to sign multi-year agreements, our contracts generally allow the client to terminate the contract for convenience or reduce their use of our solutions. There can be no assurance that our clients will not terminate their contracts before their scheduled expiration dates, that the volume of services for these programs will not be reduced, that we will be able to avoid penalties or earn performance bonuses for our solutions, or that we will be able to terminate unprofitable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contracts without incurring significant liabilities. For these reasons, there can be no assurance that our client contracts will be profitable for us or that we will be able to achieve or maintain any particular level of profitability through our client contracts.</w:t>
      </w:r>
    </w:p>
    <w:p>
      <w:pPr>
        <w:spacing w:after="0" w:line="13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The consolidation of our clients or potential clients may adversely affect our business, financial condition, results of operations and prospects.</w:t>
      </w:r>
    </w:p>
    <w:p>
      <w:pPr>
        <w:spacing w:after="0" w:line="119"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Consolidation of the potential users of our solutions, particularly those in the telecommunications, technology and cable industries, may decrease the number of clients who contract our solutions. Any significant reduction in or elimination of the use of the solutions we provide as a result of consolidation would result in reduced revenue to us and could harm our business. Such consolidation may encourage clients to apply increasing pressure on us to lower the prices we charge for our solutions, which could have a material adverse effect on our business, financial condition, results of operations and prospects.</w:t>
      </w:r>
    </w:p>
    <w:p>
      <w:pPr>
        <w:spacing w:after="0" w:line="151" w:lineRule="exact"/>
        <w:rPr>
          <w:sz w:val="20"/>
          <w:szCs w:val="20"/>
          <w:color w:val="auto"/>
        </w:rPr>
      </w:pPr>
    </w:p>
    <w:p>
      <w:pPr>
        <w:jc w:val="both"/>
        <w:ind w:left="40" w:right="39"/>
        <w:spacing w:after="0" w:line="251" w:lineRule="auto"/>
        <w:rPr>
          <w:sz w:val="20"/>
          <w:szCs w:val="20"/>
          <w:color w:val="auto"/>
        </w:rPr>
      </w:pPr>
      <w:r>
        <w:rPr>
          <w:rFonts w:ascii="Arial" w:cs="Arial" w:eastAsia="Arial" w:hAnsi="Arial"/>
          <w:sz w:val="15"/>
          <w:szCs w:val="15"/>
          <w:b w:val="1"/>
          <w:bCs w:val="1"/>
          <w:i w:val="1"/>
          <w:iCs w:val="1"/>
          <w:color w:val="auto"/>
        </w:rPr>
        <w:t>If our clients decide to enter into or further expand insourcing activities in the future, or if current trends toward outsourcing services and/or outsourcing activities are reversed, it may materially adversely affect our business, results of operations, financial condition and prospects.</w:t>
      </w:r>
    </w:p>
    <w:p>
      <w:pPr>
        <w:spacing w:after="0" w:line="134" w:lineRule="exact"/>
        <w:rPr>
          <w:sz w:val="20"/>
          <w:szCs w:val="20"/>
          <w:color w:val="auto"/>
        </w:rPr>
      </w:pPr>
    </w:p>
    <w:p>
      <w:pPr>
        <w:jc w:val="both"/>
        <w:ind w:left="40" w:right="39"/>
        <w:spacing w:after="0" w:line="263" w:lineRule="auto"/>
        <w:rPr>
          <w:sz w:val="20"/>
          <w:szCs w:val="20"/>
          <w:color w:val="auto"/>
        </w:rPr>
      </w:pPr>
      <w:r>
        <w:rPr>
          <w:rFonts w:ascii="Arial" w:cs="Arial" w:eastAsia="Arial" w:hAnsi="Arial"/>
          <w:sz w:val="14"/>
          <w:szCs w:val="14"/>
          <w:color w:val="auto"/>
        </w:rPr>
        <w:t>Our current agreements with our clients do not prevent our clients from insourcing services that are currently outsourced to us, and none of our clients have entered into any non-compete agreements with us. Our current clients may seek to insource services similar to those we provide. Any decision by our clients to enter into or further expand insourcing activities in the future could cause us to lose a significant volume of business and may materially adversely affect our business, financial condition, results of operations and prospects.</w:t>
      </w:r>
    </w:p>
    <w:p>
      <w:pPr>
        <w:spacing w:after="0" w:line="135"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Moreover, the trend towards outsourcing business processes may not continue and could be reversed by factors beyond our control, including negative perceptions attached to outsourcing activities or government regulations against outsourcing activities. Current or prospective clients may elect to perform such services in-house that may be associated with using an offshore provider. Political opposition to outsourcing services and / or outsourcing activities may also arise in certain countries if there is a perception that such actions have a negative effect on domestic employment opportunities.</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In addition, our business may be adversely affected by potential new laws and regulations prohibiting or limiting outsourcing of certain core business activities of our clients in key jurisdictions in which we conduct our business, such as in the United States. The introduction of such laws and regulations or the change in interpretation of existing laws and regulations could adversely affect our business, financial condition, results of operations and prospects.</w:t>
      </w:r>
    </w:p>
    <w:p>
      <w:pPr>
        <w:spacing w:after="0" w:line="151"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5"/>
          <w:szCs w:val="15"/>
          <w:b w:val="1"/>
          <w:bCs w:val="1"/>
          <w:i w:val="1"/>
          <w:iCs w:val="1"/>
          <w:color w:val="auto"/>
        </w:rPr>
        <w:t>Natural events, health epidemics (including the outbreak of COVID-19), wars, widespread civil unrest, terrorist attacks and other acts of violence involving any of the countries in which we or our clients have operations could adversely affect our operations and client confidence.</w:t>
      </w:r>
    </w:p>
    <w:p>
      <w:pPr>
        <w:spacing w:after="0" w:line="134"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Natural events (such as floods and earthquakes), health epidemics (including the outbreak of COVID-19), wars, widespread civil unrest, terrorist attacks and other acts of violence could result in significant worker absenteeism, increased attrition rates, lower asset utilization rates, voluntary or mandatory closure of our facilities, our inability to meet dynamic employee health and safety requirements, our inability to meet contractual service levels for our clients, our inability to procure essential supplies, travel restrictions on our employees, and other disruptions to our business. In addition, these events could adversely affect global economies, financial markets and our clients’ levels of business activity. Any of these events, their consequences or the costs related to mitigation or remediation could have a material adverse effect on our business, financial condition, results of operations and prospects.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Portions of our business have long sales cycles and long implementation cycles, which require significant resources and working capital.</w:t>
      </w:r>
    </w:p>
    <w:p>
      <w:pPr>
        <w:spacing w:after="0" w:line="119"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Many of our client contracts are entered into after long sales cycles, which require a significant investment of capital, resources and time by both our clients and us. Before committing to use our solutions, potential clients require us to expend substantial time and resources educating them as to the value of our solutions and assessing the feasibility of integrating our systems and processes with theirs. As a result, our selling cycle, which may extend up to two years, is subject to many risks and delays over which we have little or no control, including our clients’ decisions to choose alternatives to our solutions (such as other providers or in-house resources) and the timing of our clients’ budget cycles and approval processes.</w:t>
      </w:r>
    </w:p>
    <w:p>
      <w:pPr>
        <w:spacing w:after="0" w:line="15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In addition, implementing our solutions involves a significant commitment of resources over an extended period of time from both our clients and us. Our clients may also experience delays in obtaining internal approvals or may face delays associated with technology or system implementations, thereby further delaying the implementation process.</w:t>
      </w:r>
    </w:p>
    <w:p>
      <w:pPr>
        <w:spacing w:after="0" w:line="14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If we fail to close sales with potential clients to whom we have devoted significant time and resources, or if our current and future clients are not willing or able to invest the time and resources necessary to implement our solutions, our business, financial condition, results of operations and prospects could suffer.</w:t>
      </w:r>
    </w:p>
    <w:p>
      <w:pPr>
        <w:spacing w:after="0" w:line="146"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Our business relies heavily on technology, telephone and computer systems as well as third-party telecommunications providers, which subjects us to various uncertainties.</w:t>
      </w:r>
    </w:p>
    <w:p>
      <w:pPr>
        <w:spacing w:after="0" w:line="119"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We rely heavily on sophisticated and specialized communications and computer technology coupled with third-party telecommunications and bandwidth providers to provide high-quality and reliable real-time solutions on behalf of our clients through our delivery centers. In our Customer Acquisition solution, the majority of our sales are conducted via sales queues in our contact centers. In both our Customer Acquisition solution and our Customer Engagement solution, we are typically required to record and maintain recordings of telephonic interactions with customers. We rely on telephone, call recording, customer relationship management and other systems and technology in our contact center operations. Our operations, therefore, depend on the proper functioning of our equipment and systems, including telephone, hardware and software. Third-party suppliers provide most of our systems, hardware and software, while our development teams build some in-house. We also rely on the telecommunications and data services provided by local communication companies in the countries in which we operate as well as domestic and international long distance service providers. Despite our efforts for adequate backup and redundancy mechanisms, any disruptions in the delivery of our services due to the failure of our systems, hardware or software, whether provided and maintained by third parties or in-house teams, or due to interruptions in our telecommunications or data services that adversely affect the quality or reliability (or perceived quality or reliability) of our solutions or render us unable to handle increased volumes of customer interaction during periods of high demand, may result in reduction in revenue, loss of clients, or unexpected investment in new systems or technology to ensure that we can continue to provide high-quality and reliable solutions to our clients. The occurrence of any such interruption or unplanned investment could materially adversely affect our business, financial positions, operating results and prospects.</w:t>
      </w:r>
    </w:p>
    <w:p>
      <w:pPr>
        <w:spacing w:after="0" w:line="152"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4"/>
          <w:szCs w:val="14"/>
          <w:color w:val="auto"/>
        </w:rPr>
        <w:t>In addition, in some areas of our business, we depend upon the quality and reliability of the services and products of our clients which we help sell to their end customers. If the solutions we provide to our clients experience technical difficulties or quality issues, we may have a harder time selling services and products to end customers which could have an adverse impact on our business and operating results.</w:t>
      </w:r>
    </w:p>
    <w:p>
      <w:pPr>
        <w:spacing w:after="0" w:line="129"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We further anticipate that it will be necessary to continue to invest in our technology and communications infrastructure to ensure reliability and maintain our competitiveness. This is likely to result in significant ongoing capital expenditures for maintenance as well as growth as we continue to grow our business. There can be no assurance that any of our information systems will be adequate to meet our future needs or that we will be able to incorporate new technology to enhance and develop our existing solutions. Moreover, investments in technology, including future investments in upgrades and enhancements to hardware or software, may not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necessarily maintain our competitiveness. Our future success will also depend in part on our ability to anticipate and develop information technology solutions that keep pace with evolving industry standards and changing client demands.</w:t>
      </w:r>
    </w:p>
    <w:p>
      <w:pPr>
        <w:spacing w:after="0" w:line="135"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Our business is heavily dependent upon our international operations, particularly in the Philippines, Jamaica, Pakistan and Nicaragua and any disruption to those operations would adversely affect us.</w:t>
      </w:r>
    </w:p>
    <w:p>
      <w:pPr>
        <w:spacing w:after="0" w:line="119"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Outside of the United States, a substantial portion of our operations are conducted in the Philippines, Jamaica, Pakistan and Nicaragua. The Philippines has experienced political instability and acts of natural disaster, such as typhoons and flooding, and continues to be at risk of similar and other events that may disrupt our operations. Our operations in Jamaica, which commenced in 2016 and have been growing quickly, are also subject to political instability, natural disasters, crime and similar other risks. Pakistan has experienced, and continues to experience, political and social unrest and acts of terrorism. We also conduct operations in Nicaragua, Senegal, Honduras and the United Kingdom which are subject to various risks germane to those locations.</w:t>
      </w:r>
    </w:p>
    <w:p>
      <w:pPr>
        <w:spacing w:after="0" w:line="15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Our international operations, particularly in the Philippines, Jamaica, Pakistan and Nicaragua, and our ability to maintain our offshore facilities in those jurisdictions is an essential component of our business model, as the labor costs in certain of those jurisdictions are substantially lower than the cost of comparable labor in the United States and other developed countries, which allows us to competitively price our solutions. Our competitive advantage will be greatly diminished and may disappear altogether as a result of a number of factors, including:</w:t>
      </w:r>
    </w:p>
    <w:p>
      <w:pPr>
        <w:spacing w:after="0" w:line="151" w:lineRule="exact"/>
        <w:rPr>
          <w:sz w:val="20"/>
          <w:szCs w:val="20"/>
          <w:color w:val="auto"/>
        </w:rPr>
      </w:pPr>
    </w:p>
    <w:p>
      <w:pPr>
        <w:ind w:left="480" w:hanging="213"/>
        <w:spacing w:after="0"/>
        <w:tabs>
          <w:tab w:leader="none" w:pos="48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political unrest;</w:t>
      </w:r>
    </w:p>
    <w:p>
      <w:pPr>
        <w:spacing w:after="0" w:line="17"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social unrest;</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terrorism or war;</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health epidemics (including the outbreak of COVID-19);</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failure of power grids in certain of the countries in which we operate, which are subject to frequent outages;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currency fluctuations;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changes to the laws of the jurisdictions in which we operate; or</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increases in the cost of labor and supplies in the jurisdictions in which we operate.</w:t>
      </w:r>
    </w:p>
    <w:p>
      <w:pPr>
        <w:spacing w:after="0" w:line="167"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Our international operations may also be affected by trade restrictions, such as tariffs or other trade controls. If we are unable to continue to leverage the skills and experience of our international workforce, we may be unable to provide our solutions at an attractive price and our business could be materially and negatively impacted.</w:t>
      </w:r>
    </w:p>
    <w:p>
      <w:pPr>
        <w:spacing w:after="0" w:line="146"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The inelasticity of our labor costs relative to short-term movements in client demand could adversely affect our business, financial condition and results of operations.</w:t>
      </w:r>
    </w:p>
    <w:p>
      <w:pPr>
        <w:spacing w:after="0" w:line="119"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business depends on maintaining large numbers of agents to service our clients’ business needs, and we tend not to terminate agents on short notice to respond to temporary declines in demand in excess of agreed levels, as rehiring and retraining agents at a later date would force us to incur additional expenses, and any termination of our employees would also involve the incurrence of significant additional costs in the form of severance payments to comply with labor regulations in the various jurisdictions in which we operate our business, all of which would have an adverse impact on our operating profit margins. Additionally, the hiring and training of our agents in response to increased demand takes time and results in additional short-term expenses. These factors constrain our ability to adjust our labor costs for short-term movements in demand, which could have a material adverse effect on our business, financial condition and results of operations.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The anticipated strategic and financial benefits of our relationship with Amazon may not be realized.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On November 13, 2017, we issued to Amazon.com NV Investment Holdings LLC, a subsidiary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Amazon.com, Inc. (“Amazon”), a 10-year warrant to acquire approximately 10.0% of our equity on a fully diluted and as-converted basis as of the date of issuance of the warrant. We issued this warrant to Amazon with the expectation that the warrant would result in various benefits including, among others, growth in revenues and improved cash flows. Achieving the anticipated benefits from the warrant is subject to a number of challenges and uncertainties. If we are unable to achieve our objectives or if we experience delays, the expected benefits may be only partially realized or not at all, or may take longer to realize than expected, which could adversely impact our financial condition and results of operations.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more information, see our audited consolidated financial statements included at the end of this annual report.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The success of our business depends on our senior management and key employees.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Our success depends on the continued service and performance of our senior management and other key personnel. In each of the industries in which we participate, there is competition for experienced senior management and personnel with industry-specific expertise. We may not be able to retain our key personnel or recruit skilled personnel with appropriate qualifications and experience. The loss of key members of our personnel, particularly to competitors, could have a material adverse effect on our business, financial condition, results of operations and prospects.</w:t>
      </w:r>
    </w:p>
    <w:p>
      <w:pPr>
        <w:spacing w:after="0" w:line="151"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5"/>
          <w:szCs w:val="15"/>
          <w:b w:val="1"/>
          <w:bCs w:val="1"/>
          <w:i w:val="1"/>
          <w:iCs w:val="1"/>
          <w:color w:val="auto"/>
        </w:rPr>
        <w:t>We may fail to attract, hire, train and retain sufficient numbers of agents and other employees in a timely fashion at our facilities to support our operations, which could have a material adverse effect on our business, financial condition, results of operations and prospects.</w:t>
      </w:r>
    </w:p>
    <w:p>
      <w:pPr>
        <w:spacing w:after="0" w:line="134"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Our business relies on large numbers of trained agents and other employees at our facilities, and our success depends to a significant extent on our ability to attract, hire, train and retain agents and other employees. The outsourcing industry experiences high employee turnover. In addition, we compete for employees not only with other companies in our industry, but also with companies in other industries. Increased competition for these employees, in our industry or otherwise, particularly in tight labor markets, could have an adverse effect on our business. Additionally, a significant increase in the turnover rate among trained employees could increase our costs and decrease our operating profit margins.</w:t>
      </w:r>
    </w:p>
    <w:p>
      <w:pPr>
        <w:spacing w:after="0" w:line="15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In addition, our ability to maintain and renew existing client engagements, obtain new business and increase our margins will depend, in large part, on our ability to attract, hire, train and retain employees with skills that enable us to keep pace with growing demands for outsourcing, evolving industry standards, new technology applications and changing client preferences. Our failure to attract, train and retain personnel with the experience and skills necessary to fulfill the needs of our existing and future clients or to assimilate new employees successfully into our operations could have a material adverse effect on our business, financial condition, results of operations and prospects.</w:t>
      </w:r>
    </w:p>
    <w:p>
      <w:pPr>
        <w:spacing w:after="0" w:line="150"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If we are not successful in converting visitors to our customer acquisition websites into purchasers or subscribers, our business and operating results may be harmed.</w:t>
      </w:r>
    </w:p>
    <w:p>
      <w:pPr>
        <w:spacing w:after="0" w:line="119"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growth of our customer acquisition business depends in part upon growth in the number of our customers or subscribers we are able to acquire for our clients. The rate at which we convert consumers into customers or subscribers using our customer acquisition websites is a significant factor in the growth of our customer acquisition business. A number of factors could influence this conversion rate for any given period, some of which are outside of our control. These factors include:</w:t>
      </w:r>
    </w:p>
    <w:p>
      <w:pPr>
        <w:spacing w:after="0" w:line="151" w:lineRule="exact"/>
        <w:rPr>
          <w:sz w:val="20"/>
          <w:szCs w:val="20"/>
          <w:color w:val="auto"/>
        </w:rPr>
      </w:pPr>
    </w:p>
    <w:p>
      <w:pPr>
        <w:ind w:left="480" w:hanging="213"/>
        <w:spacing w:after="0"/>
        <w:tabs>
          <w:tab w:leader="none" w:pos="48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the quality of the consumer experience on our customer acquisition websites and with our delivery center;</w:t>
      </w:r>
    </w:p>
    <w:p>
      <w:pPr>
        <w:spacing w:after="0" w:line="17"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the variety and affordability of the products and services that we offer on behalf of our clients and carrier partners;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system failures or interruptions in the operation of our customer acquisition websites; and</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the mix of consumers who are referred to us through our direct marketing partners, online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advertising subscriber acquisition channels and other marketing channels.</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Even if the rate at which we convert visitors to customers or subscribers declines, the marketing and lead generation costs that have already been incurred are unlikely to decline correspondingly. Therefore, such a decline in conversion rate of consumers visiting our customer acquisition websites is likely to result in reduced revenue and a further reduced margin, which could have a material adverse effect on our business, financial condition and operating results.</w:t>
      </w:r>
    </w:p>
    <w:p>
      <w:pPr>
        <w:spacing w:after="0" w:line="151"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5"/>
          <w:szCs w:val="15"/>
          <w:b w:val="1"/>
          <w:bCs w:val="1"/>
          <w:i w:val="1"/>
          <w:iCs w:val="1"/>
          <w:color w:val="auto"/>
        </w:rPr>
        <w:t>We depend upon internet search engines to attract a significant portion of the consumers who visit our customer acquisition websites, and if we are unable to advertise on search engines on a cost-effective basis, our business and operating results would be harmed.</w:t>
      </w:r>
    </w:p>
    <w:p>
      <w:pPr>
        <w:spacing w:after="0" w:line="134"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We maintain a number of different customer acquisition websites to market our clients’ offerings to consumers in their target customer segments. Such client service offerings include cable, internet and paid television services. We derive a significant portion of our customer acquisition website traffic from consumers who search products or services using Internet search engines, such as Google, MSN and Yahoo!. A critical factor in attracting consumers to our customer acquisition websites is whether our clients’ offerings are prominently displayed in response to an internet search relating to specific products or services that we market. Search engines typically provide two types of search results, unpaid (natural) listings and paid advertisements. We rely on both unpaid listings and paid advertisements to attract consumers to our customer acquisition websites.</w:t>
      </w:r>
    </w:p>
    <w:p>
      <w:pPr>
        <w:spacing w:after="0" w:line="151" w:lineRule="exact"/>
        <w:rPr>
          <w:sz w:val="20"/>
          <w:szCs w:val="20"/>
          <w:color w:val="auto"/>
        </w:rPr>
      </w:pPr>
    </w:p>
    <w:p>
      <w:pPr>
        <w:jc w:val="both"/>
        <w:ind w:left="40" w:right="39"/>
        <w:spacing w:after="0" w:line="252" w:lineRule="auto"/>
        <w:rPr>
          <w:sz w:val="20"/>
          <w:szCs w:val="20"/>
          <w:color w:val="auto"/>
        </w:rPr>
      </w:pPr>
      <w:r>
        <w:rPr>
          <w:rFonts w:ascii="Arial" w:cs="Arial" w:eastAsia="Arial" w:hAnsi="Arial"/>
          <w:sz w:val="14"/>
          <w:szCs w:val="14"/>
          <w:color w:val="auto"/>
        </w:rPr>
        <w:t>Unpaid search result listings are determined and displayed in accordance with a set of formulas or algorithms developed by the particular internet search engine. The algorithms determine the order of the listing of results in response to the consumer’s internet search. From time to time, search engines revise these algorithms. In some instances, these modifications have caused our customer acquisition websites to be listed less prominently in unpaid search results, which has resulted in decreased traffic to these websites. Our customer acquisition websites may also become listed less prominently in unpaid search results for other reasons, such as search engine technical difficulties, search engine technical changes and changes we decide to make to our websites. In addition, search engines have deemed the practices of some companies to be inconsistent with search engine guidelines and decided not to list their websites in search result listings at all. If we are listed less prominently in search result listings for any reason, the traffic to our customer acquisition websites would likely decline, which would harm our operating results. If we decide to attempt to replace this traffic, we may be required to increase our marketing expenditures, which also would harm our operating results and financial condition.</w:t>
      </w:r>
    </w:p>
    <w:p>
      <w:pPr>
        <w:spacing w:after="0" w:line="146"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also purchase paid advertisements on search engines in order to attract users to our customer acquisition websites. We typically pay a search engine for prominent placement of our name and website when certain specific terms are searched on the search engine, regardless of the unpaid search result listings. In some circumstances, the prominence of the placement of our name and website is determined by a combination of factors, including the amount we are willing to pay and algorithms designed to determine the relevance of our paid advertisement to a particular search term. We bid against our competitors and others for the display of these paid search engine advertisements. If there is increased competition for the display of paid advertisements in response to search terms related to our business, our advertising expenses could rise significantly or we could reduce or discontinue our paid search advertisements, either of which could harm our business, operating results and financial condition.</w:t>
      </w:r>
    </w:p>
    <w:p>
      <w:pPr>
        <w:spacing w:after="0" w:line="153"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In addition to marketing through internet search engines, we frequently enter into contractual marketing relationships with other online and offline businesses that promote us to their customers. These marketing partners include financial and online service companies, affiliate programs and online advertisers and content providers.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Many factors influence the success of our relationship with our marketing partners, including:</w:t>
      </w:r>
    </w:p>
    <w:p>
      <w:pPr>
        <w:spacing w:after="0" w:line="170" w:lineRule="exact"/>
        <w:rPr>
          <w:sz w:val="20"/>
          <w:szCs w:val="20"/>
          <w:color w:val="auto"/>
        </w:rPr>
      </w:pPr>
    </w:p>
    <w:p>
      <w:pPr>
        <w:ind w:left="4420" w:right="2819" w:hanging="4153"/>
        <w:spacing w:after="0" w:line="766" w:lineRule="auto"/>
        <w:tabs>
          <w:tab w:leader="none" w:pos="475"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the continued positive market presence, reputation and growth of the marketing partner;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32385</wp:posOffset>
            </wp:positionV>
            <wp:extent cx="568198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 w:hanging="213"/>
        <w:spacing w:after="0"/>
        <w:tabs>
          <w:tab w:leader="none" w:pos="48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effectiveness of the marketing partner in marketing our websites and services;</w:t>
      </w:r>
    </w:p>
    <w:p>
      <w:pPr>
        <w:spacing w:after="0" w:line="17"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the interest of the marketing partner’s customers in the products and services that we offer on our customer acquisition websites;</w:t>
      </w:r>
    </w:p>
    <w:p>
      <w:pPr>
        <w:spacing w:after="0" w:line="15" w:lineRule="exact"/>
        <w:rPr>
          <w:rFonts w:ascii="Times New Roman" w:cs="Times New Roman" w:eastAsia="Times New Roman" w:hAnsi="Times New Roman"/>
          <w:sz w:val="14"/>
          <w:szCs w:val="14"/>
          <w:color w:val="auto"/>
        </w:rPr>
      </w:pPr>
    </w:p>
    <w:p>
      <w:pPr>
        <w:ind w:left="480" w:hanging="213"/>
        <w:spacing w:after="0"/>
        <w:tabs>
          <w:tab w:leader="none" w:pos="48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contractual terms we negotiate with the marketing partner, including the marketing fee we agree to pay a marketing partner;</w:t>
      </w:r>
    </w:p>
    <w:p>
      <w:pPr>
        <w:spacing w:after="0" w:line="3" w:lineRule="exact"/>
        <w:rPr>
          <w:rFonts w:ascii="Times New Roman" w:cs="Times New Roman" w:eastAsia="Times New Roman" w:hAnsi="Times New Roman"/>
          <w:sz w:val="15"/>
          <w:szCs w:val="15"/>
          <w:color w:val="auto"/>
        </w:rPr>
      </w:pPr>
    </w:p>
    <w:p>
      <w:pPr>
        <w:ind w:left="480" w:right="59" w:hanging="213"/>
        <w:spacing w:after="0" w:line="230" w:lineRule="auto"/>
        <w:tabs>
          <w:tab w:leader="none" w:pos="48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percentage of the marketing partner’s customers that purchase products or services through our customer acquisition websites;</w:t>
      </w:r>
    </w:p>
    <w:p>
      <w:pPr>
        <w:ind w:left="480" w:hanging="213"/>
        <w:spacing w:after="0"/>
        <w:tabs>
          <w:tab w:leader="none" w:pos="48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of a marketing partner to maintain efficient and uninterrupted operation of its website; and</w:t>
      </w:r>
    </w:p>
    <w:p>
      <w:pPr>
        <w:spacing w:after="0" w:line="3" w:lineRule="exact"/>
        <w:rPr>
          <w:rFonts w:ascii="Times New Roman" w:cs="Times New Roman" w:eastAsia="Times New Roman" w:hAnsi="Times New Roman"/>
          <w:sz w:val="15"/>
          <w:szCs w:val="15"/>
          <w:color w:val="auto"/>
        </w:rPr>
      </w:pPr>
    </w:p>
    <w:p>
      <w:pPr>
        <w:ind w:left="480" w:right="59" w:hanging="213"/>
        <w:spacing w:after="0" w:line="239" w:lineRule="auto"/>
        <w:tabs>
          <w:tab w:leader="none" w:pos="48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work with the marketing partner to implement website changes, launch marketing campaigns and pursue other initiatives necessary to maintain positive consumer experiences and acceptable traffic volumes.</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If we are unable to maintain successful relationships with our existing marketing partners or fail to establish successful relationships with new marketing partners, our business, operating results and financial condition will be harmed.</w:t>
      </w:r>
    </w:p>
    <w:p>
      <w:pPr>
        <w:spacing w:after="0" w:line="135" w:lineRule="exact"/>
        <w:rPr>
          <w:sz w:val="20"/>
          <w:szCs w:val="20"/>
          <w:color w:val="auto"/>
        </w:rPr>
      </w:pPr>
    </w:p>
    <w:p>
      <w:pPr>
        <w:jc w:val="both"/>
        <w:ind w:left="40" w:right="39"/>
        <w:spacing w:after="0" w:line="251" w:lineRule="auto"/>
        <w:rPr>
          <w:sz w:val="20"/>
          <w:szCs w:val="20"/>
          <w:color w:val="auto"/>
        </w:rPr>
      </w:pPr>
      <w:r>
        <w:rPr>
          <w:rFonts w:ascii="Arial" w:cs="Arial" w:eastAsia="Arial" w:hAnsi="Arial"/>
          <w:sz w:val="15"/>
          <w:szCs w:val="15"/>
          <w:b w:val="1"/>
          <w:bCs w:val="1"/>
          <w:i w:val="1"/>
          <w:iCs w:val="1"/>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134"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use of technology in our industry has and will continue to expand and change rapidly. Our business depends, in part, upon our ability to develop and implement solutions that anticipate and keep pace with continuing changes in technology, industry standards and client preferences. We may incur significant expenses in an effort to keep pace with customer preferences for technology or to gain a competitive advantage through technological expertise or new technologies.</w:t>
      </w:r>
    </w:p>
    <w:p>
      <w:pPr>
        <w:spacing w:after="0" w:line="151"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4"/>
          <w:szCs w:val="14"/>
          <w:color w:val="auto"/>
        </w:rPr>
        <w:t>If we do not recognize the importance of a particular new technology to our business in a timely manner, are not committed to investing in and developing or adopting such new technology and applying these technologies to our business, or are unable to attract and retain the technologists necessary to develop and implement such technologies, our current solutions may be less attractive to existing and new clients, and we may lose market share to competitors who have recognized these trends and invested in such technology. There can be no assurance that we will have sufficient capacity or capital to meet these challenges. Any such failure to recognize the importance of such technology, a decision not to invest and develop or adopt such technology that keeps pace with evolving industry standards and changing client demands, or an inability to attract and retain the technologists necessary to develop and implement such technology could have a material adverse effect on our business, financial condition, results of operations and prospects.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Increases in employee expenses as well as changes to labor laws could reduce our profit margin.</w:t>
      </w:r>
    </w:p>
    <w:p>
      <w:pPr>
        <w:spacing w:after="0" w:line="170"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We may not be successful in our attempt to control costs associated with salaries and benefits as we continue to add capacity in locations where we consider wage levels of skilled personnel to be satisfactory. For the fiscal year ended June 30, 2022, payroll and related costs and share-based payments accounted for $344.0 million, or 69.7%, of our revenue. Employee benefits expenses in each of the countries in which we operate are a function of the country’s economic growth, level of employment and overall competition for qualified employees in the country. In most of the geographies in which we operate, we have experienced increasing labor costs due to increased demand and greater competition for qualified employees in fiscal year 2022. We may need to increase employee compensation more than in previous periods to remain competitive in attracting the quantity and quality of employees that our business requires, which may reduce our profit margins and have a material adverse effect on our cash flows, business, financial condition, results of operations and prospects. In addition, wage increases or other expenses related to the termination of our employees may reduce our profit margins and have a material adverse effect on our cash flows, business, financial condition, results of operations and prospects. If we expand our operations into new jurisdictions, we may be subject to increased operating costs,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including higher employee compensation expenses in these new jurisdictions relative to our current operating costs, which could have a negative effect on our profit margin.</w:t>
      </w:r>
    </w:p>
    <w:p>
      <w:pPr>
        <w:spacing w:after="0" w:line="135" w:lineRule="exact"/>
        <w:rPr>
          <w:sz w:val="20"/>
          <w:szCs w:val="20"/>
          <w:color w:val="auto"/>
        </w:rPr>
      </w:pPr>
    </w:p>
    <w:p>
      <w:pPr>
        <w:jc w:val="both"/>
        <w:ind w:left="40" w:right="39"/>
        <w:spacing w:after="0" w:line="255" w:lineRule="auto"/>
        <w:rPr>
          <w:sz w:val="20"/>
          <w:szCs w:val="20"/>
          <w:color w:val="auto"/>
        </w:rPr>
      </w:pPr>
      <w:r>
        <w:rPr>
          <w:rFonts w:ascii="Arial" w:cs="Arial" w:eastAsia="Arial" w:hAnsi="Arial"/>
          <w:sz w:val="14"/>
          <w:szCs w:val="14"/>
          <w:color w:val="auto"/>
        </w:rPr>
        <w:t>Furthermore, many of the countries in which we operate have labor protection laws, which may include statutorily mandated minimum annual wage increases, legislation that imposes financial obligations on employers and laws governing the employment of workers. These labor laws in one or more of the key jurisdictions in which we operate, particularly in the United States, Pakistan, the Philippines, Jamaica or Nicaragua, may be modified in the future in a way that is detrimental to our business. If these labor laws become more stringent, or if there are increases in statutory minimum wages or higher labor costs in these jurisdictions, it may become more difficult for us to discharge employees or cost effectively downsize our operations as our level of activity fluctuates, both of which would likely reduce our profit margins and have a material adverse effect on our business, financial condition, results of operations and prospects.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may face difficulties as we expand our operations into countries in which we have no prior operating experience.</w:t>
      </w:r>
    </w:p>
    <w:p>
      <w:pPr>
        <w:spacing w:after="0" w:line="17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We may expand our global operations in order to maintain an appropriate cost structure and meet our clients’ needs. This may involve expanding into countries other than those in which we currently operate and where we have less familiarity with local procedures. It may involve expanding into less developed countries, which may have less political, social or economic stability and less developed infrastructure and legal systems. As we expand our business into new countries, we may encounter economic, regulatory, personnel, technological and other difficulties that increase our expenses or delay our ability to start up our operations or become profitable in such countries. This may affect our relationships with our clients and could have an adverse effect on our business, financial condition, results of operations and prospects.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profitability will suffer if we are not able to maintain asset utilization levels, price appropriately and control our costs.</w:t>
      </w:r>
    </w:p>
    <w:p>
      <w:pPr>
        <w:spacing w:after="0" w:line="170"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Our profitability is largely a function of the efficiency with which we utilize our assets, particularly our people and facilities, and the pricing that we are able to obtain for our solutions. Our utilization rates are affected by a number of factors, including our ability to transition employees from completed projects to new assignments, hire and assimilate new employees, forecast demand for our solutions and thereby maintain an appropriate headcount in each of our locations and geographies, manage attrition, accommodate our clients’ requests to shift the mix of delivery locations during the pendency of a contract, and manage resources for training, professional development and other typically non-billable activities. The prices we are able to charge for our solutions are affected by a number of factors, including our clients’ perceptions of our ability to add value through our solutions, competition, introduction of new services or products by us or our competitors, our ability to accurately estimate, attain and sustain revenues from client engagements, margins and cash flows over increasingly longer contract periods and general economic and political conditions. Therefore, if we are unable to price appropriately or manage our asset utilization levels, there could be a material adverse effect on our business, results of operations and financial condition.</w:t>
      </w:r>
    </w:p>
    <w:p>
      <w:pPr>
        <w:spacing w:after="0" w:line="152"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Our profitability is also a function of our ability to control our costs and improve our efficiency. As we increase the number of our employees and grow our business, we may not be able to manage the significantly larger and more geographically diverse workforce and our profitability may suffer.</w:t>
      </w:r>
    </w:p>
    <w:p>
      <w:pPr>
        <w:spacing w:after="0" w:line="14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The inability or unwillingness of clients that represent a large portion of our accounts receivable balance to pay such balances in a timely fashion could adversely affect our business.</w:t>
      </w:r>
    </w:p>
    <w:p>
      <w:pPr>
        <w:spacing w:after="0" w:line="119"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We often carry significant accounts receivable balances from a limited number of clients that generate a large portion of our revenues. A client may become unable or unwilling to pay its balance in a timely fashion due to a general economic slowdown, economic weakness in its industry or the financial insolvency of its business. While we closely monitor our accounts receivable balances, a client’s financial inability or unwillingness, for 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reason, to pay a large accounts receivable balance would adversely impact our financial condition and cash flow and could adversely impact our ability to draw upon our receivables-backed lines of credit.</w:t>
      </w:r>
    </w:p>
    <w:p>
      <w:pPr>
        <w:spacing w:after="0" w:line="13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If we are unable to fund our working capital requirements and new investments, our business, financial condition, results of operations and prospects could be adversely affected.</w:t>
      </w:r>
    </w:p>
    <w:p>
      <w:pPr>
        <w:spacing w:after="0" w:line="119"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Our business is characterized by high working capital requirements and the need to make new investments in operating sites and employee resources to meet the requirements of our clients. Similar to our competitors in this industry, we incur significant start-up costs related to investments in infrastructure to provide our solutions and the hiring and training of employees, such expenses historically being incurred before revenues are generated.</w:t>
      </w:r>
    </w:p>
    <w:p>
      <w:pPr>
        <w:spacing w:after="0" w:line="151" w:lineRule="exact"/>
        <w:rPr>
          <w:sz w:val="20"/>
          <w:szCs w:val="20"/>
          <w:color w:val="auto"/>
        </w:rPr>
      </w:pPr>
    </w:p>
    <w:p>
      <w:pPr>
        <w:jc w:val="both"/>
        <w:ind w:left="40" w:right="39"/>
        <w:spacing w:after="0" w:line="263" w:lineRule="auto"/>
        <w:rPr>
          <w:sz w:val="20"/>
          <w:szCs w:val="20"/>
          <w:color w:val="auto"/>
        </w:rPr>
      </w:pPr>
      <w:r>
        <w:rPr>
          <w:rFonts w:ascii="Arial" w:cs="Arial" w:eastAsia="Arial" w:hAnsi="Arial"/>
          <w:sz w:val="14"/>
          <w:szCs w:val="14"/>
          <w:color w:val="auto"/>
        </w:rPr>
        <w:t>We are exposed to adverse changes in our clients’ payment policies. If our key clients implement policies which extend the payment terms of our invoices, our working capital levels could be adversely affected and our financing costs may increase. If we are unable to fund our working capital requirements, access financing at competitive rates or make investments to meet the expanding business of our existing and potential new clients, our business, financial condition, results of operations and prospects could be adversely affected.</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operating results may fluctuate from quarter to quarter due to various factors including seasonality.</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operating results may vary significantly from one quarter to the next and our business may be impacted by factors such as client loss, the timing of new contracts and of new product or service offerings, termination of existing contracts, variations in the volume of business from clients resulting from changes in our clients’ operations, the business decisions of our clients regarding the use of our solutions, start-up costs, delays or difficulties in expanding our operating facilities and infrastructure, delays or difficulties in recruiting, changes to our revenue mix or to our pricing structure or that of our competitors, inaccurate estimates of resources and time required to complete ongoing projects, currency fluctuation and seasonal changes in the operations of our clients. The financial benefit of gaining a new client may not be recognized at the intended time due to delays in the implementation of our solutions or negatively impacted due to an increase in the start-up costs.</w:t>
      </w:r>
    </w:p>
    <w:p>
      <w:pPr>
        <w:spacing w:after="0" w:line="153"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Based on our experience, the BPO industry experiences increased volumes during the fourth calendar quarter of the year. These seasonal effects also cause differences in revenues and income among the various quarters of any financial year, which means that the individual quarters of a year should not be directly compared with each other or used to predict annual financial results.</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sales cycle for our solutions, which may extend up to two years, and the internal budget and approval processes of our prospective clients, make it difficult to predict the timing of new client engagements.</w:t>
      </w:r>
    </w:p>
    <w:p>
      <w:pPr>
        <w:spacing w:after="0" w:line="13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Damage or disruptions to our technology systems and facilities either through events beyond or within our control could have a material adverse effect on our business, financial condition, results of operations and prospects.</w:t>
      </w:r>
    </w:p>
    <w:p>
      <w:pPr>
        <w:spacing w:after="0" w:line="119"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4"/>
          <w:szCs w:val="14"/>
          <w:color w:val="auto"/>
        </w:rPr>
        <w:t>Our key technology systems and facilities may be damaged in natural disasters such as earthquakes or fires or subject to damage or compromise from human error, technical disruptions, power failure, computer glitches, cyberattacks, security incidents and breaches, viruses or other malware, telecommunications failures, adverse weather conditions and other unforeseen events, all of which are beyond our control or through bad service or poor performance which are within our control. Such events may cause disruptions to information systems, electrical power and telephone service for sustained periods. Any significant failure, damage or destruction of our equipment or systems, or any major disruptions to basic infrastructure such as power and telecommunications systems in the locations in which we operate, could impede our ability to provide solutions to our clients and thus adversely affect their businesses, have a negative impact on our reputation and may cause us to incur substantial additional expenses to repair or replace damaged equipment or facilities.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While we maintain property, cyber, and business interruption insurance, our insurance coverage may not be sufficient to guarantee costs of repairing the damage caused by such disruptive events and such events may not be covered under our policies. Prolonged disruption of our solutions, even if due to events beyond our control, could also entitle our clients to terminate their contracts with us or result in other brand and reputational damages, which would have a material adverse effect on our business, financial condition, results of operations and prospects.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face substantial competition in our business.</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The market in which we compete, which is comprised of the customer acquisition, customer engagement and customer experience management market segments, is highly fragmented and continuously evolving. We face competition from a variety of companies, including some of our own clients, which operate in distinct segments of the customer lifecycle journey. These segments are very competitive, and we expect competition to remain intense from a number of sources in the future. We believe that the most significant competitive factors in the markets in which we operate are service quality, value-added service offerings, industry experience, advanced technological capabilities, global coverage, reliability, scalability, security and price. The trend toward near- and offshore outsourcing, international expansion by foreign and domestic competitors and continued technological changes may result in new and different competitors entering our markets. These competitors may include entrants from the communications, software and data networking industries or entrants in geographical locations with lower costs than those in which we operate.</w:t>
      </w:r>
    </w:p>
    <w:p>
      <w:pPr>
        <w:spacing w:after="0" w:line="15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Some of our existing and future competitors have or will have greater financial, human and other resources, longer operating histories, greater technological expertise and more established relationships in the industries that we currently serve or may serve in the future. In addition, some of our competitors may enter into strategic or commercial relationships among themselves or with larger, more established companies in order to increase their ability to address customer needs and reduce operating costs or enter into similar arrangements with potential clients. Further, trends of consolidation in our certain industries and among competitors may result in new competitors with greater scale, a broader footprint, better technologies and price efficiencies attractive to our clients. Increased competition, our inability to compete successfully, pricing pressures or loss of market share could result in reduced operating profit margins and diminished financial performance which could have a material adverse effect on our business, financial condition, results of operations and prospects.</w:t>
      </w:r>
    </w:p>
    <w:p>
      <w:pPr>
        <w:spacing w:after="0" w:line="150" w:lineRule="exact"/>
        <w:rPr>
          <w:sz w:val="20"/>
          <w:szCs w:val="20"/>
          <w:color w:val="auto"/>
        </w:rPr>
      </w:pPr>
    </w:p>
    <w:p>
      <w:pPr>
        <w:jc w:val="both"/>
        <w:ind w:left="40" w:right="39"/>
        <w:spacing w:after="0" w:line="251" w:lineRule="auto"/>
        <w:rPr>
          <w:sz w:val="20"/>
          <w:szCs w:val="20"/>
          <w:color w:val="auto"/>
        </w:rPr>
      </w:pPr>
      <w:r>
        <w:rPr>
          <w:rFonts w:ascii="Arial" w:cs="Arial" w:eastAsia="Arial" w:hAnsi="Arial"/>
          <w:sz w:val="15"/>
          <w:szCs w:val="15"/>
          <w:b w:val="1"/>
          <w:bCs w:val="1"/>
          <w:i w:val="1"/>
          <w:iCs w:val="1"/>
          <w:color w:val="auto"/>
        </w:rPr>
        <w:t>Unfavorable economic conditions, especially in the United States and in the telecommunications, technology and cable industries from which we generate a significant percentage of our revenue, could adversely affect our business, results of operations, financial condition and prospects.</w:t>
      </w:r>
    </w:p>
    <w:p>
      <w:pPr>
        <w:spacing w:after="0" w:line="134"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Our results of operations may vary based on the impact of changes in the global economy on our clients. While it is often difficult to predict the impact of general economic conditions on our business, unfavorable economic conditions, such as those that occurred during the global financial crisis and economic downturn that began in 2008, could adversely affect the demand for some of our clients’ products and services and, in turn, could cause a decline in the demand for our solutions. Additionally, several of our clients, particularly in the telecommunications and technology industries, have experienced substantial price competition. As a result, we face increasing price pressure from such clients, which, if continued, could negatively affect our operating and financial performance.</w:t>
      </w:r>
    </w:p>
    <w:p>
      <w:pPr>
        <w:spacing w:after="0" w:line="150" w:lineRule="exact"/>
        <w:rPr>
          <w:sz w:val="20"/>
          <w:szCs w:val="20"/>
          <w:color w:val="auto"/>
        </w:rPr>
      </w:pPr>
    </w:p>
    <w:p>
      <w:pPr>
        <w:jc w:val="both"/>
        <w:ind w:left="40" w:right="39"/>
        <w:spacing w:after="0" w:line="255" w:lineRule="auto"/>
        <w:rPr>
          <w:sz w:val="20"/>
          <w:szCs w:val="20"/>
          <w:color w:val="auto"/>
        </w:rPr>
      </w:pPr>
      <w:r>
        <w:rPr>
          <w:rFonts w:ascii="Arial" w:cs="Arial" w:eastAsia="Arial" w:hAnsi="Arial"/>
          <w:sz w:val="14"/>
          <w:szCs w:val="14"/>
          <w:color w:val="auto"/>
        </w:rPr>
        <w:t>Our business and future growth depend largely on continued demand for our solutions from clients based in the United States. We derived 96.6% of our revenue from customers based in the United States during the fiscal year ended June 30, 2022. In addition, a substantial portion of our clients are concentrated in the telecommunications, technology, and cable industries. For the fiscal year ended June 30, 2022, 18.1% of our revenue was derived from clients in the telecommunications industry, 13.8% of our revenue was derived from clients in the technology industry, 4.1% of our revenue was derived from clients in the cable industry and 19.4% of our revenue was derived from clients in the retail and e-commerce industry. For these reasons, among others, the occurrence or persistence of unfavorable economic conditions could adversely affect our business, results of operations, financial condition and prospects.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50" w:lineRule="auto"/>
        <w:rPr>
          <w:sz w:val="20"/>
          <w:szCs w:val="20"/>
          <w:color w:val="auto"/>
        </w:rPr>
      </w:pPr>
      <w:r>
        <w:rPr>
          <w:rFonts w:ascii="Arial" w:cs="Arial" w:eastAsia="Arial" w:hAnsi="Arial"/>
          <w:sz w:val="15"/>
          <w:szCs w:val="15"/>
          <w:b w:val="1"/>
          <w:bCs w:val="1"/>
          <w:i w:val="1"/>
          <w:iCs w:val="1"/>
          <w:color w:val="auto"/>
        </w:rPr>
        <w:t>If our solutions do not comply with the quality standards required by our clients under our agreements, our clients may assert claims for reduced payments to us or substantial damages against us, which could have a material adverse effect on our business, financial condition, results of operations and prospects.</w:t>
      </w:r>
    </w:p>
    <w:p>
      <w:pPr>
        <w:spacing w:after="0" w:line="13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Many of our client contracts contain service level and performance requirements, including requirements relating to the quality of our solutions. Failure to meet service requirements or real or perceived errors made by our employees in the course of delivering our solutions could result in a reduction of revenue, which could have a material adverse effect on our business, financial condition, results of operations and prospects.</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In addition, in connection with our service contracts, certain representations are made, including representations relating to the quality and experience of our personnel. A failure or inability to meet these requirements or a breach of such representations could result in a claim for damages against us and seriously damage our reputation and affect our ability to attract new business.</w:t>
      </w:r>
    </w:p>
    <w:p>
      <w:pPr>
        <w:spacing w:after="0" w:line="14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Our business prospects will suffer if we are unable to continue to anticipate our clients’ needs by adapting to market and technology trends.</w:t>
      </w:r>
    </w:p>
    <w:p>
      <w:pPr>
        <w:spacing w:after="0" w:line="119"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success depends, in part, upon our ability to anticipate our clients’ needs by adapting to market and technology trends. We may need to invest significant resources in research and development to maintain and improve our solutions and respond to our clients’ changing needs. However, we may not be able to modify our current solutions or develop, introduce and integrate new solutions in a timely manner or on a cost-effective basis. If we are unable to further refine and enhance our solutions or to anticipate innovation opportunities and keep pace with evolving technologies, our solutions could become uncompetitive or obsolete and as a result our clients may terminate their relationship with us or choose to divert their business elsewhere, and our revenue may decline as a result. In addition, we may experience technical problems and additional costs as we introduce new solutions, deploy future iterations of our solutions and integrate new solutions with existing client systems and workflows. If any of these or related problems were to arise, our business, financial condition, results of operations and prospects could be adversely affected.</w:t>
      </w:r>
    </w:p>
    <w:p>
      <w:pPr>
        <w:spacing w:after="0" w:line="15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In addition, we plan to expand across client industries and enter into new industry verticals such as travel and hospitality. If we are unable to successfully adapt our solutions to these industry verticals, our potential growth opportunities could be compromised.</w:t>
      </w:r>
    </w:p>
    <w:p>
      <w:pPr>
        <w:spacing w:after="0" w:line="135" w:lineRule="exact"/>
        <w:rPr>
          <w:sz w:val="20"/>
          <w:szCs w:val="20"/>
          <w:color w:val="auto"/>
        </w:rPr>
      </w:pPr>
    </w:p>
    <w:p>
      <w:pPr>
        <w:jc w:val="both"/>
        <w:ind w:left="40" w:right="39"/>
        <w:spacing w:after="0" w:line="251" w:lineRule="auto"/>
        <w:rPr>
          <w:sz w:val="20"/>
          <w:szCs w:val="20"/>
          <w:color w:val="auto"/>
        </w:rPr>
      </w:pPr>
      <w:r>
        <w:rPr>
          <w:rFonts w:ascii="Arial" w:cs="Arial" w:eastAsia="Arial" w:hAnsi="Arial"/>
          <w:sz w:val="15"/>
          <w:szCs w:val="15"/>
          <w:b w:val="1"/>
          <w:bCs w:val="1"/>
          <w:i w:val="1"/>
          <w:iCs w:val="1"/>
          <w:color w:val="auto"/>
        </w:rPr>
        <w:t>If we fail to adequately protect our intellectual property and proprietary information in the United States and abroad, our competitive position could be impaired and we may lose valuable assets, experience reduced revenues and incur costly litigation to protect our rights.</w:t>
      </w:r>
    </w:p>
    <w:p>
      <w:pPr>
        <w:spacing w:after="0" w:line="134"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believe that our success is dependent, in part, upon protecting our intellectual property and proprietary information. We rely on a combination of intellectual property registrations, trade secrets and contractual restrictions to establish and protect our intellectual property. However, the steps we take to protect our intellectual property may provide only limited protection and may not now or in the future provide us with a competitive advantage. We may not be able to protect our intellectual property if we are unable to enforce our rights or if we do not detect unauthorized use of our intellectual property. Any of our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 solutions. In addition, the laws of some countries do not protect proprietary rights to the same extent as the laws of the United States.</w:t>
      </w:r>
    </w:p>
    <w:p>
      <w:pPr>
        <w:spacing w:after="0" w:line="15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enter into confidentiality and invention assignment agreements with our employees and consultants and enter into confidentiality agreements with our directors, advisory board members and with the parties with whom we have strategic relationships and business alliances, as well as our clients. No assurance can be given that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these agreements will be effective in controlling access to and the distribution of our proprietary information. Further, these agreements may not prevent potential competitors from independently developing technologies that are substantially equivalent or superior to ours, in which case we would not be able to assert trade secret rights.</w:t>
      </w:r>
    </w:p>
    <w:p>
      <w:pPr>
        <w:spacing w:after="0" w:line="146"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eligibility, validity and enforceability of our intellectual property rights. Our inability to protect our proprietary technology against unauthorized copying or use, as well as any costly litigation, could make it more expensive for us to do business and adversely affect our operating results by delaying further sales or the implementation of our technologies, impairing the functionality of our platform and solutions, delaying introductions of new features or applications or injuring our reputation.</w:t>
      </w:r>
    </w:p>
    <w:p>
      <w:pPr>
        <w:spacing w:after="0" w:line="153"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Others could claim that we infringe on their intellectual property rights or violate contractual protections, which may result in substantial costs, diversion of resources and management attention and harm to our reputation.</w:t>
      </w:r>
    </w:p>
    <w:p>
      <w:pPr>
        <w:spacing w:after="0" w:line="119"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We or our clients may be subject to claims that our technology infringes upon the intellectual property rights of others. Any such infringement claims may result in substantial costs, divert management attention and other resources, harm our reputation and prevent us from offering our solutions. A successful infringement claim against us could materially and adversely affect our business, resulting in our substituting inferior or costlier technologies into our platform and solutions, monetary damages, reasonable royalties or an injunction against providing some or all of our solutions.</w:t>
      </w:r>
    </w:p>
    <w:p>
      <w:pPr>
        <w:spacing w:after="0" w:line="151"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In our contracts, we agree to indemnify our clients for expenses and liabilities resulting from claimed infringement by our solutions, in some cases excluding third-party components, of the intellectual property rights of others. In some instances, the amount of these indemnity obligations may be greater than the revenues we receive from the client under the applicable contract. In addition, we may develop work product in connection with specific projects for our clients. While our contracts with our clients provide that we retain the ownership rights to our pre-existing proprietary intellectual property, in some cases we assign to clients intellectual property rights in and to some aspects of documentation or other work product developed specifically for these clients in connection with these projects, which may limit or prevent our ability to resell or reuse this intellectual property.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global operations expose us to numerous legal and regulatory requirements.</w:t>
      </w:r>
    </w:p>
    <w:p>
      <w:pPr>
        <w:spacing w:after="0" w:line="170"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We provide solutions to our clients’ customers in 43 countries and three continents around the world. We are subject to numerous, and sometimes conflicting, legal regimes on matters as diverse as anticorruption, content requirements, trade restrictions, tariffs, taxation, sanctions, immigration, internal and disclosure control obligations, securities regulation, anti-competition, data security, privacy and labor relations. For example, our operations in the United States are subject to U.S. laws on these diverse matters and our operations outside of the United States may also be subject to U.S. laws on these diverse matters. U.S. laws may be different in several respects from the laws of Pakistan, the Philippines, Jamaica and Nicaragua, where we have significant operations, and jurisdictions where we may seek to expand. We also have and may seek to expand operations in emerging market jurisdictions where legal systems may be less developed or familiar to us. 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performance of our obligations to our clients also could result in liability for significant monetary damages, fines or criminal prosecution, unfavorable publicity and other reputational damage,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are subject to economic sanctions, export control, anti-corruption, anti-bribery, and similar laws. Non-compliance with such laws can subject us to criminal or civil liability and harm our business, revenues, financial condition and results of operations.</w:t>
      </w:r>
    </w:p>
    <w:p>
      <w:pPr>
        <w:spacing w:after="0" w:line="135"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are subject to U.S. export controls and economic sanctions laws and regulations, including the U.S. Export Administration Regulations administered by the U.S. Commerce Department’s Bureau of Industry and Security and the economic and trade sanctions regulations administered by the U.S. Treasury Department’s Office of Foreign Assets Controls. Exports, re-exports and transfers of our software and services must be made in compliance with these laws and regulations, which could impair our ability to compete in international markets and subject us to liability if we are not in compliance with applicable laws. Specifically, the provision of our services and our international activities are subject to various economic and trade sanctions administered by the U.S. Treasury Department’s Office of Foreign Assets Control, which include prohibitions on the sale or supply of certain products and services to U.S. embargoed or sanctioned countries, governments, persons and entities. The Office of Foreign Assets Control rules also prohibit U.S. persons from facilitating a foreign person’s engagement in or with such countries, governments, persons and entities.</w:t>
      </w:r>
    </w:p>
    <w:p>
      <w:pPr>
        <w:spacing w:after="0" w:line="15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Although we take precautions to prevent our services from being provided or deployed in violation of such laws, our services could be provided inadvertently in violation of such laws despite the precautions we take, including usage by our customers in violation of our terms of service. We also cannot assure you that our employees and agents will not take actions in violation of our policies and applicable law, for which we may be ultimately held responsible. If we fail to comply with these laws, we and our employees could be subject to civil or criminal penalties, including the possible loss of export privileges, monetary penalties, and, in extreme cases, imprisonment of responsible employees for knowing and willful violations of these laws. We may also be adversely affected through penalties, reputational harm, loss of access to certain markets, or otherwise.</w:t>
      </w:r>
    </w:p>
    <w:p>
      <w:pPr>
        <w:spacing w:after="0" w:line="151"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products in those countries. Changes in our products, or future changes in export and import regulations may prevent our users with international operations from utilizing our products globally or, in some cases, prevent the export or import of our products to certain countries, governments, or persons altogether. Any change in export or import regulations, economic sanctions, or related legislation, or change in the countries, governments, persons, or technologies targeted by such regulations, could result in decreased use of our products by, or in our decreased ability to export or sell products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50"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In many parts of the world, including countries in which we operate or seek to expand, practices in the local business community may not conform to international business standards and could violate anticorruption laws or regulations, including the U.S. Foreign Corrupt Practices Act, the U.K. Bribery Act 2010 and the Bermuda Bribery Act of 2016. Our employees, subcontractors, agents and other third parties with which we associate could take actions that violate our policies or procedures designed to promote legal and regulatory compliance or applicable anticorruption laws or regulations. As we continue our international business, we may also engage with distributors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including U.S. federal contracting, any of which could materially adversely affect our business, including our results of operations and our reputation.</w:t>
      </w:r>
    </w:p>
    <w:p>
      <w:pPr>
        <w:spacing w:after="0" w:line="151"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We cannot predict whether any material suits, claims, or investigations may arise in the future. Regardless of the outcome of any future actions, claims, or investigations, we may incur substantial defense costs and such actions may cause a diversion of management time and attention. Also, it is possible that we may be required to pay substantial damages or settlement costs which could have a material adverse effect on our business, financial condition, results of operations and prospects.</w:t>
      </w:r>
    </w:p>
    <w:p>
      <w:pPr>
        <w:spacing w:after="0" w:line="15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Our client base includes many entities in highly regulated industries, potentially increasing our legal risk and compliance costs and requiring implementation of additional security measures.</w:t>
      </w:r>
    </w:p>
    <w:p>
      <w:pPr>
        <w:spacing w:after="0" w:line="119"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Many of our clients are engaged in highly regulated industries that have an array of sector-specific regulatory obligations, including privacy and security requirements. Specifically, our focus on the telecommunications, technology and cable industries means that we may process or come into possession of data that must be treated with special care. In additional to government regulations, our client contracts contain requirements related to the retention of records.</w:t>
      </w:r>
    </w:p>
    <w:p>
      <w:pPr>
        <w:spacing w:after="0" w:line="151" w:lineRule="exact"/>
        <w:rPr>
          <w:sz w:val="20"/>
          <w:szCs w:val="20"/>
          <w:color w:val="auto"/>
        </w:rPr>
      </w:pPr>
    </w:p>
    <w:p>
      <w:pPr>
        <w:jc w:val="both"/>
        <w:ind w:left="40" w:right="39"/>
        <w:spacing w:after="0" w:line="255" w:lineRule="auto"/>
        <w:rPr>
          <w:sz w:val="20"/>
          <w:szCs w:val="20"/>
          <w:color w:val="auto"/>
        </w:rPr>
      </w:pPr>
      <w:r>
        <w:rPr>
          <w:rFonts w:ascii="Arial" w:cs="Arial" w:eastAsia="Arial" w:hAnsi="Arial"/>
          <w:sz w:val="14"/>
          <w:szCs w:val="14"/>
          <w:color w:val="auto"/>
        </w:rPr>
        <w:t>In the United States, telecommunications providers are subject to rules on the use and sharing of Customer Proprietary Network Information (“CPNI”). The Telecommunications Act of 1996 limits the uses to which such information may be put, and the parties with whom it may be shared, absent customer permission. It also requires that CPNI be adequately safeguarded. Compliance with these obligations has been a topic of increased interest for the U.S. Federal Communications Commission (“FCC”) which has undertaken high-profile CPNI enforcement actions in recent years. The FCC also is in the process of applying such rules to broadband service providers, which could affect how we may provide our solutions to this sector of the telecommunications industry. We instruct our clients not to provide any CPNI to us, but this information may inadvertently be provided to us by our clients as part of their customer information.</w:t>
      </w:r>
    </w:p>
    <w:p>
      <w:pPr>
        <w:spacing w:after="0" w:line="141"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In the United States, two federal agencies, the Federal Trade Commission (“FTC”) and the FCC, and various states have enacted laws including, at the federal level, the Telephone Consumer Protection Act of 1991, that restrict the placing of certain telephone calls and texts to residential and wireless telephone subscribers by means of automatic telephone dialing systems, prerecorded or artificial voice messages and fax machines. Internationally, we are also subject to similar laws imposing limitations on marketing calls to wireline and wireless numbers and compliance with do not call rules. These laws require companies to institute processes and safeguards to comply with these restrictions. Some of these laws can be enforced by the FTC, FCC, state attorney generals, foreign regulators or private party litigants. In these types of actions, the plaintiff may seek damages, statutory penalties, costs and/or attorneys’ fees.</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These and other sector-specific obligations could increase our legal risk and impose additional compliance costs on our solutions. If we fail to comply with these obligations, we could suffer a range of consequences, including contract breach claims from our clients, third party claims and litigation, regulatory fines and other penalties, or reputational harm, all of which may have a material adverse impact on our business.</w:t>
      </w:r>
    </w:p>
    <w:p>
      <w:pPr>
        <w:spacing w:after="0" w:line="151" w:lineRule="exact"/>
        <w:rPr>
          <w:sz w:val="20"/>
          <w:szCs w:val="20"/>
          <w:color w:val="auto"/>
        </w:rPr>
      </w:pPr>
    </w:p>
    <w:p>
      <w:pPr>
        <w:jc w:val="both"/>
        <w:ind w:left="40" w:right="39"/>
        <w:spacing w:after="0" w:line="244" w:lineRule="auto"/>
        <w:rPr>
          <w:sz w:val="20"/>
          <w:szCs w:val="20"/>
          <w:color w:val="auto"/>
        </w:rPr>
      </w:pPr>
      <w:r>
        <w:rPr>
          <w:rFonts w:ascii="Arial" w:cs="Arial" w:eastAsia="Arial" w:hAnsi="Arial"/>
          <w:sz w:val="15"/>
          <w:szCs w:val="15"/>
          <w:b w:val="1"/>
          <w:bCs w:val="1"/>
          <w:i w:val="1"/>
          <w:iCs w:val="1"/>
          <w:color w:val="auto"/>
        </w:rPr>
        <w:t>Our business is subject to a variety of U.S. and international laws and regulations, including those regarding privacy, data protection and information security, and our customers may be subject to regulations related to the handling and transfer of certain types of personal and confidential information. Any failure to comply with applicable laws and regulations would harm our business, results of operations and financial condition.</w:t>
      </w:r>
    </w:p>
    <w:p>
      <w:pPr>
        <w:spacing w:after="0" w:line="139"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We and our customers may be subject to privacy- and data protection-related laws and regulations that impose obligations in connection with the collection, use, storage, transfer, dissemination, security, and/or other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processing (“Processing”) of personal information (such personal information collectively with all information defined or described by applicable law as “personal data,” “personally identifiable information,” “PII” or any similar term, is referred to as personal information), data, financial data, health data or other similar data. Existing U.S. federal, state and foreign privacy- and data protection-related laws and regulations are evolving and subject to potentially differing interpretations and conflicting requirements, and various legislative and regulatory bodies may expand current or enact new laws and regulations regarding privacy- and data protection-related matters. New laws, amendments to or re-interpretations of existing laws and regulations, rules of self-regulatory bodies, industry standards and contractual obligations may impact our business and practices, and we may be required to expend significant resources to adapt to these changes or stop offering our products in certain countries. These developments could adversely affect our business, results of operations and financial condition.</w:t>
      </w:r>
    </w:p>
    <w:p>
      <w:pPr>
        <w:spacing w:after="0" w:line="150"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In the United States, the privacy and data protection rules and regulations to which we may be subject include those promulgated under the authority of the FTC, state regulators, and regulator enforcement positions and expectations. At the state level, all states have implemented security breach notification laws. Several states, including California, Connecticut, Maryland, Utah, and Virginia have enacted laws creating new individual privacy rights for consumers (as that word is broadly defined in the law) and placing increased privacy and security obligations on entities handling personal information of consumers (which, depending on the law may include employee data and business contact information) or households. The California Consumer Privacy Act (CCPA), the only such law currently in effect, requires covered companies to provide new disclosures to California consumers and provide such consumers ways to opt-out of certain sales of personal information. The CCPA provides for civil penalties for violations and allows for a new cause of action for data breaches. Additionally, a new privacy law, the California Privacy Rights Act, or the CPRA, was approved by California voters in the November 2020 election. The CPRA, which will take effect in most material respects in January 2023, modifies the CCPA significantly, potentially resulting in further uncertainty and requiring us to incur additional costs and expenses in an effort to comply. Other U.S. states, including Colorado, Connecticut, Virginia, and Utah, have enacted similar—but not identical—laws. As our business is directed exclusively to business consumers, we may not be directly subject to all such consumer-directed privacy laws. Nonetheless, we must evaluate whether and to what extent we are required to comply with any such law; to the extent that we are subject to these or other privacy laws, we may be required to implement additional processes or procedures or change the way in which we do business, ultimately increasing costs and limiting our ability to collect, use, and share data subject to those laws.</w:t>
      </w:r>
    </w:p>
    <w:p>
      <w:pPr>
        <w:spacing w:after="0" w:line="152" w:lineRule="exact"/>
        <w:rPr>
          <w:sz w:val="20"/>
          <w:szCs w:val="20"/>
          <w:color w:val="auto"/>
        </w:rPr>
      </w:pPr>
    </w:p>
    <w:p>
      <w:pPr>
        <w:jc w:val="both"/>
        <w:ind w:left="40" w:right="39"/>
        <w:spacing w:after="0" w:line="232" w:lineRule="auto"/>
        <w:rPr>
          <w:sz w:val="20"/>
          <w:szCs w:val="20"/>
          <w:color w:val="auto"/>
        </w:rPr>
      </w:pPr>
      <w:r>
        <w:rPr>
          <w:rFonts w:ascii="Arial" w:cs="Arial" w:eastAsia="Arial" w:hAnsi="Arial"/>
          <w:sz w:val="15"/>
          <w:szCs w:val="15"/>
          <w:color w:val="auto"/>
        </w:rPr>
        <w:t>Similarly, many foreign countries and governmental bodies, including the EU member states and the United Kingdom, have laws and regulations concerning the Processing of personal information obtained from their residents and individuals located in the EU or UK or by businesses operating within their jurisdiction, which are often more restrictive than those in the United States. Laws and regulations in these jurisdictions apply broadly to the Processing of personal information that identifies, may be used to identify, or merely relates to an individual; this includes names, email addresses and, in some jurisdictions, IP addresses and other online or device identifiers. In particular, on April 27, 2016, the European Union adopted the General Data Protection Regulation 2016 / 679 (“EU-GDPR”) that took effect on May 25, 2018. The EU-GDPR repeals and replaces the EU Data Protection Directive 95 / 46 / EC, and it is directly applicable across EU member states. The EU-GDPR applies to any company established in the EU as well as to those outside the EU if they process Personally Identifiable Information, as defined under the EU-GDPR, related to the provision of goods or services to individuals in the EU or the monitoring of individuals’ behavior (for example, through online tracking) in the EU. The EU-GDPR enhances data protection obligations for businesses and provides direct legal obligations and potential liabilities for service providers processing Personally Identifiable Information on behalf of customers, including with respect to cooperation with European data protection authorities, implementation of security measures and keeping records of personal information processing activities. Moreover, the EU-GDPR requirements apply not only to third-party transactions, such as with our customers and service providers, but also to transfers of EU personal information between us and our subsidiaries, including employee information. Noncompliance with the EU-GDPR can trigger steep fines of up to €20 million or 4% of global annual revenues, whichever is higher. Following the withdrawal of the United Kingdom from the EU, the United Kingdom now falls under the UK General Data Protection Regulation (the UK-GDPR), which is tailored by the Data Protection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Act of 2018, as amended. The UK-GDPR was drafted almost word for word from the EU-GDPR law text and revised to accommodate United Kingdom law rather than EU law.</w:t>
      </w:r>
    </w:p>
    <w:p>
      <w:pPr>
        <w:spacing w:after="0" w:line="135" w:lineRule="exact"/>
        <w:rPr>
          <w:sz w:val="20"/>
          <w:szCs w:val="20"/>
          <w:color w:val="auto"/>
        </w:rPr>
      </w:pPr>
    </w:p>
    <w:p>
      <w:pPr>
        <w:jc w:val="both"/>
        <w:ind w:left="40" w:right="39"/>
        <w:spacing w:after="0" w:line="251" w:lineRule="auto"/>
        <w:rPr>
          <w:sz w:val="20"/>
          <w:szCs w:val="20"/>
          <w:color w:val="auto"/>
        </w:rPr>
      </w:pPr>
      <w:r>
        <w:rPr>
          <w:rFonts w:ascii="Arial" w:cs="Arial" w:eastAsia="Arial" w:hAnsi="Arial"/>
          <w:sz w:val="14"/>
          <w:szCs w:val="14"/>
          <w:color w:val="auto"/>
        </w:rPr>
        <w:t>In addition to the EU-GDPR, the EU also is considering another draft data protection regulation. The proposed regulation, known as the Regulation on Privacy and Electronic Communications (“ePrivacy Regulation”) would replace the current ePrivacy Directive. Originally planned to be adopted and implemented at the same time as the EU-GDPR, the ePrivacy Regulation has been delayed but could be enacted sometime in the relatively near future. While the new regulation contains protections for those using communications services (for example, protections against online tracking technologies), the potential timing of its enactment significantly later than the EU-GDPR means that additional time and effort may need to be spent addressing differences between the ePrivacy Regulation and the EU-GDPR.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 Preparing for and complying with the EU-GDPR and the ePrivacy Regulation (if and when it becomes effective) has required and will continue to require us to incur substantial operational costs and may require us to change our business practices. Despite our efforts to bring practices into compliance with the EU-GDPR and before the effective date of the ePrivacy Regulation, we may not be successful either due to internal or external factors such as resource allocation limitations or varying regulatory interpretation of these laws’ requirements. Non-compliance could result in proceedings against us by governmental entities, customers, data subjects, consumer associations or others.</w:t>
      </w:r>
    </w:p>
    <w:p>
      <w:pPr>
        <w:spacing w:after="0" w:line="143"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also are—or would be—subject to data protection and information security laws in other jurisdictions in which we operate, including in the Philippines and Pakistan. Laws in these and other countries are continuing to evolve. With respect to all the foregoing, any failure or perceived failure by us to comply with applicable U.S., EU or other foreign privacy or data security laws, policies, industry standards or legal obligations, or any security incident that results in the unauthorized Processing of personal information or other customer data may result in governmental investigations, inquiries, enforcement actions and prosecutions, private litigation, fines and penalties or adverse publicity.</w:t>
      </w:r>
    </w:p>
    <w:p>
      <w:pPr>
        <w:spacing w:after="0" w:line="150" w:lineRule="exact"/>
        <w:rPr>
          <w:sz w:val="20"/>
          <w:szCs w:val="20"/>
          <w:color w:val="auto"/>
        </w:rPr>
      </w:pPr>
    </w:p>
    <w:p>
      <w:pPr>
        <w:jc w:val="both"/>
        <w:ind w:left="40" w:right="39"/>
        <w:spacing w:after="0" w:line="259" w:lineRule="auto"/>
        <w:rPr>
          <w:sz w:val="20"/>
          <w:szCs w:val="20"/>
          <w:color w:val="auto"/>
        </w:rPr>
      </w:pPr>
      <w:r>
        <w:rPr>
          <w:rFonts w:ascii="Arial" w:cs="Arial" w:eastAsia="Arial" w:hAnsi="Arial"/>
          <w:sz w:val="14"/>
          <w:szCs w:val="14"/>
          <w:color w:val="auto"/>
        </w:rPr>
        <w:t>We expect that there will continue to be new proposed laws, regulations and industry standards concerning privacy, data protection and information security in the U.S., the EU and other jurisdictions, and we cannot yet determine the impact such future laws, regulations and standards may have on our business. Because global laws, regulations, industry standards and other legal obligations concerning privacy, data security, and information security have continued to develop and evolve rapidly, it is possible that we or our business may not be, or may not have been, compliant with each such applicable law, regulation, industry standard or other legal obligation.</w:t>
      </w:r>
    </w:p>
    <w:p>
      <w:pPr>
        <w:spacing w:after="0" w:line="138"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Any such new laws, regulations, other legal obligations or industry standards, or any changed interpretation of existing laws, regulations or other standards may require us to incur additional costs and restrict our business operations. If our privacy, data security, or information security measures fail to comply with current or future laws, regulations, policies, legal obligations or industry standards, we may be subject to litigation, regulatory investigations, fines or other liabilities, as well as negative publicity and a potential loss of business.</w:t>
      </w:r>
    </w:p>
    <w:p>
      <w:pPr>
        <w:spacing w:after="0" w:line="151"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5"/>
          <w:szCs w:val="15"/>
          <w:b w:val="1"/>
          <w:bCs w:val="1"/>
          <w:i w:val="1"/>
          <w:iCs w:val="1"/>
          <w:color w:val="auto"/>
        </w:rPr>
        <w:t>Unauthorized or improper disclosure of personal information, breach of privacy, whether inadvertent or as the result of a cyber-attack or improperly by our employees, could result in liability and harm our reputation which could adversely affect our business, financial condition, results of operations and prospects.</w:t>
      </w:r>
    </w:p>
    <w:p>
      <w:pPr>
        <w:spacing w:after="0" w:line="13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4"/>
          <w:szCs w:val="14"/>
          <w:color w:val="auto"/>
        </w:rPr>
        <w:t>Our business depends significantly upon technology infrastructure, telephone systems, data and other equipment and systems. Internal or external attacks on any of those could disrupt the normal operations of our facilities and impede our ability to provide critical solutions to our clients, thereby subjecting us to liability under our contracts. In addition, our business involves the use, storage, and transmission of information about our employees, our clients, and customers of our clients in connection with our solutions such as personal</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information of the customers of our clients. While we take measures to protect the security of, and against unauthorized access to, our systems, as well as the privacy of personal information and proprietary information, it is possible that our security controls over our systems, as well as other security practices we follow, may not prevent the improper access to or disclosure of personal information or proprietary information. Such disclosure could harm our reputation and subject us to significant liability under our contracts and laws that protect personal information, resulting in increased costs or loss of revenue. Further, data privacy is subject to frequently changing rules and regulations, which sometimes conflict among the various jurisdictions and countries in which we provide solutions. Our failure to adhere to or successfully implement processes in response to changing regulatory requirements in this area or any other kind of improper access to private personal information could result in legal liability or impairment to our reputation in the marketplace, which could have a material adverse effect on our business, financial condition, results of operations and prospects.</w:t>
      </w:r>
    </w:p>
    <w:p>
      <w:pPr>
        <w:spacing w:after="0" w:line="15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As previously noted, we experienced a security incident that impacted a portion of our systems, and, threat actors, may, in the future, attempt to penetrate our systems or those of our vendors or fraudulently induce our personnel or the personnel of our vendors to disclose information in order to gain access to our systems or data or seek to gain a fraudulent payment (such as through a phishing/wire fraud scheme).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resulting in increased costs and potential losses to the Company. For more information, see “Item 3D. Risk Factors—Risks Related to Our Business—We were the target of a cybersecurity attack that impacted a portion of our information technology systems.”</w:t>
      </w:r>
    </w:p>
    <w:p>
      <w:pPr>
        <w:spacing w:after="0" w:line="153"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Our insurance coverage may not be adequate to cover losses associated with security incidents, and in any case, such insurance may not cover all of the types of costs, expenses and losses we could incur to address a security incident. As a result, we may be required to expend significant additional resources to protect against the threat of these issues or to alleviate problems caused by the same. In addition, we could be subject to regulatory actions and/or claims made by individuals and groups in private litigation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and there can be no assurance that any measures we take will prevent cyberattacks or security incidents that could adversely affect our business, financial condition, results of operations, cash flows and prospects.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Our existing debt may affect our flexibility in operating and developing our business and our ability to satisfy our obligations.</w:t>
      </w:r>
    </w:p>
    <w:p>
      <w:pPr>
        <w:spacing w:after="0" w:line="182"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of June 30, 2022, we had total indebtedness of $104.7 million, including $89.7 million in lease liabilities. Our level of indebtedness may have significant negative effects on our future operations, including:</w:t>
      </w:r>
    </w:p>
    <w:p>
      <w:pPr>
        <w:spacing w:after="0" w:line="135" w:lineRule="exact"/>
        <w:rPr>
          <w:sz w:val="20"/>
          <w:szCs w:val="20"/>
          <w:color w:val="auto"/>
        </w:rPr>
      </w:pPr>
    </w:p>
    <w:p>
      <w:pPr>
        <w:ind w:left="480" w:right="59" w:hanging="213"/>
        <w:spacing w:after="0"/>
        <w:tabs>
          <w:tab w:leader="none" w:pos="48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impairing our ability to obtain additional financing in the future (or to obtain such financing on acceptable terms) for working capital, capital expenditures, acquisitions or other important needs;</w:t>
      </w:r>
    </w:p>
    <w:p>
      <w:pPr>
        <w:jc w:val="both"/>
        <w:ind w:left="480" w:right="39" w:hanging="213"/>
        <w:spacing w:after="0" w:line="230" w:lineRule="auto"/>
        <w:tabs>
          <w:tab w:leader="none" w:pos="48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requiring us to dedicate a substantial portion of our cash flow to the payment of principal and interest on our indebtedness, which could impair our liquidity and reduce the availability of our cash flow to fund working capital, capital expenditures, acquisitions and other important needs;</w:t>
      </w:r>
    </w:p>
    <w:p>
      <w:pPr>
        <w:spacing w:after="0" w:line="1"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increasing the possibility of an event of default under the financial and operating covenants contained in our debt instruments; and</w:t>
      </w:r>
    </w:p>
    <w:p>
      <w:pPr>
        <w:spacing w:after="0" w:line="15" w:lineRule="exact"/>
        <w:rPr>
          <w:rFonts w:ascii="Times New Roman" w:cs="Times New Roman" w:eastAsia="Times New Roman" w:hAnsi="Times New Roman"/>
          <w:sz w:val="14"/>
          <w:szCs w:val="14"/>
          <w:color w:val="auto"/>
        </w:rPr>
      </w:pPr>
    </w:p>
    <w:p>
      <w:pPr>
        <w:jc w:val="both"/>
        <w:ind w:left="480" w:right="39" w:hanging="213"/>
        <w:spacing w:after="0" w:line="236" w:lineRule="auto"/>
        <w:tabs>
          <w:tab w:leader="none" w:pos="48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If we are unable to generate sufficient cash flow from operations to service our debt, we may be required to refinance all or a portion of our existing debt or obtain additional financing. We cannot assure you that any such refinancing would be possible or that any additional financing could be obtained. Our inability to obtain such refinancing or financing may have a material adverse effect on our business, financial condition, results of operations and prospects.</w:t>
      </w:r>
    </w:p>
    <w:p>
      <w:pPr>
        <w:spacing w:after="0" w:line="151" w:lineRule="exact"/>
        <w:rPr>
          <w:sz w:val="20"/>
          <w:szCs w:val="20"/>
          <w:color w:val="auto"/>
        </w:rPr>
      </w:pPr>
    </w:p>
    <w:p>
      <w:pPr>
        <w:jc w:val="both"/>
        <w:ind w:left="40" w:right="39"/>
        <w:spacing w:after="0" w:line="257" w:lineRule="auto"/>
        <w:rPr>
          <w:sz w:val="20"/>
          <w:szCs w:val="20"/>
          <w:color w:val="auto"/>
        </w:rPr>
      </w:pPr>
      <w:r>
        <w:rPr>
          <w:rFonts w:ascii="Arial" w:cs="Arial" w:eastAsia="Arial" w:hAnsi="Arial"/>
          <w:sz w:val="14"/>
          <w:szCs w:val="14"/>
          <w:color w:val="auto"/>
        </w:rPr>
        <w:t>In addition, several of our financing arrangements contain a number of covenants and restrictions including limits on our ability and our subsidiaries’ ability to incur additional debt, pay dividends and make certain investments. Complying with these covenants may cause us to take actions that make it more difficult to successfully execute our business strategy and we may face competition from companies not subject to such restrictions. Moreover, our failure to comply with these covenants could result in an event of default or refusal by our creditors to renew certain of our loans which may have a material adverse effect on our business, financial condition, results of operation and prospects. In the past, we have not been in compliance with certain applicable debt covenants in our financing arrangements.</w:t>
      </w:r>
    </w:p>
    <w:p>
      <w:pPr>
        <w:spacing w:after="0" w:line="13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If we experience challenges with respect to labor relations, our overall operating costs and profitability could be adversely affected, and our reputation could be harmed.</w:t>
      </w:r>
    </w:p>
    <w:p>
      <w:pPr>
        <w:spacing w:after="0" w:line="119"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If we fail to maintain good relations with our employees, we could suffer a strike or other significant work stoppage or other form of industrial action, which could have a material adverse effect on our business, financial condition, results of operations and prospects and harm our reputation.</w:t>
      </w:r>
    </w:p>
    <w:p>
      <w:pPr>
        <w:spacing w:after="0" w:line="146"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Fluctuations against the U.S. dollar in the local currencies in the countries in which we operate could have a material effect on our results of operations.</w:t>
      </w:r>
    </w:p>
    <w:p>
      <w:pPr>
        <w:spacing w:after="0" w:line="119"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During the fiscal year ended June 30, 2022, 3.4% of our revenue was generated in currencies other than the U.S. dollar. A portion of our costs and expenses that were incurred outside of the United States were paid for in foreign currencies, mostly the local currencies of the Philippines, Jamaica, and Pakistan. During the year ended June 30, 2022, out of our total payroll and related costs, 25.2% were incurred in the Philippines Peso, 14.9% were incurred in the Jamaican Dollar and 9.8% were incurred in Pakistani Rupee. Because our financial statements are presented in U.S. dollars and revenues are primarily generated in U.S. dollars whereas some portion of the cost is incurred in foreign currencies, any significant unhedged fluctuations in the currency exchange rates between the U.S. dollar and the currencies of countries in which we incur costs in local currencies will affect our results of operations and financial statements. This may also affect the comparability of our financial results from period to period, as we convert our subsidiaries’ statements of financial position into U.S. dollars from local currencies at the period-end exchange rate, and income and cash flow statements at average exchange rates for the year. See “Item 5A. Operating Results —Factors Affecting Our Operating Profit Margins” for more information.</w:t>
      </w:r>
    </w:p>
    <w:p>
      <w:pPr>
        <w:spacing w:after="0" w:line="154"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In addition to our exposure to the Philippine Peso, Jamaican Dollar and Pakistani Rupee, we also have exposures to the Nicaraguan Cordoba, Great British Pound, Canadian Dollar, CFA Franc (XOF), Euro, and Honduran Lempira. Of these, the Nicaraguan Cordoba is the most significant after the Philippine Peso, Jamaican Dollar and Pakistani Rupee.</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As we increase our revenues from non-U.S. locations or expand our solution delivery or back office footprint to other international locations, this effect may be magnified. We engage in hedging strategies in an effort to reduce the adverse impact of fluctuations in foreign currency exchange rates, which may not be successful. See “Item 5A. Operating Results —Factors Affecting Our Operating Profit Margins” for more information.</w:t>
      </w:r>
    </w:p>
    <w:p>
      <w:pPr>
        <w:spacing w:after="0" w:line="151" w:lineRule="exact"/>
        <w:rPr>
          <w:sz w:val="20"/>
          <w:szCs w:val="20"/>
          <w:color w:val="auto"/>
        </w:rPr>
      </w:pPr>
    </w:p>
    <w:p>
      <w:pPr>
        <w:jc w:val="both"/>
        <w:ind w:left="40" w:right="39"/>
        <w:spacing w:after="0" w:line="251" w:lineRule="auto"/>
        <w:rPr>
          <w:sz w:val="20"/>
          <w:szCs w:val="20"/>
          <w:color w:val="auto"/>
        </w:rPr>
      </w:pPr>
      <w:r>
        <w:rPr>
          <w:rFonts w:ascii="Arial" w:cs="Arial" w:eastAsia="Arial" w:hAnsi="Arial"/>
          <w:sz w:val="15"/>
          <w:szCs w:val="15"/>
          <w:b w:val="1"/>
          <w:bCs w:val="1"/>
          <w:i w:val="1"/>
          <w:iCs w:val="1"/>
          <w:color w:val="auto"/>
        </w:rPr>
        <w:t>The estimates of market opportunity and forecasts of market growth included in this annual report may prove to be inaccurate, and even if the market in which we compete achieves the forecasted growth, our business could fail to grow at similar rates, if at all.</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Market opportunity estimates and growth forecasts are subject to significant uncertainty and are based 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assumptions and estimates that may not prove to be accurate. The estimates and forecasts in this annual report relating to the size and expected growth of the market for our portfolio of integrated solutions may prove to be inaccurate. Any expansion in our market depends on a number of factors, including the cost, performance and perceived value associated with our solutions and those of our competitors. Even if the markets in which we currently compete meet the size estimates and growth forecasted in this annual report, our business could fail to grow at similar rates, if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spacing w:after="0" w:line="151"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We have entered into certain related-party transactions and may continue to rely on related parties for certain key development and support activities.</w:t>
      </w:r>
    </w:p>
    <w:p>
      <w:pPr>
        <w:spacing w:after="0" w:line="119" w:lineRule="exact"/>
        <w:rPr>
          <w:sz w:val="20"/>
          <w:szCs w:val="20"/>
          <w:color w:val="auto"/>
        </w:rPr>
      </w:pPr>
    </w:p>
    <w:p>
      <w:pPr>
        <w:jc w:val="both"/>
        <w:ind w:left="40" w:right="39"/>
        <w:spacing w:after="0" w:line="257" w:lineRule="auto"/>
        <w:rPr>
          <w:sz w:val="20"/>
          <w:szCs w:val="20"/>
          <w:color w:val="auto"/>
        </w:rPr>
      </w:pPr>
      <w:r>
        <w:rPr>
          <w:rFonts w:ascii="Arial" w:cs="Arial" w:eastAsia="Arial" w:hAnsi="Arial"/>
          <w:sz w:val="14"/>
          <w:szCs w:val="14"/>
          <w:color w:val="auto"/>
        </w:rPr>
        <w:t>We have entered into, and may continue to enter into, transactions with affiliates of TRGI for corporate and operational services. See “Item 7B. Related Party Transactions.” Such transactions may not have been entered into on an arm’s-length basis, and we may have achieved more favorable terms because such transactions were entered into with our related parties. We rely on, and will continue to rely on, our related parties to maintain these services. If the pricing for these services changes, or if our related parties cease to provide these services, including by terminating agreements with us, we may be unable to obtain replacements for these services on the same terms without disruption to our business. This could have a material effect on our business, results of operations and financial condition.</w:t>
      </w:r>
    </w:p>
    <w:p>
      <w:pPr>
        <w:spacing w:after="0" w:line="13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We may acquire other companies in pursuit of growth, which may divert our management’s attention, result in dilution to our shareholders and consume resources that are necessary to sustain our business.</w:t>
      </w:r>
    </w:p>
    <w:p>
      <w:pPr>
        <w:spacing w:after="0" w:line="119"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may decide to acquire complementary businesses in the future. Negotiating these transactions can be time-consuming, difficult and expensive, and our ability to complete these transactions may be subject to conditions or approvals that are beyond our control, including anti-takeover and antitrust laws in various jurisdictions. Consequently, these transactions, even if undertaken and announced, may not close.</w:t>
      </w:r>
    </w:p>
    <w:p>
      <w:pPr>
        <w:spacing w:after="0" w:line="151"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An acquisition, investment or new business relationship may result in unforeseen operating difficulties and expenditures. In particular, we may encounter difficulties assimilating or integrating the businesses, technologies, services, products, personnel or operations of acquired companies, particularly if the key personnel of the acquired company choose not to work for us, the acquired company’s technology is not easily compatible with ours or we have difficulty retaining the customers of any acquired business due to changes in management or otherwise. Mergers or acquisitions may also disrupt our business, divert our resources and require significant management attention that would otherwise be available for the development of our business. Moreover, the anticipated benefits of any merger, acquisition, investment or similar partnership may not be realized or we may be exposed to unknown liabilities, including litigation against the companies we may acquire. For one or more of those transactions, we may:</w:t>
      </w:r>
    </w:p>
    <w:p>
      <w:pPr>
        <w:spacing w:after="0" w:line="153" w:lineRule="exact"/>
        <w:rPr>
          <w:sz w:val="20"/>
          <w:szCs w:val="20"/>
          <w:color w:val="auto"/>
        </w:rPr>
      </w:pPr>
    </w:p>
    <w:p>
      <w:pPr>
        <w:ind w:left="480" w:hanging="213"/>
        <w:spacing w:after="0"/>
        <w:tabs>
          <w:tab w:leader="none" w:pos="48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issue additional equity securities that would dilute our shareholders;</w:t>
      </w:r>
    </w:p>
    <w:p>
      <w:pPr>
        <w:spacing w:after="0" w:line="17"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use cash that we may need in the future to operate our business;</w:t>
      </w:r>
    </w:p>
    <w:p>
      <w:pPr>
        <w:spacing w:after="0" w:line="3" w:lineRule="exact"/>
        <w:rPr>
          <w:rFonts w:ascii="Times New Roman" w:cs="Times New Roman" w:eastAsia="Times New Roman" w:hAnsi="Times New Roman"/>
          <w:sz w:val="15"/>
          <w:szCs w:val="15"/>
          <w:color w:val="auto"/>
        </w:rPr>
      </w:pPr>
    </w:p>
    <w:p>
      <w:pPr>
        <w:ind w:left="480" w:right="59" w:hanging="213"/>
        <w:spacing w:after="0" w:line="230" w:lineRule="auto"/>
        <w:tabs>
          <w:tab w:leader="none" w:pos="48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incur debt on terms unfavorable to us or that we are unable to repay or that may place burdensome restrictions on our operations or cash flows;</w:t>
      </w:r>
    </w:p>
    <w:p>
      <w:pPr>
        <w:ind w:left="480" w:hanging="213"/>
        <w:spacing w:after="0"/>
        <w:tabs>
          <w:tab w:leader="none" w:pos="48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incur large charges or substantial liabilities; or</w:t>
      </w:r>
    </w:p>
    <w:p>
      <w:pPr>
        <w:spacing w:after="0" w:line="3" w:lineRule="exact"/>
        <w:rPr>
          <w:rFonts w:ascii="Times New Roman" w:cs="Times New Roman" w:eastAsia="Times New Roman" w:hAnsi="Times New Roman"/>
          <w:sz w:val="15"/>
          <w:szCs w:val="15"/>
          <w:color w:val="auto"/>
        </w:rPr>
      </w:pPr>
    </w:p>
    <w:p>
      <w:pPr>
        <w:ind w:left="480" w:right="59" w:hanging="213"/>
        <w:spacing w:after="0" w:line="239" w:lineRule="auto"/>
        <w:tabs>
          <w:tab w:leader="none" w:pos="48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become subject to adverse tax consequences, or substantial depreciation or amortization, deferred compensation or other acquisition related accounting charges.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Any of these risks could materially and adversely affect our business, results of operations, financial condition and prospects.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Our facilities operate on leasehold property, and our inability to renew our leases on commercially acceptable terms or at all may adversely affect our results of operations.</w:t>
      </w:r>
    </w:p>
    <w:p>
      <w:pPr>
        <w:spacing w:after="0" w:line="119"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Our facilities operate on leasehold property. Our leases are subject to renewal, and we may be unable to renew such leases on commercially acceptable terms or at all. Our inability to renew our leases, or a renewal of our leases with a rental rate higher than the prevailing rate under the applicable lease prior to expiration, may have an adverse impact on our operations, including disrupting our operations or increasing our cost of operations. In addition, in the event of non-renewal of our leases, we may be unable to locate suitable replacement properties for our facilities or we may experience delays in relocation that could lead to a disruption in our operations. Any disruption in our operations could have an adverse effect on our business and results of operation.</w:t>
      </w:r>
    </w:p>
    <w:p>
      <w:pPr>
        <w:spacing w:after="0" w:line="150"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If our goodwill or amortizable intangible assets become impaired, we could be required to record a significant charge to earnings.</w:t>
      </w:r>
    </w:p>
    <w:p>
      <w:pPr>
        <w:spacing w:after="0" w:line="119"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had goodwill and other intangible assets totaling $14.9 million as of June 30, 2022. We review our goodwill and amortizable intangible assets for impairment when events or changes in circumstances indicate the carrying value may not be recoverable. We assess whether there has been an impairment in the value of goodwill at least annually. In the year ended June 30, 2022, we did not recognize any impairment of goodwill or intangible assets. Factors that may be considered a change in circumstances indicating that the carrying value of our goodwill or amortizable intangible assets may not be recoverable include declines in stock price, market capitalization or cash flows and slower growth rates in our industry. We could be required to record a significant charge to earnings in our financial statements during the period in which any impairment of our goodwill or amortizable intangible assets were determined, negatively impacting our results of operations. For more information, please refer to our audited consolidated financial statements included at the end of this annual report.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ability to use our U.S. net operating loss carry forwards may be subject to limitation.</w:t>
      </w:r>
    </w:p>
    <w:p>
      <w:pPr>
        <w:spacing w:after="0" w:line="170"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As of June 30, 2022, for income tax purposes, we had estimated U.S. federal net operating loss carry forwards of $18.9 million and U.S. state net operating loss carry forwards of $32.2 million, which will begin to expire in 2029. As of that same date, we had U.S. federal tax credits carry forward for income tax purposes of $2.5 million, which will begin to expire in 2039. Our Canadian subsidiary had net operating loss carry forwards of $2.2 million, which will begin to expire in 2028. As of that same date, our European and UK subsidiaries had net operating loss carry forwards of $6.5 million, which can be carried forward indefinitely. Our Luxembourg subsidiary had net operating loss carry forwards of $ 1.1 million which will begin to expire in 2037. Our subsidiary in Senegal has net operating loss carry forwards of $1.8 million which will begin to expire in 2023. The timing and manner in which we may utilize net operating losses may be limited by tax rules regarding changes in ownership and a lack of future taxable income which could adversely affect our ability to utilize our net operating losses before they expire. In general, net operating losses in one country cannot be used to offset income in any other country and net operating losses in one state cannot be used to offset income in any other state. Accordingly, we may be subject to tax in certain jurisdictions even if we have unused net operating losses in other jurisdictions. Furthermore, each jurisdiction in which we operate may have its own limitations on our ability to utilize net operating losses or tax credit carryovers generated in that jurisdiction. These limitations may increase our U.S. federal, state or foreign income tax liability.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Being Incorporated in Bermuda</w:t>
      </w:r>
    </w:p>
    <w:p>
      <w:pPr>
        <w:spacing w:after="0" w:line="170"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Tax matters, new legislation and actions by taxing authorities may have an adverse effect on our operations, effective tax rate and financial condition.</w:t>
      </w:r>
    </w:p>
    <w:p>
      <w:pPr>
        <w:spacing w:after="0" w:line="11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may not be able to predict our future tax liabilities due to the international nature of our operations, as we are subject to the complex and varying tax laws and rules of several foreign jurisdictions. Our results of operations and financial condition could be adversely affected if tax contingencies are resolved adversely or if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become subject to increased levels of taxation.</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are also subject to income taxes in the United States and numerous other foreign jurisdictions. Our tax expense and cash tax liability in the future could be adversely affected by numerous factors, including, but not limited to, changes in tax laws, regulations, accounting principles or interpretations and the potential adverse outcome of tax examinations and pending tax-related litigation. Changes in the valuation of deferred tax assets and liabilities, which may result from a decline in our profitability or changes in tax rates or legislation, could have a material adverse effect on our tax expense. The governments of foreign jurisdictions from which we deliver solutions may assert that certain of our clients have a “permanent establishment” in such foreign jurisdictions by reason of the activities we perform on their behalf, particularly those clients that exercise control over or have substantial dependency on our solutions. Such an assertion could affect the size and scope of the solutions requested by such clients in the future.</w:t>
      </w:r>
    </w:p>
    <w:p>
      <w:pPr>
        <w:spacing w:after="0" w:line="153"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Transfer pricing regulations, to which we are subject, require that any transaction among us and our subsidiaries be on arm’s-length terms. If the applicable tax authorities were to determine that the transactions among us and our subsidiaries do not meet arm’s-length criteria, we may incur increased tax liability, including accrued interest and penalties. Such increase on our tax expenses would reduce our profitability and cash flows.</w:t>
      </w:r>
    </w:p>
    <w:p>
      <w:pPr>
        <w:spacing w:after="0" w:line="151" w:lineRule="exact"/>
        <w:rPr>
          <w:sz w:val="20"/>
          <w:szCs w:val="20"/>
          <w:color w:val="auto"/>
        </w:rPr>
      </w:pPr>
    </w:p>
    <w:p>
      <w:pPr>
        <w:jc w:val="both"/>
        <w:ind w:left="40" w:right="39"/>
        <w:spacing w:after="0" w:line="232" w:lineRule="auto"/>
        <w:rPr>
          <w:sz w:val="20"/>
          <w:szCs w:val="20"/>
          <w:color w:val="auto"/>
        </w:rPr>
      </w:pPr>
      <w:r>
        <w:rPr>
          <w:rFonts w:ascii="Arial" w:cs="Arial" w:eastAsia="Arial" w:hAnsi="Arial"/>
          <w:sz w:val="15"/>
          <w:szCs w:val="15"/>
          <w:color w:val="auto"/>
        </w:rPr>
        <w:t>On December 5, 2017, following an assessment of the tax policies of various countries by the Code of Conduct Group for Business Taxation of the European Union, the Council of the European Union (the “Council”) approved and published Council conclusions containing a list of “non-cooperative jurisdictions” for tax purposes. In response to the Council’s findings, on December 31, 2018, the Bermuda government enacted the Economic Substance Act 2018, and related regulations, as subsequently amended (the “Substance Act”), with effect from July 1, 2019 for existing Bermuda entities, requiring certain entities in Bermuda engaged in “relevant activities” to maintain a substantial economic presence in Bermuda and to satisfy economic substance requirements. The list of “relevant activities” includes holding entities, and the legislation requires Bermuda companies engaging in a “relevant activity” to be locally managed and directed, to carry on core income generating activities in Bermuda, to maintain adequate physical presence in Bermuda, and to have an adequate level of local full time qualified employees and incur adequate operating expenditure in Bermuda. Under the Substance Act, any entity that must satisfy economic substance requirements but fails to do so could face automatic disclosure to competent authorities in the European Union of the information filed by the entity with the Bermuda Registrar of Companies in connection with the economic substance requirements and may also face financial penalties, restriction or regulation of its business activities or may be struck as a registered entity in Bermuda. As a result of implementing the Substance Act, Bermuda does not currently appear on the Council’s list of “non-cooperative jurisdictions” for tax purposes, however, as of February 24, 2022, the Council has temporarily added Bermuda to the list of cooperative jurisdictions that have committed to implement good tax governance principles (Annex II, also known as the “Grey List”). Bermuda expects to be removed from the Grey List in October 2022 and return to being “White Listed,” as it has fully complied with the additional requirements of the Council. Although we believe we comply with the requirements of the Substance Act, we are not able to predict how the Bermuda authorities will interpret and enforce the Substance Act or the potential impact of compliance or noncompliance on our results of operations and financial condition.</w:t>
      </w:r>
    </w:p>
    <w:p>
      <w:pPr>
        <w:spacing w:after="0" w:line="161"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Moreover, the current U.S. administration and certain members of the U.S. Congress have stated that one of their top legislative priorities is significant reform of the Internal Revenue Code. On August 16, 2022, the United States enacted the Inflation Reduction Act of 2022, which introduces a fifteen percent corporate minimum tax and a one percent excise tax on stock repurchases. We continue to evaluate the Inflation Reduction Act and its requirements, as well as its application to our business.</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Prospective investors should consult their tax advisors regarding the potential impact to them of the Inflation Reduction Act and any subsequent legislative changes and administrative guidance to them.</w:t>
      </w:r>
    </w:p>
    <w:p>
      <w:pPr>
        <w:spacing w:after="0" w:line="135"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Furthermore, the Organization for Economic Cooperation and Development (OECD) is leading an initiative under its base erosion and profit shifting (BEPS) project aimed at imposing a global minimum tax rate, with the intention of implementing the proposed “Pillar One” by mid-2023. We do not know when, or if, the OECD’s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proposals will be adopted; however, such proposals may have implications for international companies based in Bermuda. At this stage it is difficult to predict whether and to what extent any legislative changes that are adopted to implement the OECD’s proposals will impact us.</w:t>
      </w:r>
    </w:p>
    <w:p>
      <w:pPr>
        <w:spacing w:after="0" w:line="146"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We may become subject to taxes in Bermuda after 2035, which may have a material adverse effect on our results of operations and shareholders’ investments.</w:t>
      </w:r>
    </w:p>
    <w:p>
      <w:pPr>
        <w:spacing w:after="0" w:line="119"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5"/>
          <w:szCs w:val="15"/>
          <w:color w:val="auto"/>
        </w:rPr>
        <w:t>The Bermuda Minister of Finance, under the Exempted Undertakings Tax Protection Act 1966 of Bermuda, as amended, has given us assurances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31, 2035, except insofar as such tax applies to persons ordinarily residing in Bermuda or to any taxes payable by us in respect of real property owned or leased by us in Bermuda. See “Item 10E. Taxation.” Given the limited duration of the Bermuda Minister of Finance’s assurance, we cannot assure shareholders that we will not be subject to any Bermuda tax after March 31, 2035.</w:t>
      </w:r>
    </w:p>
    <w:p>
      <w:pPr>
        <w:spacing w:after="0" w:line="15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19"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report under the Exchange Act as a non-U.S. company with foreign private issuer status. Because we qualify as a foreign private issuer under the Exchange Act and although we are subject to Bermuda laws and regulations with regard to such matters and intend to furnish quarterly financial information to the SEC, we are exempt from certain provisions of the Exchange Act that are applicable to U.S. domestic public companies, including:</w:t>
      </w:r>
    </w:p>
    <w:p>
      <w:pPr>
        <w:spacing w:after="0" w:line="151" w:lineRule="exact"/>
        <w:rPr>
          <w:sz w:val="20"/>
          <w:szCs w:val="20"/>
          <w:color w:val="auto"/>
        </w:rPr>
      </w:pPr>
    </w:p>
    <w:p>
      <w:pPr>
        <w:ind w:left="480" w:right="59" w:hanging="213"/>
        <w:spacing w:after="0"/>
        <w:tabs>
          <w:tab w:leader="none" w:pos="4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ind w:left="480" w:right="59" w:hanging="213"/>
        <w:spacing w:after="0" w:line="230" w:lineRule="auto"/>
        <w:tabs>
          <w:tab w:leader="none" w:pos="4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sections of the Exchange Act requiring insiders to file public reports of their share ownership and trading activities and liability for insiders who profit from trades made in a short period of time; and</w:t>
      </w:r>
    </w:p>
    <w:p>
      <w:pPr>
        <w:ind w:left="480" w:right="59" w:hanging="213"/>
        <w:spacing w:after="0" w:line="239" w:lineRule="auto"/>
        <w:tabs>
          <w:tab w:leader="none" w:pos="4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are also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5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As a foreign private issuer and a controlled company, we are not subject to certain Nasdaq corporate governance rules applicable to U.S. listed companies.</w:t>
      </w:r>
    </w:p>
    <w:p>
      <w:pPr>
        <w:spacing w:after="0" w:line="119"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4"/>
          <w:szCs w:val="14"/>
          <w:color w:val="auto"/>
        </w:rPr>
        <w:t>As a foreign private issuer, we rely on a provision in the Nasdaq corporate governance listing standards that allows us to follow Bermuda law with regard to certain aspects of corporate governance. This allows us to follow certain corporate governance practices that differ in significant respects from the corporate governance requirements applicable to U.S. companies listed on the Nasdaq Global Market.</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example, we are exempt from Nasdaq regulations that require a listed U.S. company to:</w:t>
      </w:r>
    </w:p>
    <w:p>
      <w:pPr>
        <w:spacing w:after="0" w:line="170" w:lineRule="exact"/>
        <w:rPr>
          <w:sz w:val="20"/>
          <w:szCs w:val="20"/>
          <w:color w:val="auto"/>
        </w:rPr>
      </w:pPr>
    </w:p>
    <w:p>
      <w:pPr>
        <w:ind w:left="480" w:hanging="213"/>
        <w:spacing w:after="0"/>
        <w:tabs>
          <w:tab w:leader="none" w:pos="48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have a majority of the board of directors consist of independent directors;</w:t>
      </w:r>
    </w:p>
    <w:p>
      <w:pPr>
        <w:spacing w:after="0" w:line="17"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require non-management directors to meet on a regular basis without management present;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 w:right="59" w:hanging="213"/>
        <w:spacing w:after="0"/>
        <w:tabs>
          <w:tab w:leader="none" w:pos="4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adopt a code of conduct and promptly disclose any waivers of the code for directors or executive officers that should address certain specified items;</w:t>
      </w:r>
    </w:p>
    <w:p>
      <w:pPr>
        <w:ind w:left="480" w:hanging="213"/>
        <w:spacing w:after="0"/>
        <w:tabs>
          <w:tab w:leader="none" w:pos="4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have an independent compensation committee;</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have an independent nominating committee;</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solicit proxies and provide proxy statements for all shareholder meetings;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review related-party transactions; and</w:t>
      </w:r>
    </w:p>
    <w:p>
      <w:pPr>
        <w:spacing w:after="0" w:line="3" w:lineRule="exact"/>
        <w:rPr>
          <w:rFonts w:ascii="Times New Roman" w:cs="Times New Roman" w:eastAsia="Times New Roman" w:hAnsi="Times New Roman"/>
          <w:sz w:val="15"/>
          <w:szCs w:val="15"/>
          <w:color w:val="auto"/>
        </w:rPr>
      </w:pPr>
    </w:p>
    <w:p>
      <w:pPr>
        <w:ind w:left="480" w:right="59" w:hanging="213"/>
        <w:spacing w:after="0" w:line="239" w:lineRule="auto"/>
        <w:tabs>
          <w:tab w:leader="none" w:pos="48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seek shareholder approval for the implementation and modification of certain equity compensation plans and issuances of common shares.</w:t>
      </w:r>
    </w:p>
    <w:p>
      <w:pPr>
        <w:spacing w:after="0" w:line="151"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As a foreign private issuer, we are permitted to follow home country practice in lieu of the above requirements. In accordance with our Nasdaq Global Market listing, our audit committee is required to comply with the provisions of Section 301 of the Sarbanes-Oxley Act, and Rule 10A-3 of the Exchange Act, both of which are also applicable to U.S. companies listed on the Nasdaq Global Market. Because we are a foreign private issuer, however, our audit committee is not subject to additional Nasdaq corporate governance requirements applicable to listed U.S. companies, including the requirements to have a minimum of three members and to affirmatively determine that all members are “independent,” using more stringent criteria than those applicable to us as a foreign private issuer. These reduced compliance requirements may make our common shares less attractive to some investors, which could adversely affect their market price.</w:t>
      </w:r>
    </w:p>
    <w:p>
      <w:pPr>
        <w:spacing w:after="0" w:line="153"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4"/>
          <w:szCs w:val="14"/>
          <w:color w:val="auto"/>
        </w:rPr>
        <w:t>In the event we no longer qualify as a foreign private issuer, we intend to rely on the “controlled company” exemption under Nasdaq corporate governance rules. A “controlled company” under Nasdaq corporate governance rules is defined as a company of which more than 50% of the voting power for the election of directors is held by an individual, group or another company. Currently, our principal shareholder, TRGI, holds the right to appoint a majority of our board of directors pursuant to our bye-laws, making us a “controlled company” within the meaning of Nasdaq corporate governance rules. As a controlled company, we are eligible to, and, in the event we no longer qualify as a foreign private issuer, we intend to elect not to comply with certain of corporate governance standards.</w:t>
      </w:r>
    </w:p>
    <w:p>
      <w:pPr>
        <w:spacing w:after="0" w:line="13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19"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We are a foreign private issuer and therefore we are not required to comply with all of the periodic disclosure and current reporting requirements of the Exchange Act applicable to U.S. domestic issuers. In order to maintain our current status as a foreign private issuer, either:</w:t>
      </w:r>
    </w:p>
    <w:p>
      <w:pPr>
        <w:spacing w:after="0" w:line="146" w:lineRule="exact"/>
        <w:rPr>
          <w:sz w:val="20"/>
          <w:szCs w:val="20"/>
          <w:color w:val="auto"/>
        </w:rPr>
      </w:pPr>
    </w:p>
    <w:p>
      <w:pPr>
        <w:ind w:left="480" w:hanging="213"/>
        <w:spacing w:after="0"/>
        <w:tabs>
          <w:tab w:leader="none" w:pos="480" w:val="left"/>
        </w:tabs>
        <w:numPr>
          <w:ilvl w:val="0"/>
          <w:numId w:val="16"/>
        </w:numPr>
        <w:rPr>
          <w:rFonts w:ascii="Times New Roman" w:cs="Times New Roman" w:eastAsia="Times New Roman" w:hAnsi="Times New Roman"/>
          <w:sz w:val="15"/>
          <w:szCs w:val="15"/>
          <w:color w:val="auto"/>
        </w:rPr>
      </w:pPr>
      <w:r>
        <w:rPr>
          <w:rFonts w:ascii="Arial" w:cs="Arial" w:eastAsia="Arial" w:hAnsi="Arial"/>
          <w:sz w:val="15"/>
          <w:szCs w:val="15"/>
          <w:color w:val="auto"/>
        </w:rPr>
        <w:t>a majority of our common shares must be either directly or indirectly owned of record by non-residents of the United States; or</w:t>
      </w:r>
    </w:p>
    <w:p>
      <w:pPr>
        <w:spacing w:after="0" w:line="17" w:lineRule="exact"/>
        <w:rPr>
          <w:rFonts w:ascii="Times New Roman" w:cs="Times New Roman" w:eastAsia="Times New Roman" w:hAnsi="Times New Roman"/>
          <w:sz w:val="15"/>
          <w:szCs w:val="15"/>
          <w:color w:val="auto"/>
        </w:rPr>
      </w:pPr>
    </w:p>
    <w:p>
      <w:pPr>
        <w:ind w:left="480" w:right="59" w:hanging="213"/>
        <w:spacing w:after="0" w:line="239" w:lineRule="auto"/>
        <w:tabs>
          <w:tab w:leader="none" w:pos="480" w:val="left"/>
        </w:tabs>
        <w:numPr>
          <w:ilvl w:val="0"/>
          <w:numId w:val="16"/>
        </w:numPr>
        <w:rPr>
          <w:rFonts w:ascii="Times New Roman" w:cs="Times New Roman" w:eastAsia="Times New Roman" w:hAnsi="Times New Roman"/>
          <w:sz w:val="15"/>
          <w:szCs w:val="15"/>
          <w:color w:val="auto"/>
        </w:rPr>
      </w:pPr>
      <w:r>
        <w:rPr>
          <w:rFonts w:ascii="Arial" w:cs="Arial" w:eastAsia="Arial" w:hAnsi="Arial"/>
          <w:sz w:val="15"/>
          <w:szCs w:val="15"/>
          <w:color w:val="auto"/>
        </w:rPr>
        <w:t>a majority of our “executive officers” or directors may not be U.S. citizens or residents, more than 50% of our assets cannot be located in the United States, and our business must be administered principally outside the United States.</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 majority of our executives, assets and business are located in and managed from the United States. As a result, if a majority of our common shares become either directly or indirectly owned of record by United States residents, we will lose our foreign private issuer status. If we lost this status, we would be required to comply with the Exchange Act reporting and other requirements applicable to U.S. domestic issuers, which are more detailed and extensive than the requirements for foreign private issuers.</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more time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5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Bermuda law differs from the laws in effect in the United States and may afford less protection to holders of our common shares.</w:t>
      </w:r>
    </w:p>
    <w:p>
      <w:pPr>
        <w:spacing w:after="0" w:line="119" w:lineRule="exact"/>
        <w:rPr>
          <w:sz w:val="20"/>
          <w:szCs w:val="20"/>
          <w:color w:val="auto"/>
        </w:rPr>
      </w:pPr>
    </w:p>
    <w:p>
      <w:pPr>
        <w:jc w:val="both"/>
        <w:ind w:left="40" w:right="39"/>
        <w:spacing w:after="0" w:line="232" w:lineRule="auto"/>
        <w:rPr>
          <w:sz w:val="20"/>
          <w:szCs w:val="20"/>
          <w:color w:val="auto"/>
        </w:rPr>
      </w:pPr>
      <w:r>
        <w:rPr>
          <w:rFonts w:ascii="Arial" w:cs="Arial" w:eastAsia="Arial" w:hAnsi="Arial"/>
          <w:sz w:val="15"/>
          <w:szCs w:val="15"/>
          <w:color w:val="auto"/>
        </w:rPr>
        <w:t>We are incorporated under the laws of Bermuda. As a result, our corporate affairs are governed by the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prescribed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 However, our bye-laws contain a provision by virtue of which unless we consent in writing to the selection of an alternative forum, the United States District Court for the Southern District of New York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United States District Court for the Southern District of New York, the plaintiff or plaintiffs shall be deemed by this provision of the bye-laws (i) to have consented to removal of the action by us to the United States District Court for the Southern District of New York, in the case of an action filed in a state court, and (ii) to have consented to transfer of the action pursuant to 28 U.S.C. § 1404 to the United States District Court for the Southern District of New York. Section 27 of the Exchange Act creates exclusive federal jurisdiction over all suits brought to enforce any duty or liability created by the Exchange Act or the rules and regulations thereunder.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with respect to claims under the Securities Act, and in any event, our shareholders cannot waive compliance with federal securities laws and the rules and regulations thereunder. If a court were to find the choice of forum provision to be unenforceable in an action, we may incur additional costs associated with resolving such action in other jurisdictions, which could have a material adverse effect on our business, financial condition or results of operations.</w:t>
      </w:r>
    </w:p>
    <w:p>
      <w:pPr>
        <w:spacing w:after="0" w:line="154"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In addition,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shareholders of a corporation incorporated in a jurisdiction within the United States.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Any U.S. or other foreign judgments you may obtain against us may be difficult to enforce against us in Bermuda.</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are incorporated in Bermuda and a significant portion of our assets is located outside the United States. In addition, certain of our directors are non-residents of the United States. As a result, it may be difficult or impossible for U.S. investors to serve process within the United States upon us or our directors and executive officers, or to enforce a judgment against us for civil liabilities in U.S. courts.</w:t>
      </w:r>
    </w:p>
    <w:p>
      <w:pPr>
        <w:spacing w:after="0" w:line="14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In addition, you should not assume that courts in the countries in which we are incorporated or where our assets are located would enforce judgments of U.S. courts obtained in actions against us based upon the civil liability provisions of applicable U.S. federal and state securities laws or would enforce, in original actions, liabilities against us based on those laws.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Risks Related to Our Common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The market price of our common shares may be volatile.</w:t>
      </w:r>
    </w:p>
    <w:p>
      <w:pPr>
        <w:spacing w:after="0" w:line="170"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The stock market in general, and the market for equities of newly public companies in particular, have been highly volatile. As a result, the market price of our common shares is likely to be similarly volatile, and investors in our common shares may experience a decrease, which could be substantial, in the value of their common shares, including decreases unrelated to our operating performance or prospects, or a complete loss of their investment. The price of our common shares could be subject to significant fluctuations in response to a number of factors, including those listed elsewhere in this “Risk Factors” section and others such as:</w:t>
      </w:r>
    </w:p>
    <w:p>
      <w:pPr>
        <w:spacing w:after="0" w:line="151" w:lineRule="exact"/>
        <w:rPr>
          <w:sz w:val="20"/>
          <w:szCs w:val="20"/>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variations in our operating performance and the performance of our competitors;</w:t>
      </w:r>
    </w:p>
    <w:p>
      <w:pPr>
        <w:spacing w:after="0" w:line="17"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actual or anticipated fluctuations in our quarterly or annual operating results;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our revenues or earnings estimates or recommendations by securities analysts;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publication of research reports by securities analysts about us or our competitors in our industry;</w:t>
      </w:r>
    </w:p>
    <w:p>
      <w:pPr>
        <w:spacing w:after="0" w:line="3" w:lineRule="exact"/>
        <w:rPr>
          <w:rFonts w:ascii="Times New Roman" w:cs="Times New Roman" w:eastAsia="Times New Roman" w:hAnsi="Times New Roman"/>
          <w:sz w:val="15"/>
          <w:szCs w:val="15"/>
          <w:color w:val="auto"/>
        </w:rPr>
      </w:pPr>
    </w:p>
    <w:p>
      <w:pPr>
        <w:jc w:val="both"/>
        <w:ind w:left="480" w:right="39" w:hanging="213"/>
        <w:spacing w:after="0" w:line="230" w:lineRule="auto"/>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1" w:lineRule="exact"/>
        <w:rPr>
          <w:rFonts w:ascii="Times New Roman" w:cs="Times New Roman" w:eastAsia="Times New Roman" w:hAnsi="Times New Roman"/>
          <w:sz w:val="15"/>
          <w:szCs w:val="15"/>
          <w:color w:val="auto"/>
        </w:rPr>
      </w:pPr>
    </w:p>
    <w:p>
      <w:pPr>
        <w:ind w:left="480" w:right="59" w:hanging="213"/>
        <w:spacing w:after="0" w:line="230" w:lineRule="auto"/>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our failure or the failure of our competitors to meet analysts’ projections or guidance that we or our competitors may give to the market;</w:t>
      </w: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additions or departures of key personnel;</w:t>
      </w:r>
    </w:p>
    <w:p>
      <w:pPr>
        <w:spacing w:after="0" w:line="3" w:lineRule="exact"/>
        <w:rPr>
          <w:rFonts w:ascii="Times New Roman" w:cs="Times New Roman" w:eastAsia="Times New Roman" w:hAnsi="Times New Roman"/>
          <w:sz w:val="15"/>
          <w:szCs w:val="15"/>
          <w:color w:val="auto"/>
        </w:rPr>
      </w:pPr>
    </w:p>
    <w:p>
      <w:pPr>
        <w:ind w:left="480" w:right="59" w:hanging="213"/>
        <w:spacing w:after="0" w:line="230" w:lineRule="auto"/>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strategic decisions by us or our competitors, such as acquisitions, divestitures, spin-offs, joint ventures, strategic investments or changes in business strategy;</w:t>
      </w: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announcement of technological innovations by us or our competitors;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the passage of legislation, changes in interpretations of laws or other regulatory events or developments affecting us;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speculation in the press or investment community;</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accounting principles;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terrorist acts, acts of war or periods of widespread civil unrest;</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health pandemics (including COVID-19);</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general market and economic conditions;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changes or trends in our industry;</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investors’ perception of our prospects; and</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adverse resolution of any new or pending litigation against us.</w:t>
      </w:r>
    </w:p>
    <w:p>
      <w:pPr>
        <w:spacing w:after="0" w:line="167"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In the past, securities class action litigation has often been initiated against companies following periods of volatility in their stock price. This type of litigation could result in substantial costs and divert our management’s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attention and resources and could also require us to make substantial payments to satisfy judgments or to settle or defend litigation.</w:t>
      </w:r>
    </w:p>
    <w:p>
      <w:pPr>
        <w:spacing w:after="0" w:line="170"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about our business, or publish inaccurate or unfavorable research, the price and trading volume of our common shares could decline.</w:t>
      </w:r>
    </w:p>
    <w:p>
      <w:pPr>
        <w:spacing w:after="0" w:line="119"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market for our common shares can depend on the research and reports that securities or industry analysts publish about us or our business. There can be no assurance that analysts will continue to cover us or provide favorable coverage. In addition, if one or more analysts cease coverage of our company or fail to regularly publish reports on us, we could lose visibility in the financial markets, which could cause our share price or trading volume to decline. Moreover, if one or more analysts downgrade our common shares or change their opinion of our common shares, our share price would likely decline.</w:t>
      </w:r>
    </w:p>
    <w:p>
      <w:pPr>
        <w:spacing w:after="0" w:line="151" w:lineRule="exact"/>
        <w:rPr>
          <w:sz w:val="20"/>
          <w:szCs w:val="20"/>
          <w:color w:val="auto"/>
        </w:rPr>
      </w:pPr>
    </w:p>
    <w:p>
      <w:pPr>
        <w:jc w:val="both"/>
        <w:ind w:left="40" w:right="39"/>
        <w:spacing w:after="0" w:line="277" w:lineRule="auto"/>
        <w:rPr>
          <w:sz w:val="20"/>
          <w:szCs w:val="20"/>
          <w:color w:val="auto"/>
        </w:rPr>
      </w:pPr>
      <w:r>
        <w:rPr>
          <w:rFonts w:ascii="Arial" w:cs="Arial" w:eastAsia="Arial" w:hAnsi="Arial"/>
          <w:sz w:val="14"/>
          <w:szCs w:val="14"/>
          <w:b w:val="1"/>
          <w:bCs w:val="1"/>
          <w:i w:val="1"/>
          <w:iCs w:val="1"/>
          <w:color w:val="auto"/>
        </w:rPr>
        <w:t>Our future earnings and earnings per share, as reported under IFRS as issued by the IASB, could be adversely impacted by the Amazon Warrant and if Amazon exercises its right to acquire our common shares pursuant to the Amazon Warrant, it will dilute the ownership interests of our then-existing shareholders and could adversely affect the market price of our common shares.</w:t>
      </w:r>
    </w:p>
    <w:p>
      <w:pPr>
        <w:spacing w:after="0" w:line="117"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5"/>
          <w:szCs w:val="15"/>
          <w:color w:val="auto"/>
        </w:rPr>
        <w:t>The Amazon Warrant increases the number of diluted shares reported, which has an effect on our fully diluted earnings per share. Further, the Amazon Warrant is presented as a liability in our audited consolidated balance sheet and is subject to fair value measurement adjustments during the periods that it is outstanding. Accordingly, future fluctuations in the fair value of the Amazon Warrant could adversely impact our results of operations. If Amazon exercises its right to acquire our common shares pursuant to the Amazon Warrant, it will dilute the ownership interests of our then-existing shareholders and reduce our earnings per share. In addition, any sales in the public market of any common shares issuable upon the exercise of the Amazon Warrant by Amazon could adversely affect the market price of our common shares.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more information, see our audited consolidated financial statements included at the end of this annual report.</w:t>
      </w:r>
    </w:p>
    <w:p>
      <w:pPr>
        <w:spacing w:after="0" w:line="170"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We may not pay any dividends. Accordingly, investors may only realize future gains on their investments if the price of their common shares increases, which may never occur.</w:t>
      </w:r>
    </w:p>
    <w:p>
      <w:pPr>
        <w:spacing w:after="0" w:line="119"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We have never declared or paid any dividends, other than (i) a dividend declared by one of our subsidiaries during the fiscal year ended June 30, 2017, the remaining $1.6 million of which was paid during the fiscal year ended June 30, 2019, and (ii) on July 21, 2020, our board of directors approved a one-time dividend of $4.0 million to our shareholders reflecting a portion of the cash generation from the business during fiscal year 2020. We currently do not plan to declare dividends on our common shares in the foreseeable future. We currently intend to retain all of our future earnings, if any, to finance the growth and development of our business. The payment of dividends, if any, would be at the discretion of our board of directors and would depend on our results of operations, capital requirements, financial condition, prospects, contractual arrangements, any limitations on payment of dividends present in our current and future debt agreements and other factors that our board of directors may deem relevant. Accordingly, if our board of directors deems it appropriate not to pay any dividends, our investors may only realize future gains on their investments if the price of their common shares increases, which may never occur.</w:t>
      </w:r>
    </w:p>
    <w:p>
      <w:pPr>
        <w:spacing w:after="0" w:line="154"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We are an emerging growth company, and the reduced disclosure requirements applicable to emerging growth companies may make our common shares less attractive to investors.</w:t>
      </w:r>
    </w:p>
    <w:p>
      <w:pPr>
        <w:spacing w:after="0" w:line="11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4"/>
          <w:szCs w:val="14"/>
          <w:color w:val="auto"/>
        </w:rPr>
        <w:t>We are an emerging growth company (“EGC”), as defined in the Jumpstart Our Business Startups Act (the “JOBS Act”), and we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of 2002 (the “Sarbanes-Oxley Act”), reduced financial disclosure obligations, reduced disclosure obligations regarding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executive compensation in our periodic reports and proxy statements, and exemptions from the requirements of holding a nonbinding advisory vote on executive compensation and any golden parachute payments not previously approved. We may take advantage of these provisions until we are no longer an EGC. We would cease to be an EGC upon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If we take advantage of any of these reduced reporting requirements in future filings, the information that we provide our security holders may be different than you might get from other public companies in which you hold equity interests.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54"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b w:val="1"/>
          <w:bCs w:val="1"/>
          <w:i w:val="1"/>
          <w:iCs w:val="1"/>
          <w:color w:val="auto"/>
        </w:rPr>
        <w:t>If we are unable to implement and maintain effective internal control over financial reporting, our results of operations and the price of our common shares could be adversely affected.</w:t>
      </w:r>
    </w:p>
    <w:p>
      <w:pPr>
        <w:spacing w:after="0" w:line="119"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During the audit for the fiscal year ended June 30, 2020, we and our independent registered public accounting firm identified a material weakness in our internal control over financial reporting related to the execution and review of complex accounting matters. Due to a failure in procedures with respect to the execution, review, supervision and monitoring of complex accounting matters, a number of adjustments were identified and made to the consolidated financial statements during the course of our audit.</w:t>
      </w:r>
    </w:p>
    <w:p>
      <w:pPr>
        <w:spacing w:after="0" w:line="151"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Although this material weakness was determined by the Chief Executive Officer and Chief Financial Officer to be remediated as of June 30, 2021, we cannot assure you that the measures we have taken to date, and actions we may take in the future, will prevent potential future material weaknesses. In addition, our independent registered public accounting firm has not performed an evaluation of our internal control over financial reporting in accordance with the provisions of the Sarbanes-Oxley Act because no such evaluation has been required to date. Once we no longer qualify as an EGC, the independent registered public accounting firm that audits our financial statements will also be required to audit our internal control over financial reporting. Any delays or difficulty in satisfying these requirements could adversely affect our future results of operations and the price of our shares. Moreover, it may cost us more than we expect to comply with these control- and procedure-related requirements. Failure to comply with Section 404 or to implement required new or improved controls, or difficulties encountered in their implementation, could harm our operating results or cause us to fail to meet our reporting obligations could potentially result in a loss in investor confidence in our reported financial information and subject us to sanctions or investigations by regulatory authorities.</w:t>
      </w:r>
    </w:p>
    <w:p>
      <w:pPr>
        <w:spacing w:after="0" w:line="152"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If we are unable to successfully remediate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share price may decline as a result.</w:t>
      </w:r>
    </w:p>
    <w:p>
      <w:pPr>
        <w:spacing w:after="0" w:line="15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We incur increased costs and demands upon management as a result of complying with the laws and regulations affecting public companies, which could adversely affect our business, operating results and financial condition.</w:t>
      </w:r>
    </w:p>
    <w:p>
      <w:pPr>
        <w:spacing w:after="0" w:line="119"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As a public company, we incur significantly greater legal, accounting and other expenses than we incurred as a private company. We are subject to the reporting requirements of the Exchange Act, the Sarbanes-Oxley Act, the Dodd-Frank Wall Street Reform and Consumer Protection Act (“Dodd-Frank Act”), and Nasdaq rules and regulations. These requirements have increased and will continue to increase our legal, accounting and financial compliance costs and have made and will continue to make some activities more time consuming and costly.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EGC, we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EGC.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identify deficiencies in our internal control over financial reporting that are deemed to be material weaknesses, the market price of our shares could decline and we could be subject to sanctions or investigations by the SEC or other regulatory authorities, which would require additional financial and management resources.</w:t>
      </w:r>
    </w:p>
    <w:p>
      <w:pPr>
        <w:spacing w:after="0" w:line="154"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from our independent registered public accounting firm.</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After we are no longer an EGC, or sooner if we choose not to take advantage of certain exemptions set forth in the JOBS Act, we expect to incur significant expenses and devote substantial management effort toward ensuring compliance with the auditor attestation requirements of Section 404. In that regard, we will need to hire additional accounting and financial staff with appropriate public company experience and technical accounting knowledge.</w:t>
      </w:r>
    </w:p>
    <w:p>
      <w:pPr>
        <w:spacing w:after="0" w:line="15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Certain U.S. holders of our common shares may suffer adverse U.S. tax consequences if we are characterized as a passive foreign investment company.</w:t>
      </w:r>
    </w:p>
    <w:p>
      <w:pPr>
        <w:spacing w:after="0" w:line="119"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Based on our gross income and the average value of our gross assets, and our current share price, as well as the nature of our business, we do not expect to be classified as a “passive foreign investment company,” or PFIC, for U.S. federal income tax purposes for the current tax year or in tax years in the foreseeable future. A corporation organized outside the United States generally will be classified as a PFIC for U.S. federal income tax purposes in any taxable year in which at least 75% of its gross income is passive income or, on average, at least 50% of the gross value of its assets is attributable to assets that produce passive income or are held for the production of passive income. Passive income for this purpose generally includes dividends, interest, royalties, rents and gains from commodities and securities transactions. Our status in any taxable year will depend on our assets and activities in each year, and because this is a factual determination made annually after the end of each taxable year, there can be no assurance that we will not be considered a PFIC for the current taxable year or any future taxable year. The market value of our assets may be determined in large part by reference to the market price of our common shares, which is likely to fluctuate. If we were to be treated as a PFIC for any taxable year during which a U.S. holder held our common shares, however, certain adverse U.S. federal income tax consequences could apply to the U.S. holder.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Our executive officers, directors and principal shareholders have the ability to control all matters submitted to shareholders for approval.</w:t>
      </w:r>
    </w:p>
    <w:p>
      <w:pPr>
        <w:spacing w:after="0" w:line="119"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Our executive officers, directors and shareholders owning more than 5% of our outstanding common shares, which we refer to as our principal shareholders, beneficially own shares representing approximately 74% of our outstanding common shares. As a result, if some or all of these shareholders were to choose to act together, they would be able to control all matters submitted to our shareholders for approval, as well as our management and affairs. For example, these persons, if they choose to act together, would control the election of directors and approval of any merger, amalgamation, consolidation or sale of all or substantially all of our assets. This concentration of voting power could delay or prevent an acquisition of our company on terms that other shareholders may desire.</w:t>
      </w:r>
    </w:p>
    <w:p>
      <w:pPr>
        <w:spacing w:after="0" w:line="150" w:lineRule="exact"/>
        <w:rPr>
          <w:sz w:val="20"/>
          <w:szCs w:val="20"/>
          <w:color w:val="auto"/>
        </w:rPr>
      </w:pPr>
    </w:p>
    <w:p>
      <w:pPr>
        <w:jc w:val="both"/>
        <w:ind w:left="40" w:right="39"/>
        <w:spacing w:after="0" w:line="250" w:lineRule="auto"/>
        <w:rPr>
          <w:sz w:val="20"/>
          <w:szCs w:val="20"/>
          <w:color w:val="auto"/>
        </w:rPr>
      </w:pPr>
      <w:r>
        <w:rPr>
          <w:rFonts w:ascii="Arial" w:cs="Arial" w:eastAsia="Arial" w:hAnsi="Arial"/>
          <w:sz w:val="15"/>
          <w:szCs w:val="15"/>
          <w:b w:val="1"/>
          <w:bCs w:val="1"/>
          <w:i w:val="1"/>
          <w:iCs w:val="1"/>
          <w:color w:val="auto"/>
        </w:rPr>
        <w:t>Our largest shareholder, The Resource Group International Limited, and its major shareholder, TRG Pakistan Limited, have substantial control over us and could limit your ability to influence the outcome of key transactions, including any change of control.</w:t>
      </w:r>
    </w:p>
    <w:p>
      <w:pPr>
        <w:spacing w:after="0" w:line="136"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As of September 1, 2022, our largest shareholder, TRGI, beneficially owns, in the aggregate, approximately 30% of our outstanding common shares. As of June 30, 2022, TRG Pakistan Limited (“TRGP”), a publicly traded Pakistan corporation listed on the Pakistan Stock Exchange, beneficially owned 45% of TRGI’s outstanding voting securities (with an ability to vote up to 69% of TRGI’s total voting securities with the consent of the chief executive officer of TRGI). In addition, while TRGI has voting and dispositive control over its ibex shares, TRGP holds the economic interest in those shares. The members of the boards of directors of TRGP and TRGI have some overlap, and TRGP has the exclusive right to appoint three out of the seven directors at TRGI, with the remaining directors appointed jointly with or solely by other shareholders of TRGI. John Leone serves as a director of each of TRGP and TRGI and also serves as TRGI’s chairman. Mohammed Khaishgi serves as a director and the chief executive officer of TRGI. Hasnain Aslam serves as a director and the chief executive officer of TRGP and also serves as a director and the chief investment officer of TRGI.</w:t>
      </w:r>
    </w:p>
    <w:p>
      <w:pPr>
        <w:spacing w:after="0" w:line="150" w:lineRule="exact"/>
        <w:rPr>
          <w:sz w:val="20"/>
          <w:szCs w:val="20"/>
          <w:color w:val="auto"/>
        </w:rPr>
      </w:pPr>
    </w:p>
    <w:p>
      <w:pPr>
        <w:jc w:val="both"/>
        <w:ind w:left="40" w:right="39"/>
        <w:spacing w:after="0" w:line="250" w:lineRule="auto"/>
        <w:rPr>
          <w:sz w:val="20"/>
          <w:szCs w:val="20"/>
          <w:color w:val="auto"/>
        </w:rPr>
      </w:pPr>
      <w:r>
        <w:rPr>
          <w:rFonts w:ascii="Arial" w:cs="Arial" w:eastAsia="Arial" w:hAnsi="Arial"/>
          <w:sz w:val="14"/>
          <w:szCs w:val="14"/>
          <w:color w:val="auto"/>
        </w:rPr>
        <w:t>Additionally, pursuant to a stockholder’s agreement, dated September 15, 2017, between TRGI and us (the “TRGI Stockholder’s Agreement”), we will not take or commit to take, or cause or permit any of our subsidiaries to take, certain enumerated actions without TRGI’s consent, to be withheld or given in TRGI’s sole discretion. The TRGI Stockholder’s Agreement will remain in effect until the date that TRGI ceases to hold 10% or more of all shares issued by us, as measured on an as-converted basis. As a result, we expect that TRGP and TRGI will be able to exert significant influence over our business. TRGP and TRGI may have interests that differ from your interests and may cause TRGI’s shares in our company to be voted in a way with which you disagree and that may be adverse to your interests. The concentration of ownership of our share capital may have the effect of delaying, preventing or deterring a change of control of our company and its subsidiaries, as well as certain M&amp;A activity and securities offerings, and could deprive our shareholders of an opportunity to receive a premium for their common shares as part of a sale of our company and may adversely affect the market price of our common shares. In addition, because of the terms of our bye-laws providing rights to TRGI, as the first-in-time shareholder of 25% or more of the nominal value of our voting shares, to appoint a majority of our directors, even if we no longer qualify as a foreign private issuer, we may be able to take advantage of many of the same exemptions from the Nasdaq corporate governance rules for as long as we continue to qualify as a “controlled company” within the meaning of the Nasdaq corporate governance standards. See “As a foreign private issuer, we are not subject to certain Nasdaq corporate governance rules applicable to U.S. listed companies.” Our bye-laws provide that any shareholder holding 50% or more of the nominal value of our voting shares will have the right to appoint five directors to our board of directors. If there is no such 50% holder, then any shareholder holding 25% or more of the nominal value of our voting shares (first in time as compared to any other 25% shareholder) will have the right to appoint five directors to our board of directors.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A significant portion of our total outstanding shares may be sold into the market in the near future. This could cause the market price of our common shares to drop significantly, even if our business is doing well.</w:t>
      </w:r>
    </w:p>
    <w:p>
      <w:pPr>
        <w:spacing w:after="0" w:line="119"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Sales of a substantial number of our common shares in the public market could occur at any time. These sales, or the perception in the market that the holders of a large number of shares intend to sell shares, could reduce the market price of our common shares. As of September 1, 2022, we have 18,247,999 outstanding common shares. Certain of our security holders have rights, subject to some conditions, to require us to file registration statements covering common shares that it holds or to include their shares in registration statements that we may file for ourselves or for other shareholders.</w:t>
      </w:r>
    </w:p>
    <w:p>
      <w:pPr>
        <w:spacing w:after="0" w:line="15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Anti-takeover provisions in our bye-laws could make an acquisition of us, which may be beneficial to our shareholders, more difficult and may prevent attempts by our shareholders to replace or remove our current management.</w:t>
      </w:r>
    </w:p>
    <w:p>
      <w:pPr>
        <w:spacing w:after="0" w:line="119"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Provisions in our bye-laws may delay or prevent an acquisition of us or a change in our management. In addition, by making it more difficult for shareholders to replace members of our board of directors, these provisions also may frustrate or prevent any attempts by our shareholders to replace or remove our current management because our board of directors is responsible for appointing the members of our management team. These provisions include:</w:t>
      </w:r>
    </w:p>
    <w:p>
      <w:pPr>
        <w:spacing w:after="0" w:line="151" w:lineRule="exact"/>
        <w:rPr>
          <w:sz w:val="20"/>
          <w:szCs w:val="20"/>
          <w:color w:val="auto"/>
        </w:rPr>
      </w:pPr>
    </w:p>
    <w:p>
      <w:pPr>
        <w:ind w:left="480" w:right="59" w:hanging="213"/>
        <w:spacing w:after="0"/>
        <w:tabs>
          <w:tab w:leader="none" w:pos="48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of our board of directors to determine the rights, preferences and privileges of our preferred shares and to issue the preferred shares without shareholder approval; and</w:t>
      </w:r>
    </w:p>
    <w:p>
      <w:pPr>
        <w:ind w:left="480" w:right="39" w:hanging="213"/>
        <w:spacing w:after="0" w:line="239" w:lineRule="auto"/>
        <w:tabs>
          <w:tab w:leader="none" w:pos="48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of major shareholders (i.e., shareholders holding 50% or more; in the absence of such a holder, 25% or more) to appoint directors to the Board.</w:t>
      </w:r>
    </w:p>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These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have the ability to issue preferred shares without shareholder approval.</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Our common shares may be subordinate to classes of preferred shares issued in the future in the payment of dividends and other distributions made with respect to the common shares, including distributions upon liquidation or dissolution. Our board of directors is authorized to issue preferred shares without first obtaining shareholder approval. If we issue preferred shares, it will create additional securities that may have dividend or liquidation preferences senior to the common shares. If we issue convertible preferred shares, a subsequent conversion may dilute the current common shareholders’ interest.</w:t>
      </w:r>
    </w:p>
    <w:p>
      <w:pPr>
        <w:spacing w:after="0" w:line="151"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INFORMATION ON THE COMPANY</w:t>
      </w:r>
    </w:p>
    <w:p>
      <w:pPr>
        <w:spacing w:after="0" w:line="170" w:lineRule="exact"/>
        <w:rPr>
          <w:sz w:val="20"/>
          <w:szCs w:val="20"/>
          <w:color w:val="auto"/>
        </w:rPr>
      </w:pPr>
    </w:p>
    <w:p>
      <w:pPr>
        <w:ind w:left="40" w:right="5839" w:hanging="5"/>
        <w:spacing w:after="0" w:line="484" w:lineRule="auto"/>
        <w:tabs>
          <w:tab w:leader="none" w:pos="298"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History and development of the company Company History</w:t>
      </w:r>
    </w:p>
    <w:p>
      <w:pPr>
        <w:spacing w:after="0" w:line="1"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We were incorporated by TRGI in 2017 for the purpose of delivering solutions to help the world’s preeminent brands more effectively engage with their customers as a leading global customer experience (“CX”) company. Prior to June 30, 2017, our business was conducted through various wholly- or majority-owned portfolio companies of TRGI, which we refer to as the Continuing Business Entities. The predecessor companies for our Customer Engagement and Customer Expansion solutions were established in 1996 and acquired by TRGI in 2004. The predecessor company for our Customer Experience solution was established in 1984 and acquired by TRGI in 2004. The predecessor company for our Customer Acquisition business was founded as a subsidiary of TRGI in 2008. On June 30, 2017, TRGI completed a series of transactions constituting the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Reorganization Transaction, and the Continuing Business Entities became our wholly owned direct and indirect subsidiaries.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 August 2020, we closed our initial public offering and our common shares were listed on Nasdaq.</w:t>
      </w:r>
    </w:p>
    <w:p>
      <w:pPr>
        <w:spacing w:after="0" w:line="170" w:lineRule="exact"/>
        <w:rPr>
          <w:sz w:val="20"/>
          <w:szCs w:val="20"/>
          <w:color w:val="auto"/>
        </w:rPr>
      </w:pPr>
    </w:p>
    <w:p>
      <w:pPr>
        <w:jc w:val="both"/>
        <w:ind w:left="40" w:right="39"/>
        <w:spacing w:after="0" w:line="263" w:lineRule="auto"/>
        <w:rPr>
          <w:sz w:val="20"/>
          <w:szCs w:val="20"/>
          <w:color w:val="auto"/>
        </w:rPr>
      </w:pPr>
      <w:r>
        <w:rPr>
          <w:rFonts w:ascii="Arial" w:cs="Arial" w:eastAsia="Arial" w:hAnsi="Arial"/>
          <w:sz w:val="14"/>
          <w:szCs w:val="14"/>
          <w:color w:val="auto"/>
        </w:rPr>
        <w:t>We are an exempted company with limited liability under the laws of Bermuda, incorporated on February 28, 2017 under the name Forward March Limited. We changed our name to IBEX Limited on September 11, 2019. We maintain a registered office located at Crawford House, 50 Cedar Avenue, Hamilton HM11 Bermuda, and the telephone number for this office is (441) 295-6500. We maintain a website at http://www.ibex.co. Our website and the information accessible through it are not incorporated into this annual report.</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SEC maintains an internet site at http://www.sec.gov that contains reports, information statements and other information regarding issuers that file electronically with the SEC.</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Emerging Growth Company</w:t>
      </w:r>
    </w:p>
    <w:p>
      <w:pPr>
        <w:spacing w:after="0" w:line="170"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The JOBS Act was enacted in April 2012 with the intention of encouraging capital formation in the United States and reducing the regulatory burden on newly public companies that qualify as EGCs. We are an EGC within the meaning of the JOBS Act. As an EGC, we are not required to, among other things, (i) provide an auditor’s attestation report on our system of internal control over financial reporting pursuant to Section 404(b) of the Sarbanes-Oxley Act, (ii) provide all of the compensation disclosure that may be required of non-emerging growth public companies under the Dodd-Frank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We may take advantage of these exemptions until we are no longer an EGC.</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will remain an EGC until the earliest to occur of:</w:t>
      </w:r>
    </w:p>
    <w:p>
      <w:pPr>
        <w:spacing w:after="0" w:line="170" w:lineRule="exact"/>
        <w:rPr>
          <w:sz w:val="20"/>
          <w:szCs w:val="20"/>
          <w:color w:val="auto"/>
        </w:rPr>
      </w:pPr>
    </w:p>
    <w:p>
      <w:pPr>
        <w:ind w:left="240" w:hanging="205"/>
        <w:spacing w:after="0"/>
        <w:tabs>
          <w:tab w:leader="none" w:pos="240" w:val="left"/>
        </w:tabs>
        <w:numPr>
          <w:ilvl w:val="0"/>
          <w:numId w:val="20"/>
        </w:numPr>
        <w:rPr>
          <w:rFonts w:ascii="Times New Roman" w:cs="Times New Roman" w:eastAsia="Times New Roman" w:hAnsi="Times New Roman"/>
          <w:sz w:val="15"/>
          <w:szCs w:val="15"/>
          <w:color w:val="auto"/>
        </w:rPr>
      </w:pPr>
      <w:r>
        <w:rPr>
          <w:rFonts w:ascii="Arial" w:cs="Arial" w:eastAsia="Arial" w:hAnsi="Arial"/>
          <w:sz w:val="15"/>
          <w:szCs w:val="15"/>
          <w:color w:val="auto"/>
        </w:rPr>
        <w:t>the last day of the fiscal year in which we have more than $1.07 billion in annual revenues;</w:t>
      </w:r>
    </w:p>
    <w:p>
      <w:pPr>
        <w:spacing w:after="0" w:line="17" w:lineRule="exact"/>
        <w:rPr>
          <w:rFonts w:ascii="Times New Roman" w:cs="Times New Roman" w:eastAsia="Times New Roman" w:hAnsi="Times New Roman"/>
          <w:sz w:val="15"/>
          <w:szCs w:val="15"/>
          <w:color w:val="auto"/>
        </w:rPr>
      </w:pPr>
    </w:p>
    <w:p>
      <w:pPr>
        <w:ind w:left="240" w:right="59" w:hanging="205"/>
        <w:spacing w:after="0" w:line="230" w:lineRule="auto"/>
        <w:tabs>
          <w:tab w:leader="none" w:pos="240" w:val="left"/>
        </w:tabs>
        <w:numPr>
          <w:ilvl w:val="0"/>
          <w:numId w:val="20"/>
        </w:numPr>
        <w:rPr>
          <w:rFonts w:ascii="Times New Roman" w:cs="Times New Roman" w:eastAsia="Times New Roman" w:hAnsi="Times New Roman"/>
          <w:sz w:val="15"/>
          <w:szCs w:val="15"/>
          <w:color w:val="auto"/>
        </w:rPr>
      </w:pPr>
      <w:r>
        <w:rPr>
          <w:rFonts w:ascii="Arial" w:cs="Arial" w:eastAsia="Arial" w:hAnsi="Arial"/>
          <w:sz w:val="15"/>
          <w:szCs w:val="15"/>
          <w:color w:val="auto"/>
        </w:rPr>
        <w:t>the date on which we become a “large accelerated filer” (the fiscal year-end on which at least $700 million of equity securities are held by non-affiliates as of the last day of our then-most recently completed second fiscal quarter);</w:t>
      </w:r>
    </w:p>
    <w:p>
      <w:pPr>
        <w:ind w:left="240" w:hanging="205"/>
        <w:spacing w:after="0"/>
        <w:tabs>
          <w:tab w:leader="none" w:pos="240" w:val="left"/>
        </w:tabs>
        <w:numPr>
          <w:ilvl w:val="0"/>
          <w:numId w:val="20"/>
        </w:numPr>
        <w:rPr>
          <w:rFonts w:ascii="Times New Roman" w:cs="Times New Roman" w:eastAsia="Times New Roman" w:hAnsi="Times New Roman"/>
          <w:sz w:val="15"/>
          <w:szCs w:val="15"/>
          <w:color w:val="auto"/>
        </w:rPr>
      </w:pPr>
      <w:r>
        <w:rPr>
          <w:rFonts w:ascii="Arial" w:cs="Arial" w:eastAsia="Arial" w:hAnsi="Arial"/>
          <w:sz w:val="15"/>
          <w:szCs w:val="15"/>
          <w:color w:val="auto"/>
        </w:rPr>
        <w:t>the date on which we have issued, in any three-year period, more than $1.0 billion in non-convertible debt securities; and</w:t>
      </w:r>
    </w:p>
    <w:p>
      <w:pPr>
        <w:spacing w:after="0" w:line="3" w:lineRule="exact"/>
        <w:rPr>
          <w:rFonts w:ascii="Times New Roman" w:cs="Times New Roman" w:eastAsia="Times New Roman" w:hAnsi="Times New Roman"/>
          <w:sz w:val="15"/>
          <w:szCs w:val="15"/>
          <w:color w:val="auto"/>
        </w:rPr>
      </w:pPr>
    </w:p>
    <w:p>
      <w:pPr>
        <w:ind w:left="240" w:hanging="205"/>
        <w:spacing w:after="0"/>
        <w:tabs>
          <w:tab w:leader="none" w:pos="240" w:val="left"/>
        </w:tabs>
        <w:numPr>
          <w:ilvl w:val="0"/>
          <w:numId w:val="20"/>
        </w:numPr>
        <w:rPr>
          <w:rFonts w:ascii="Times New Roman" w:cs="Times New Roman" w:eastAsia="Times New Roman" w:hAnsi="Times New Roman"/>
          <w:sz w:val="15"/>
          <w:szCs w:val="15"/>
          <w:color w:val="auto"/>
        </w:rPr>
      </w:pPr>
      <w:r>
        <w:rPr>
          <w:rFonts w:ascii="Arial" w:cs="Arial" w:eastAsia="Arial" w:hAnsi="Arial"/>
          <w:sz w:val="15"/>
          <w:szCs w:val="15"/>
          <w:color w:val="auto"/>
        </w:rPr>
        <w:t>the last day of the fiscal year ending after the fifth anniversary of the completion of our initial public offering.</w:t>
      </w:r>
    </w:p>
    <w:p>
      <w:pPr>
        <w:spacing w:after="0" w:line="167"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For more information see “Item 3D. Risk Factors—Risks Related to Our Common Shares. The reduced disclosure requirements applicable to EGCs may make our common shares less attractive to investors due to certain risks related to our status as an EGC.”</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Controlled Company Status</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A “controlled company” under Nasdaq corporate governance rules is defined as a company of which more than 50% of the voting power for the election of the directors is held by an individual, group or another company. We qualify as a “controlled company” under Nasdaq rules because TRGI holds the right to appoint a majority of our board of directors pursuant to a provision in our bye-laws. We intend to rely upon the “controlled company” exception relating to the board of directors and committee independence requirements under the Nasdaq listing rules. Pursuant to this exception, we will be exempt from the rules that would otherwise require that our board of directors consist of a majority of independent directors and that our compensation committee and nominating and governance committee be composed entirely of independent directors. The “controlled company” exception does not modify the independence requirements for the audit committee, and we intend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to comply with the requirements of the Exchange Act and Nasdaq, which require that our audit committee have a majority of independent directors, and exclusively independent directors within one year following the effective date of our registration statement. For more information, see “Item 3D. Risk Factors—Risks Related to Being Incorporated in Bermuda—As a foreign private issuer and a controlled company, we are not subject to certain Nasdaq corporate governance rules applicable to U.S. listed companies.”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Recent Developments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New and Expanded Facilities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During fiscal year 2022, we opened new customer experience centers in Pittsburgh, Pennsylvania, and Tegucigalpa, Honduras, and expanded facilities in our offshore and nearshore regions, which added over 3,400 seats. See “Item 5B. Liquidity and Capital Resources” for more information.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Stock repurchase program</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In December 2021, we announced that our board of directors had authorized the repurchase of up to $20 million of the Company’s common stock. During the year, we repurchased an aggregate of 227,889 shares of our common stock at an average price of $14.92 per share. See “Item 16E. Purchases of Equity Securities By the Issuer and Affiliated Purchasers” for more information.</w:t>
      </w:r>
    </w:p>
    <w:p>
      <w:pPr>
        <w:spacing w:after="0" w:line="146" w:lineRule="exact"/>
        <w:rPr>
          <w:sz w:val="20"/>
          <w:szCs w:val="20"/>
          <w:color w:val="auto"/>
        </w:rPr>
      </w:pPr>
    </w:p>
    <w:p>
      <w:pPr>
        <w:ind w:left="40" w:right="7399" w:hanging="5"/>
        <w:spacing w:after="0" w:line="519" w:lineRule="auto"/>
        <w:tabs>
          <w:tab w:leader="none" w:pos="298"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Business overview Industry Overview</w:t>
      </w:r>
    </w:p>
    <w:p>
      <w:pPr>
        <w:spacing w:after="0" w:line="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race to transform Customer Experience (CX) business models in a rapidly evolving digital world is a critical driver of success for many companies. While the need to adapt has been a priority for companies for the past several years, the COVID-19 pandemic has accelerated this movement, forcing businesses to rethink how they engage and retain their customers, whose habits and lifestyles have dramatically changed. This makes CX a key factor in today’s hyper-competitive economy and often the top priority for a company’s executive leadership.</w:t>
      </w:r>
    </w:p>
    <w:p>
      <w:pPr>
        <w:spacing w:after="0" w:line="151"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5"/>
          <w:szCs w:val="15"/>
          <w:color w:val="auto"/>
        </w:rPr>
        <w:t>The concept of digital transformation begins with customer engagement. The use of digital channels increased, while the ability to leverage digital and traditional channels in an integrated fashion in order to meet ever-evolving, fluid customer needs which we refer to as “integrated omni-channel” has become critical. This brings about a need for a new type of partner, one with expertise and capabilities that can help a company analyze its CX and then deliver on creating great experiences.</w:t>
      </w:r>
    </w:p>
    <w:p>
      <w:pPr>
        <w:spacing w:after="0" w:line="15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We believe that having a unique and deeply engaged front line of expert customer engagement professionals to deliver exceptional CX across all delivery channels is critical for companies to successfully implement these strategies. The past labor arbitrage-only approach is obsolete and the demand for fast and flexible service is required for success in the future.</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Technology and deep customer relationships are at the forefront of the leading digital-first companies. This has radically altered the market in which we operate as it has put CX front and center on our clients’ list of priorities. In our experience, clients continue to look to a different breed of outsourcing partners to provide CX services for them. In particular, clients are seeking disruptive technology providers and partners to elevate their customer experiences and become their CX partners of choice.</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As a result of these trends, there is a target market for CX providers of clients that are experiencing rapid growth across all markets and verticals. These companies are impacting our daily lives in many ways – how we shop, how and where we dine, how we watch our favorite shows, movies and series and how we invest our personal assets.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as a company, seek to accelerate our clients’ growth through our delivery of end-to-end customer engagement solutions. Our business model centers around a customer-centric approach, where every decision made, every solution developed, and every area of investment has the customer top of mind.</w:t>
      </w:r>
    </w:p>
    <w:p>
      <w:pPr>
        <w:spacing w:after="0" w:line="146" w:lineRule="exact"/>
        <w:rPr>
          <w:sz w:val="20"/>
          <w:szCs w:val="20"/>
          <w:color w:val="auto"/>
        </w:rPr>
      </w:pPr>
    </w:p>
    <w:p>
      <w:pPr>
        <w:ind w:left="40" w:right="499"/>
        <w:spacing w:after="0" w:line="260" w:lineRule="auto"/>
        <w:rPr>
          <w:sz w:val="20"/>
          <w:szCs w:val="20"/>
          <w:color w:val="auto"/>
        </w:rPr>
      </w:pPr>
      <w:r>
        <w:rPr>
          <w:rFonts w:ascii="Arial" w:cs="Arial" w:eastAsia="Arial" w:hAnsi="Arial"/>
          <w:sz w:val="15"/>
          <w:szCs w:val="15"/>
          <w:color w:val="auto"/>
        </w:rPr>
        <w:t>We understand our role, which is to improve CX in an omni-channel world and be our clients’ trusted provider in delivering a highly differentiated customer experience.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Business Overview</w:t>
      </w:r>
    </w:p>
    <w:p>
      <w:pPr>
        <w:spacing w:after="0" w:line="170" w:lineRule="exact"/>
        <w:rPr>
          <w:sz w:val="20"/>
          <w:szCs w:val="20"/>
          <w:color w:val="auto"/>
        </w:rPr>
      </w:pPr>
    </w:p>
    <w:p>
      <w:pPr>
        <w:jc w:val="center"/>
        <w:ind w:left="40" w:right="59"/>
        <w:spacing w:after="0" w:line="271" w:lineRule="auto"/>
        <w:rPr>
          <w:sz w:val="20"/>
          <w:szCs w:val="20"/>
          <w:color w:val="auto"/>
        </w:rPr>
      </w:pPr>
      <w:r>
        <w:rPr>
          <w:rFonts w:ascii="Arial" w:cs="Arial" w:eastAsia="Arial" w:hAnsi="Arial"/>
          <w:sz w:val="15"/>
          <w:szCs w:val="15"/>
          <w:b w:val="1"/>
          <w:bCs w:val="1"/>
          <w:i w:val="1"/>
          <w:iCs w:val="1"/>
          <w:color w:val="auto"/>
        </w:rPr>
        <w:t>We are a leading provider of customer support services that helps drive extraordinary customer experiences for many of the world’s most recognized brands.</w:t>
      </w:r>
    </w:p>
    <w:p>
      <w:pPr>
        <w:spacing w:after="0" w:line="119"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We combine our strong heritage of delivering world-class CX operations delivery with best-in-class services and solutions that span omnichannel customer engagement and support, digital marketing and customer experience management to help our clients measure customer sentiment and deliver a superior CX to their end-customers.</w:t>
      </w:r>
    </w:p>
    <w:p>
      <w:pPr>
        <w:spacing w:after="0" w:line="14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Leveraging our proprietary Wave X purpose-built technology platform, company culture and operational excellence, we help more than 130 clients create innovative and differentiated customer experiences to increase loyalty, enhance brand awareness and drive revenue in an era of rapid change and digital transformation.</w:t>
      </w:r>
    </w:p>
    <w:p>
      <w:pPr>
        <w:spacing w:after="0" w:line="146" w:lineRule="exact"/>
        <w:rPr>
          <w:sz w:val="20"/>
          <w:szCs w:val="20"/>
          <w:color w:val="auto"/>
        </w:rPr>
      </w:pPr>
    </w:p>
    <w:p>
      <w:pPr>
        <w:jc w:val="both"/>
        <w:ind w:left="40" w:right="39"/>
        <w:spacing w:after="0" w:line="276" w:lineRule="auto"/>
        <w:rPr>
          <w:sz w:val="20"/>
          <w:szCs w:val="20"/>
          <w:color w:val="auto"/>
        </w:rPr>
      </w:pPr>
      <w:r>
        <w:rPr>
          <w:rFonts w:ascii="Arial" w:cs="Arial" w:eastAsia="Arial" w:hAnsi="Arial"/>
          <w:sz w:val="15"/>
          <w:szCs w:val="15"/>
          <w:color w:val="auto"/>
        </w:rPr>
        <w:t>We have transformed our business from a traditional business process outsourcer (BPO) of commoditized call center support to a technology-led provider and partner of choice for high-growth brands that are digitally transforming themselves. These brands span across e-commerce, retail, FinTech, HealthTech, streaming content, ride sharing and hospitality.</w:t>
      </w:r>
    </w:p>
    <w:p>
      <w:pPr>
        <w:spacing w:after="0" w:line="146" w:lineRule="exact"/>
        <w:rPr>
          <w:sz w:val="20"/>
          <w:szCs w:val="20"/>
          <w:color w:val="auto"/>
        </w:rPr>
      </w:pPr>
    </w:p>
    <w:p>
      <w:pPr>
        <w:jc w:val="both"/>
        <w:ind w:left="40" w:right="59"/>
        <w:spacing w:after="0" w:line="292" w:lineRule="auto"/>
        <w:rPr>
          <w:sz w:val="20"/>
          <w:szCs w:val="20"/>
          <w:color w:val="auto"/>
        </w:rPr>
      </w:pPr>
      <w:r>
        <w:rPr>
          <w:rFonts w:ascii="Arial" w:cs="Arial" w:eastAsia="Arial" w:hAnsi="Arial"/>
          <w:sz w:val="14"/>
          <w:szCs w:val="14"/>
          <w:color w:val="auto"/>
        </w:rPr>
        <w:t>In fiscal year 2016, we pivoted our strategy to place a high priority on delivering great customer experiences across the customer lifecycle and to focus on clients who view CX as a competitive differentiator. Companies are looking for enhanced solutions beyond pure labor arbitrage. They require partners that can enhance their brand and customer loyalty. Key attributes include tech-led solutions, a highly connected culture and superior level of employee engagement, elevated branding, and a fast and effective path to operational proficiency. We call this BPO 2.0, and ibex is at the forefront of delivering these differentiated solutions at scale across our geographies.</w:t>
      </w:r>
    </w:p>
    <w:p>
      <w:pPr>
        <w:spacing w:after="0" w:line="138" w:lineRule="exact"/>
        <w:rPr>
          <w:sz w:val="20"/>
          <w:szCs w:val="20"/>
          <w:color w:val="auto"/>
        </w:rPr>
      </w:pPr>
    </w:p>
    <w:p>
      <w:pPr>
        <w:jc w:val="both"/>
        <w:ind w:left="40" w:right="39"/>
        <w:spacing w:after="0" w:line="290" w:lineRule="auto"/>
        <w:rPr>
          <w:sz w:val="20"/>
          <w:szCs w:val="20"/>
          <w:color w:val="auto"/>
        </w:rPr>
      </w:pPr>
      <w:r>
        <w:rPr>
          <w:rFonts w:ascii="Arial" w:cs="Arial" w:eastAsia="Arial" w:hAnsi="Arial"/>
          <w:sz w:val="15"/>
          <w:szCs w:val="15"/>
          <w:color w:val="auto"/>
        </w:rPr>
        <w:t>Today, our business is experiencing significant growth with clients that require best-in-class performance and differentiated value propositions.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We are well-positioned for strong, sustainable, long-term growth.</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Our revenues have increased organically at a compounded annual growth rate (“CAGR”) of 10.2%, growing from $227.4 million in the fiscal year ended June 30, 2014 (excluding any impact due to IFRS 15) to $493.6 million in the fiscal year ended June 30, 2022. This growth rate is significantly greater than that of our constituent markets, especially the BPO industry, which according to IDC, is expected to grow at a CAGR of 3.6% between 2020 and 2024.</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In fiscal year 2022, we won 23 additional new customers across our Blue Chip and emerging New Economy client segments, bolstering our presence as a leading provider of customer engagement BPO and technology solutions in these spaces.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567055</wp:posOffset>
            </wp:positionV>
            <wp:extent cx="4544060" cy="255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44060"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Since the start of fiscal year 2016, we have attracted more than 75 new clients, which together represented approximately $342 million of revenue during in fiscal year 2022. This resulted in a 78% revenue CAGR from fiscal year 2016 to fiscal year 2022, and 49% revenue growth from fiscal year 2021 to fiscal year 2022. These clients represented 69% of our revenues in fiscal year 2022 and we expect them to continue to grow rapidly. Additionally, approximately 70% of these clients partner with us to provide them with integrated omni-channel solutions which we believe make our relationships with them stronger and more defensible. The remaining clients are mature brands that are equally committed to delivering amazing experience through voice channels.</w:t>
      </w:r>
    </w:p>
    <w:p>
      <w:pPr>
        <w:spacing w:after="0" w:line="150" w:lineRule="exact"/>
        <w:rPr>
          <w:sz w:val="20"/>
          <w:szCs w:val="20"/>
          <w:color w:val="auto"/>
        </w:rPr>
      </w:pPr>
    </w:p>
    <w:p>
      <w:pPr>
        <w:jc w:val="both"/>
        <w:ind w:left="40" w:right="59"/>
        <w:spacing w:after="0" w:line="251" w:lineRule="auto"/>
        <w:rPr>
          <w:sz w:val="20"/>
          <w:szCs w:val="20"/>
          <w:color w:val="auto"/>
        </w:rPr>
      </w:pPr>
      <w:r>
        <w:rPr>
          <w:rFonts w:ascii="Arial" w:cs="Arial" w:eastAsia="Arial" w:hAnsi="Arial"/>
          <w:sz w:val="15"/>
          <w:szCs w:val="15"/>
          <w:color w:val="auto"/>
        </w:rPr>
        <w:t>We are extremely proud of the diversification we have achieved in our business. As we completed fiscal year 2015 and enacted our new strategy in fiscal year 2016 and beyond, our top five clients represented 75% of our business and our top 10 represented 82% of total business. Our 25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largest client spent less than $1 million dollars with us annually.</w:t>
      </w:r>
    </w:p>
    <w:p>
      <w:pPr>
        <w:spacing w:after="0" w:line="49" w:lineRule="exact"/>
        <w:rPr>
          <w:sz w:val="20"/>
          <w:szCs w:val="20"/>
          <w:color w:val="auto"/>
        </w:rPr>
      </w:pPr>
    </w:p>
    <w:p>
      <w:pPr>
        <w:jc w:val="both"/>
        <w:ind w:left="40" w:right="39"/>
        <w:spacing w:after="0" w:line="210" w:lineRule="auto"/>
        <w:rPr>
          <w:sz w:val="20"/>
          <w:szCs w:val="20"/>
          <w:color w:val="auto"/>
        </w:rPr>
      </w:pPr>
      <w:r>
        <w:rPr>
          <w:rFonts w:ascii="Arial" w:cs="Arial" w:eastAsia="Arial" w:hAnsi="Arial"/>
          <w:sz w:val="15"/>
          <w:szCs w:val="15"/>
          <w:color w:val="auto"/>
        </w:rPr>
        <w:t>As we completed fiscal year 2022, these numbers vastly improved. During fiscal year 2022, our top five clients represented 39% of our business, and our top 10 clients represented 57% of total business. Our 25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largest client spent almost five times the amount it did in fiscal year 2015.</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demonstrates how impactful our strategy shift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5080</wp:posOffset>
            </wp:positionV>
            <wp:extent cx="4544060" cy="255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44060"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0" w:right="39"/>
        <w:spacing w:after="0" w:line="251" w:lineRule="auto"/>
        <w:rPr>
          <w:sz w:val="20"/>
          <w:szCs w:val="20"/>
          <w:color w:val="auto"/>
        </w:rPr>
      </w:pPr>
      <w:r>
        <w:rPr>
          <w:rFonts w:ascii="Arial" w:cs="Arial" w:eastAsia="Arial" w:hAnsi="Arial"/>
          <w:sz w:val="15"/>
          <w:szCs w:val="15"/>
          <w:b w:val="1"/>
          <w:bCs w:val="1"/>
          <w:i w:val="1"/>
          <w:iCs w:val="1"/>
          <w:color w:val="auto"/>
        </w:rPr>
        <w:t>Our growth strategy is predicated on four growth pillars. Together, they serve as the catalyst for delivering business solutions that help our clients as they tackle their toughest business challenges, while providing differentiated and real-time experiences for their end-customers.</w:t>
      </w:r>
    </w:p>
    <w:p>
      <w:pPr>
        <w:spacing w:after="0" w:line="134"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 xml:space="preserve">The foundation of our success is based on four primary growth pillars: (1) the ability to harness </w:t>
      </w:r>
      <w:r>
        <w:rPr>
          <w:rFonts w:ascii="Arial" w:cs="Arial" w:eastAsia="Arial" w:hAnsi="Arial"/>
          <w:sz w:val="15"/>
          <w:szCs w:val="15"/>
          <w:b w:val="1"/>
          <w:bCs w:val="1"/>
          <w:color w:val="auto"/>
        </w:rPr>
        <w:t>innovative technology</w:t>
      </w:r>
      <w:r>
        <w:rPr>
          <w:rFonts w:ascii="Arial" w:cs="Arial" w:eastAsia="Arial" w:hAnsi="Arial"/>
          <w:sz w:val="15"/>
          <w:szCs w:val="15"/>
          <w:color w:val="auto"/>
        </w:rPr>
        <w:t xml:space="preserve"> that creates increased efficiencies for our business and our clients’ business (2) our strong track record of delivering </w:t>
      </w:r>
      <w:r>
        <w:rPr>
          <w:rFonts w:ascii="Arial" w:cs="Arial" w:eastAsia="Arial" w:hAnsi="Arial"/>
          <w:sz w:val="15"/>
          <w:szCs w:val="15"/>
          <w:b w:val="1"/>
          <w:bCs w:val="1"/>
          <w:color w:val="auto"/>
        </w:rPr>
        <w:t>best-in-class operations</w:t>
      </w:r>
      <w:r>
        <w:rPr>
          <w:rFonts w:ascii="Arial" w:cs="Arial" w:eastAsia="Arial" w:hAnsi="Arial"/>
          <w:sz w:val="15"/>
          <w:szCs w:val="15"/>
          <w:color w:val="auto"/>
        </w:rPr>
        <w:t xml:space="preserve"> (3) a </w:t>
      </w:r>
      <w:r>
        <w:rPr>
          <w:rFonts w:ascii="Arial" w:cs="Arial" w:eastAsia="Arial" w:hAnsi="Arial"/>
          <w:sz w:val="15"/>
          <w:szCs w:val="15"/>
          <w:b w:val="1"/>
          <w:bCs w:val="1"/>
          <w:color w:val="auto"/>
        </w:rPr>
        <w:t xml:space="preserve">high-performing company culture </w:t>
      </w:r>
      <w:r>
        <w:rPr>
          <w:rFonts w:ascii="Arial" w:cs="Arial" w:eastAsia="Arial" w:hAnsi="Arial"/>
          <w:sz w:val="15"/>
          <w:szCs w:val="15"/>
          <w:color w:val="auto"/>
        </w:rPr>
        <w:t>that breeds expertise and real-world knowledge amongst a very talented employee base and (4) a</w:t>
      </w:r>
      <w:r>
        <w:rPr>
          <w:rFonts w:ascii="Arial" w:cs="Arial" w:eastAsia="Arial" w:hAnsi="Arial"/>
          <w:sz w:val="15"/>
          <w:szCs w:val="15"/>
          <w:b w:val="1"/>
          <w:bCs w:val="1"/>
          <w:color w:val="auto"/>
        </w:rPr>
        <w:t xml:space="preserve"> customer-devoted mentality </w:t>
      </w:r>
      <w:r>
        <w:rPr>
          <w:rFonts w:ascii="Arial" w:cs="Arial" w:eastAsia="Arial" w:hAnsi="Arial"/>
          <w:sz w:val="15"/>
          <w:szCs w:val="15"/>
          <w:color w:val="auto"/>
        </w:rPr>
        <w:t>that breeds loyalty and long-term relationships. This loyalty is evidenced by the extended relationships we</w:t>
      </w:r>
      <w:r>
        <w:rPr>
          <w:rFonts w:ascii="Arial" w:cs="Arial" w:eastAsia="Arial" w:hAnsi="Arial"/>
          <w:sz w:val="15"/>
          <w:szCs w:val="15"/>
          <w:b w:val="1"/>
          <w:bCs w:val="1"/>
          <w:color w:val="auto"/>
        </w:rPr>
        <w:t xml:space="preserve"> </w:t>
      </w:r>
      <w:r>
        <w:rPr>
          <w:rFonts w:ascii="Arial" w:cs="Arial" w:eastAsia="Arial" w:hAnsi="Arial"/>
          <w:sz w:val="15"/>
          <w:szCs w:val="15"/>
          <w:color w:val="auto"/>
        </w:rPr>
        <w:t>have with our customers.</w:t>
      </w:r>
    </w:p>
    <w:p>
      <w:pPr>
        <w:spacing w:after="0" w:line="151" w:lineRule="exact"/>
        <w:rPr>
          <w:sz w:val="20"/>
          <w:szCs w:val="20"/>
          <w:color w:val="auto"/>
        </w:rPr>
      </w:pPr>
    </w:p>
    <w:p>
      <w:pPr>
        <w:jc w:val="center"/>
        <w:ind w:left="40" w:right="59"/>
        <w:spacing w:after="0"/>
        <w:rPr>
          <w:sz w:val="20"/>
          <w:szCs w:val="20"/>
          <w:color w:val="auto"/>
        </w:rPr>
      </w:pPr>
      <w:r>
        <w:rPr>
          <w:rFonts w:ascii="Arial" w:cs="Arial" w:eastAsia="Arial" w:hAnsi="Arial"/>
          <w:sz w:val="15"/>
          <w:szCs w:val="15"/>
          <w:b w:val="1"/>
          <w:bCs w:val="1"/>
          <w:i w:val="1"/>
          <w:iCs w:val="1"/>
          <w:color w:val="auto"/>
        </w:rPr>
        <w:t>Our broad portfolio of CX services and technology solutions give our clients a competitive advantage, while also providing them with the ability to deliver a relevant and differentiating experience for their customers.</w:t>
      </w:r>
    </w:p>
    <w:p>
      <w:pPr>
        <w:spacing w:after="0" w:line="1"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4"/>
          <w:szCs w:val="14"/>
          <w:color w:val="auto"/>
        </w:rPr>
        <w:t>We partner with companies ranging from large Fortune 100 companies to young, emerging brands to drive their customer engagement in ways that will revolutionize the way consumers connect and invest in their brands of choice harnessing the power of technology.</w:t>
      </w:r>
    </w:p>
    <w:p>
      <w:pPr>
        <w:spacing w:after="0" w:line="127"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Wave X is the hub of technology development and innovation at ibex. The Wave X platform powers enhanced agent interactions, exceptional client CX, and overall better performance.</w:t>
      </w:r>
    </w:p>
    <w:p>
      <w:pPr>
        <w:spacing w:after="0" w:line="135"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Wave X is a differentiated suite of digital and technology solutions across the agent lifecycle to ensure our agents are best equipped to delight customers across all phases of the customer lifecycle, and multiple channels, customized to a client’s specific need. This capability allows us to provide innovative, automated and customizable solutions to our clients more efficiently versus a pure labor arbitrage-based delivery model. We believe these technologies will enable us to outperform our competition.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0" w:right="39"/>
        <w:spacing w:after="0" w:line="271" w:lineRule="auto"/>
        <w:rPr>
          <w:sz w:val="20"/>
          <w:szCs w:val="20"/>
          <w:color w:val="auto"/>
        </w:rPr>
      </w:pPr>
      <w:r>
        <w:rPr>
          <w:rFonts w:ascii="Arial" w:cs="Arial" w:eastAsia="Arial" w:hAnsi="Arial"/>
          <w:sz w:val="15"/>
          <w:szCs w:val="15"/>
          <w:b w:val="1"/>
          <w:bCs w:val="1"/>
          <w:i w:val="1"/>
          <w:iCs w:val="1"/>
          <w:color w:val="auto"/>
        </w:rPr>
        <w:t>Our strategy places our clients at the heart of everything we do and is built on providing world-class operations and CX delivery capabilities that enable differentiating and relevant customer engagement.</w:t>
      </w:r>
    </w:p>
    <w:p>
      <w:pPr>
        <w:spacing w:after="0" w:line="119"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global delivery model is built on onshore, nearshore and offshore customer experience delivery centers, which includes a unique ability to support work-at-home capabilities in any region.</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In the last three fiscal years, we have experienced nearly 125% growth in nearshore/offshore capacity while shrinking our domestic capacity by more than 20%. As of June 30, 2022, 77% of our capacity resides in our high-growth offshore and nearshore markets.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Nearly 90% of our capacity today resides in our high margin regions.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operate state-of-the-art CX delivery centers in labor markets that we believe are underpenetrated. This helps us maintain our competitive advantage, retain our position in those labor markets as an employer of choice, and deliver a highly scalable and cost-effective solution to our clients. These delivery centers enable us to create a differentiated connection to our clients’ brands and customers.</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In addition, with a broad network of 34 contact centers spread across multiple geographies, we provide much needed geographic diversity for our clients. In particular, significant investments made in nearshore sites, such as Jamaica, Honduras, and Nicaragua, enable us to offer untapped talent pools for high-quality service, operations with a close proximity to our professionals’ homes, competitive price points, and an existing brand affinity. Moving forward, we are laser focused on growing our brand and market presence worldwide.</w:t>
      </w:r>
    </w:p>
    <w:p>
      <w:pPr>
        <w:spacing w:after="0" w:line="151" w:lineRule="exact"/>
        <w:rPr>
          <w:sz w:val="20"/>
          <w:szCs w:val="20"/>
          <w:color w:val="auto"/>
        </w:rPr>
      </w:pPr>
    </w:p>
    <w:p>
      <w:pPr>
        <w:jc w:val="center"/>
        <w:ind w:left="40" w:right="59"/>
        <w:spacing w:after="0" w:line="271" w:lineRule="auto"/>
        <w:rPr>
          <w:sz w:val="20"/>
          <w:szCs w:val="20"/>
          <w:color w:val="auto"/>
        </w:rPr>
      </w:pPr>
      <w:r>
        <w:rPr>
          <w:rFonts w:ascii="Arial" w:cs="Arial" w:eastAsia="Arial" w:hAnsi="Arial"/>
          <w:sz w:val="15"/>
          <w:szCs w:val="15"/>
          <w:b w:val="1"/>
          <w:bCs w:val="1"/>
          <w:i w:val="1"/>
          <w:iCs w:val="1"/>
          <w:color w:val="auto"/>
        </w:rPr>
        <w:t>We deploy a customer-centric, employee driven culture which enables our workforce to do their best work on behalf of our clients.</w:t>
      </w:r>
    </w:p>
    <w:p>
      <w:pPr>
        <w:spacing w:after="0" w:line="119"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believe that we have one of the best cultures in the industry. As a testament to our culture, a meaningful portion of our workforce is made up of family, friends and colleagues who were referred to us by our employees. Our culture is distinctive – built by and for the individuals that represent our clients’ brands with each and every contact. Our commitment to those individuals exceeds anything in our industry, as evidenced by our unprecedented employee Net Promoter Score (ENPS) of 71.</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At the foundation of our culture are three primary principals:</w:t>
      </w:r>
    </w:p>
    <w:p>
      <w:pPr>
        <w:spacing w:after="0" w:line="170" w:lineRule="exact"/>
        <w:rPr>
          <w:sz w:val="20"/>
          <w:szCs w:val="20"/>
          <w:color w:val="auto"/>
        </w:rPr>
      </w:pPr>
    </w:p>
    <w:p>
      <w:pPr>
        <w:jc w:val="both"/>
        <w:ind w:left="580" w:right="59" w:hanging="258"/>
        <w:spacing w:after="0" w:line="254"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 xml:space="preserve">Be the best employer in the markets we serve </w:t>
      </w:r>
      <w:r>
        <w:rPr>
          <w:rFonts w:ascii="Arial" w:cs="Arial" w:eastAsia="Arial" w:hAnsi="Arial"/>
          <w:sz w:val="14"/>
          <w:szCs w:val="14"/>
          <w:color w:val="auto"/>
        </w:rPr>
        <w:t>– We provide our employees with immediate opportunities for growth. Day one</w:t>
      </w:r>
      <w:r>
        <w:rPr>
          <w:rFonts w:ascii="Arial" w:cs="Arial" w:eastAsia="Arial" w:hAnsi="Arial"/>
          <w:sz w:val="14"/>
          <w:szCs w:val="14"/>
          <w:b w:val="1"/>
          <w:bCs w:val="1"/>
          <w:color w:val="auto"/>
        </w:rPr>
        <w:t xml:space="preserve"> </w:t>
      </w:r>
      <w:r>
        <w:rPr>
          <w:rFonts w:ascii="Arial" w:cs="Arial" w:eastAsia="Arial" w:hAnsi="Arial"/>
          <w:sz w:val="14"/>
          <w:szCs w:val="14"/>
          <w:color w:val="auto"/>
        </w:rPr>
        <w:t>begins with a view of what is possible at ibex including leadership development and job advancement and our commitment to enriching our employees’ lives. We enable our employees to craft a path for their future early in their tenure with ibex.</w:t>
      </w:r>
    </w:p>
    <w:p>
      <w:pPr>
        <w:jc w:val="both"/>
        <w:ind w:left="580" w:right="59" w:hanging="258"/>
        <w:spacing w:after="0" w:line="230"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b w:val="1"/>
          <w:bCs w:val="1"/>
          <w:color w:val="auto"/>
        </w:rPr>
        <w:t xml:space="preserve">Employee first culture </w:t>
      </w:r>
      <w:r>
        <w:rPr>
          <w:rFonts w:ascii="Arial" w:cs="Arial" w:eastAsia="Arial" w:hAnsi="Arial"/>
          <w:sz w:val="15"/>
          <w:szCs w:val="15"/>
          <w:color w:val="auto"/>
        </w:rPr>
        <w:t>– Our employees are the lifeblood of our organization. From the tools they use every day to interact with</w:t>
      </w:r>
      <w:r>
        <w:rPr>
          <w:rFonts w:ascii="Arial" w:cs="Arial" w:eastAsia="Arial" w:hAnsi="Arial"/>
          <w:sz w:val="15"/>
          <w:szCs w:val="15"/>
          <w:b w:val="1"/>
          <w:bCs w:val="1"/>
          <w:color w:val="auto"/>
        </w:rPr>
        <w:t xml:space="preserve"> </w:t>
      </w:r>
      <w:r>
        <w:rPr>
          <w:rFonts w:ascii="Arial" w:cs="Arial" w:eastAsia="Arial" w:hAnsi="Arial"/>
          <w:sz w:val="15"/>
          <w:szCs w:val="15"/>
          <w:color w:val="auto"/>
        </w:rPr>
        <w:t>our customers to the services we provide to improve their lives, we put our workforce first in all that we do. Our ability to recruit, engage, motivate and retain is evidenced in the top quadrant performance we deliver to our clients. We are committed to supporting a diverse and inclusive workforce through the entire organization.</w:t>
      </w:r>
    </w:p>
    <w:p>
      <w:pPr>
        <w:spacing w:after="0" w:line="2" w:lineRule="exact"/>
        <w:rPr>
          <w:rFonts w:ascii="Arial" w:cs="Arial" w:eastAsia="Arial" w:hAnsi="Arial"/>
          <w:sz w:val="15"/>
          <w:szCs w:val="15"/>
          <w:color w:val="auto"/>
        </w:rPr>
      </w:pPr>
    </w:p>
    <w:p>
      <w:pPr>
        <w:jc w:val="both"/>
        <w:ind w:left="580" w:right="39" w:hanging="258"/>
        <w:spacing w:after="0" w:line="237"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b w:val="1"/>
          <w:bCs w:val="1"/>
          <w:color w:val="auto"/>
        </w:rPr>
        <w:t xml:space="preserve">Highly immersive engagement </w:t>
      </w:r>
      <w:r>
        <w:rPr>
          <w:rFonts w:ascii="Arial" w:cs="Arial" w:eastAsia="Arial" w:hAnsi="Arial"/>
          <w:sz w:val="15"/>
          <w:szCs w:val="15"/>
          <w:color w:val="auto"/>
        </w:rPr>
        <w:t>–Our culture can be seen and felt from the minute you enter one of our centers. From our</w:t>
      </w:r>
      <w:r>
        <w:rPr>
          <w:rFonts w:ascii="Arial" w:cs="Arial" w:eastAsia="Arial" w:hAnsi="Arial"/>
          <w:sz w:val="15"/>
          <w:szCs w:val="15"/>
          <w:b w:val="1"/>
          <w:bCs w:val="1"/>
          <w:color w:val="auto"/>
        </w:rPr>
        <w:t xml:space="preserve"> </w:t>
      </w:r>
      <w:r>
        <w:rPr>
          <w:rFonts w:ascii="Arial" w:cs="Arial" w:eastAsia="Arial" w:hAnsi="Arial"/>
          <w:sz w:val="15"/>
          <w:szCs w:val="15"/>
          <w:color w:val="auto"/>
        </w:rPr>
        <w:t>modern, highly customized and branded sites to our unique celebrations for our frontline talent around the globe, our employee engagement is a key driver of the high agent retention we see across our delivery centers.</w:t>
      </w:r>
    </w:p>
    <w:p>
      <w:pPr>
        <w:spacing w:after="0" w:line="15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Since the outbreak of COVID-19, we invested millions of dollars in employee health, safety and wellness programs to help identify, slow and stop the spread of the Pandemic in our facilities. These investments included transportation for our employees to and from our facilities, high-grade disinfection of our CX delivery centers, appropriate social distancing measures, technology investment to contract trace and curb spread, and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company-paid vaccinations. We believe this investment in our employees underscores our commitment to our workforce and builds loyalty to our clients and our personnel.</w:t>
      </w:r>
    </w:p>
    <w:p>
      <w:pPr>
        <w:spacing w:after="0" w:line="135"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Our ongoing development and interest in our people and our culture is what fuels our growth. Our employees are extremely loyal to ibex and are proud to be part of ibex. The investment in our people does not end with our physical locations but transcends into the lives of our workforce.</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Our people are at the center of our long-term success and growth-strategy, and we will continue to nurture, enhance, and expand our diversity and values-driven culture. Combining the passion, energy and talents of our global employee base and harnessing that into an industry leading company is at the heart of what we do. The result is performance at the highest levels for our clients that delivers an exceptional CX while accelerating growth and diversification for our business.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We utilize a differentiated value proposition to support our clients and drive value.</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place the customer at the core of our business strategy and deliver world-class CX capabilities, operational delivery excellence, efficiency, and reliability to enhance our clients’ success.</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have generated a high level of client satisfaction and loyalty that had fueled our new customer growth and client retention</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Our ability to build deep and trusted relationships with our clients is an integral part of our culture.</w:t>
      </w:r>
    </w:p>
    <w:p>
      <w:pPr>
        <w:spacing w:after="0" w:line="135"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Additionally, we closely monitor customer satisfaction via net promoter score (“NPS”) which is tracked through our annual Client Satisfaction Survey. Our most recent survey scored a NPS of 68 which indicates strong, mutually-beneficial relationships with clients built on the value they place in ibex services and solutions along with the level of service consistently being delivered.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Our Strategic Approach</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Our approach focuses on high growth clients that are experiencing increased demand for their products and services. In addition, we serve companies that are transforming their CX to a digital-first model. These target clients are looking for partners that can deliver an amazing experience to their customers, while enhancing their brand and customer loyalty, at scale.</w:t>
      </w:r>
    </w:p>
    <w:p>
      <w:pPr>
        <w:spacing w:after="0" w:line="14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 services we provide for these clients are digital and traditional omni-channel capabilities. Our digital services have significantly less agent attrition than traditional BPO programs. Agent attrition is a key cost and performance component where low attrition drives higher margins and better performance for ibex and our clients.</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Often these digital services are provided in our high-margin Philippines and Nearshore regions. Our model of winning high-growth, digitally-focused clients has contributed to the growth of our highest margin services in our highest margin regions.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Our Competitive Strengths and Differentiators</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As evidenced by the quality and quantity of our new customer wins, growth and market share with these clients and our track record of amazing customer retention with no customer losses, has clearly established ourselves as a CX leader in today’s digital economy. We do this through leveraging our key competitive strengths:</w:t>
      </w:r>
    </w:p>
    <w:p>
      <w:pPr>
        <w:spacing w:after="0" w:line="146" w:lineRule="exact"/>
        <w:rPr>
          <w:sz w:val="20"/>
          <w:szCs w:val="20"/>
          <w:color w:val="auto"/>
        </w:rPr>
      </w:pPr>
    </w:p>
    <w:p>
      <w:pPr>
        <w:jc w:val="both"/>
        <w:ind w:left="300" w:right="59" w:hanging="265"/>
        <w:spacing w:after="0" w:line="244" w:lineRule="auto"/>
        <w:tabs>
          <w:tab w:leader="none" w:pos="30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Differentiated as a Nimble, Disruptive Provider </w:t>
      </w:r>
      <w:r>
        <w:rPr>
          <w:rFonts w:ascii="Arial" w:cs="Arial" w:eastAsia="Arial" w:hAnsi="Arial"/>
          <w:sz w:val="15"/>
          <w:szCs w:val="15"/>
          <w:color w:val="auto"/>
        </w:rPr>
        <w:t>– Companies continue to seek disruptive partners that are fast and flexible. We</w:t>
      </w:r>
      <w:r>
        <w:rPr>
          <w:rFonts w:ascii="Arial" w:cs="Arial" w:eastAsia="Arial" w:hAnsi="Arial"/>
          <w:sz w:val="15"/>
          <w:szCs w:val="15"/>
          <w:i w:val="1"/>
          <w:iCs w:val="1"/>
          <w:color w:val="auto"/>
        </w:rPr>
        <w:t xml:space="preserve"> </w:t>
      </w:r>
      <w:r>
        <w:rPr>
          <w:rFonts w:ascii="Arial" w:cs="Arial" w:eastAsia="Arial" w:hAnsi="Arial"/>
          <w:sz w:val="15"/>
          <w:szCs w:val="15"/>
          <w:color w:val="auto"/>
        </w:rPr>
        <w:t>believe that we have a distinct organizational culture that embraces technological disruption and is characterized by innovation, speed and structural nimbleness. Our innovative 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right="39"/>
        <w:spacing w:after="0" w:line="260" w:lineRule="auto"/>
        <w:rPr>
          <w:sz w:val="20"/>
          <w:szCs w:val="20"/>
          <w:color w:val="auto"/>
        </w:rPr>
      </w:pPr>
      <w:r>
        <w:rPr>
          <w:rFonts w:ascii="Arial" w:cs="Arial" w:eastAsia="Arial" w:hAnsi="Arial"/>
          <w:sz w:val="15"/>
          <w:szCs w:val="15"/>
          <w:color w:val="auto"/>
        </w:rPr>
        <w:t>entrepreneurial culture is a key differentiator and gives us a competitive advantage in delivering high-quality solutions to clients around the globe.</w:t>
      </w:r>
    </w:p>
    <w:p>
      <w:pPr>
        <w:spacing w:after="0" w:line="135" w:lineRule="exact"/>
        <w:rPr>
          <w:sz w:val="20"/>
          <w:szCs w:val="20"/>
          <w:color w:val="auto"/>
        </w:rPr>
      </w:pPr>
    </w:p>
    <w:p>
      <w:pPr>
        <w:jc w:val="both"/>
        <w:ind w:left="300" w:right="39" w:hanging="265"/>
        <w:spacing w:after="0" w:line="238" w:lineRule="auto"/>
        <w:tabs>
          <w:tab w:leader="none" w:pos="30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Wave X Technology Solutions to drive performance and innovation </w:t>
      </w:r>
      <w:r>
        <w:rPr>
          <w:rFonts w:ascii="Arial" w:cs="Arial" w:eastAsia="Arial" w:hAnsi="Arial"/>
          <w:sz w:val="15"/>
          <w:szCs w:val="15"/>
          <w:color w:val="auto"/>
        </w:rPr>
        <w:t>– ibex Wave X is the hub of our technology development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effort to drive value-added solutions for improved agent interactions, client CX, and overall performance. Wave X is a platform that spans the customer and agent lifecycle leveraging artificial intelligence into each stage of the customer lifecycle, from customer acquisition, to engagement, to surveys and analytics. Our proprietary technology, combined with our Wave Zero launch process enables us to accelerate “Speed to Green” for our clients and outperform our competition.</w:t>
      </w:r>
    </w:p>
    <w:p>
      <w:pPr>
        <w:spacing w:after="0" w:line="150" w:lineRule="exact"/>
        <w:rPr>
          <w:rFonts w:ascii="Times New Roman" w:cs="Times New Roman" w:eastAsia="Times New Roman" w:hAnsi="Times New Roman"/>
          <w:sz w:val="15"/>
          <w:szCs w:val="15"/>
          <w:color w:val="auto"/>
        </w:rPr>
      </w:pPr>
    </w:p>
    <w:p>
      <w:pPr>
        <w:jc w:val="both"/>
        <w:ind w:left="300" w:right="39" w:hanging="265"/>
        <w:spacing w:after="0" w:line="238" w:lineRule="auto"/>
        <w:tabs>
          <w:tab w:leader="none" w:pos="30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Best Brand and employer in the markets we operate – </w:t>
      </w:r>
      <w:r>
        <w:rPr>
          <w:rFonts w:ascii="Arial" w:cs="Arial" w:eastAsia="Arial" w:hAnsi="Arial"/>
          <w:sz w:val="15"/>
          <w:szCs w:val="15"/>
          <w:color w:val="auto"/>
        </w:rPr>
        <w:t>Our goal is to be the best employer which helps create a virtuous cycle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ability to attract and retain the best leadership and front-line agents. This in turn creates great performance that drives growth and expansion and expanded career opportunities for our personnel. The result is not only being recognized by the Great Places to Work award and Great Places to Work for Women awards, but also by scoring at industry leading scores for employee Net Promoter in markets like Jamaica, Nicaragua and Bohol, Philippines where we are now the largest BPO provider.</w:t>
      </w:r>
    </w:p>
    <w:p>
      <w:pPr>
        <w:spacing w:after="0" w:line="150" w:lineRule="exact"/>
        <w:rPr>
          <w:rFonts w:ascii="Times New Roman" w:cs="Times New Roman" w:eastAsia="Times New Roman" w:hAnsi="Times New Roman"/>
          <w:sz w:val="15"/>
          <w:szCs w:val="15"/>
          <w:color w:val="auto"/>
        </w:rPr>
      </w:pPr>
    </w:p>
    <w:p>
      <w:pPr>
        <w:jc w:val="both"/>
        <w:ind w:left="300" w:right="39" w:hanging="265"/>
        <w:spacing w:after="0" w:line="244" w:lineRule="auto"/>
        <w:tabs>
          <w:tab w:leader="none" w:pos="30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Broad set of full lifecycle Digital Services </w:t>
      </w:r>
      <w:r>
        <w:rPr>
          <w:rFonts w:ascii="Arial" w:cs="Arial" w:eastAsia="Arial" w:hAnsi="Arial"/>
          <w:sz w:val="15"/>
          <w:szCs w:val="15"/>
          <w:color w:val="auto"/>
        </w:rPr>
        <w:t>–The services we provide for our clients include three key services – Digital &amp; Omni-Channel Customer Experience (ibex Connect), Digital Marketing and E-Commerce (ibex Digital) and Digital CX surveys and analytics (ibex CX). This contrasts to many of our traditional competitors that are focused solely on contact center services only.</w:t>
      </w:r>
    </w:p>
    <w:p>
      <w:pPr>
        <w:spacing w:after="0" w:line="147" w:lineRule="exact"/>
        <w:rPr>
          <w:rFonts w:ascii="Times New Roman" w:cs="Times New Roman" w:eastAsia="Times New Roman" w:hAnsi="Times New Roman"/>
          <w:sz w:val="15"/>
          <w:szCs w:val="15"/>
          <w:color w:val="auto"/>
        </w:rPr>
      </w:pPr>
    </w:p>
    <w:p>
      <w:pPr>
        <w:jc w:val="both"/>
        <w:ind w:left="300" w:right="59" w:hanging="265"/>
        <w:spacing w:after="0" w:line="263" w:lineRule="auto"/>
        <w:tabs>
          <w:tab w:leader="none" w:pos="300" w:val="left"/>
        </w:tabs>
        <w:numPr>
          <w:ilvl w:val="0"/>
          <w:numId w:val="24"/>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 xml:space="preserve">World-Class Global Delivery with significant growth in Nearshore &amp; Offshore regions </w:t>
      </w:r>
      <w:r>
        <w:rPr>
          <w:rFonts w:ascii="Arial" w:cs="Arial" w:eastAsia="Arial" w:hAnsi="Arial"/>
          <w:sz w:val="14"/>
          <w:szCs w:val="14"/>
          <w:color w:val="auto"/>
        </w:rPr>
        <w:t>– Our global delivery model is built on onshore,</w:t>
      </w:r>
      <w:r>
        <w:rPr>
          <w:rFonts w:ascii="Arial" w:cs="Arial" w:eastAsia="Arial" w:hAnsi="Arial"/>
          <w:sz w:val="14"/>
          <w:szCs w:val="14"/>
          <w:i w:val="1"/>
          <w:iCs w:val="1"/>
          <w:color w:val="auto"/>
        </w:rPr>
        <w:t xml:space="preserve"> </w:t>
      </w:r>
      <w:r>
        <w:rPr>
          <w:rFonts w:ascii="Arial" w:cs="Arial" w:eastAsia="Arial" w:hAnsi="Arial"/>
          <w:sz w:val="14"/>
          <w:szCs w:val="14"/>
          <w:color w:val="auto"/>
        </w:rPr>
        <w:t>nearshore and offshore delivery centers, and includes our ability to also support work-at-home capabilities. We seek to operate state-of-the-art ‘highly-branded’ sites in labor markets that are underpenetrated in order to maintain our competitive advantage, retain our position in those labor markets as an employer of choice and deliver a highly scalable and cost-effective solution to our clients.</w:t>
      </w:r>
    </w:p>
    <w:p>
      <w:pPr>
        <w:spacing w:after="0" w:line="134" w:lineRule="exact"/>
        <w:rPr>
          <w:sz w:val="20"/>
          <w:szCs w:val="20"/>
          <w:color w:val="auto"/>
        </w:rPr>
      </w:pPr>
    </w:p>
    <w:p>
      <w:pPr>
        <w:jc w:val="both"/>
        <w:ind w:left="40" w:right="39"/>
        <w:spacing w:after="0" w:line="257" w:lineRule="auto"/>
        <w:rPr>
          <w:sz w:val="20"/>
          <w:szCs w:val="20"/>
          <w:color w:val="auto"/>
        </w:rPr>
      </w:pPr>
      <w:r>
        <w:rPr>
          <w:rFonts w:ascii="Arial" w:cs="Arial" w:eastAsia="Arial" w:hAnsi="Arial"/>
          <w:sz w:val="14"/>
          <w:szCs w:val="14"/>
          <w:color w:val="auto"/>
        </w:rPr>
        <w:t>Our CX delivery centers enable us to create a differentiated connection to our clients’ brands and their customers. In addition, with a broad growing network of 34 CX delivery centers spread across multiple geographies, we provide much needed geographic diversity for our clients. In particular, significant investments made in nearshore sites, such as Jamaica, Honduras, and Nicaragua, enable us to offer untapped talent pools for high-quality service, proximity to home operations, competitive price points, and an existing brand affinity. In the last three fiscal years, we have experienced nearly 125% growth in nearshore/offshore capacity while shrinking our domestic capacity by more than 20%. As of June 30, 2022, 77% of our capacity resides in our high growth offshore and nearshore markets.</w:t>
      </w:r>
    </w:p>
    <w:p>
      <w:pPr>
        <w:spacing w:after="0" w:line="138" w:lineRule="exact"/>
        <w:rPr>
          <w:sz w:val="20"/>
          <w:szCs w:val="20"/>
          <w:color w:val="auto"/>
        </w:rPr>
      </w:pPr>
    </w:p>
    <w:p>
      <w:pPr>
        <w:jc w:val="both"/>
        <w:ind w:left="300" w:right="39" w:hanging="265"/>
        <w:spacing w:after="0" w:line="244" w:lineRule="auto"/>
        <w:tabs>
          <w:tab w:leader="none" w:pos="30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Great Operational performance that leads to high Client Satisfaction and Retention </w:t>
      </w:r>
      <w:r>
        <w:rPr>
          <w:rFonts w:ascii="Arial" w:cs="Arial" w:eastAsia="Arial" w:hAnsi="Arial"/>
          <w:sz w:val="15"/>
          <w:szCs w:val="15"/>
          <w:color w:val="auto"/>
        </w:rPr>
        <w:t>– Our ability to build deep and trusted</w:t>
      </w:r>
      <w:r>
        <w:rPr>
          <w:rFonts w:ascii="Arial" w:cs="Arial" w:eastAsia="Arial" w:hAnsi="Arial"/>
          <w:sz w:val="15"/>
          <w:szCs w:val="15"/>
          <w:i w:val="1"/>
          <w:iCs w:val="1"/>
          <w:color w:val="auto"/>
        </w:rPr>
        <w:t xml:space="preserve"> </w:t>
      </w:r>
      <w:r>
        <w:rPr>
          <w:rFonts w:ascii="Arial" w:cs="Arial" w:eastAsia="Arial" w:hAnsi="Arial"/>
          <w:sz w:val="15"/>
          <w:szCs w:val="15"/>
          <w:color w:val="auto"/>
        </w:rPr>
        <w:t>relationships with our clients is core to who we are. Since the end of our fiscal year 2018, we have successfully retained 95% of our top 20 clients, which represented approximately 95% of our revenue in fiscal year 2018.</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Our Growth Strategy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goal is to grow our position as a key strategic partner to leading digital-first clients that require outsourced customer engagement solutions, especially as they look to deliver amazing customer experiences to digitally native customers.</w:t>
      </w:r>
    </w:p>
    <w:p>
      <w:pPr>
        <w:spacing w:after="0" w:line="135"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Since 2016 we have transformed our business from a traditional BPO providing commoditized call center support to a leading tech-led provider and partner of choice for the digital economy. Revenues from new clients won since fiscal year 2016 are approximately $342 million and have increased at a 78% CAGR and an increase of 49% from fiscal year 2021 to fiscal year 2022. Most of this growth is delivered out of our highly profitable nearshore and offshore regions. As of June 30, 2022, these regions represented 77% of our total seats.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Our growth model is designed to deploy a “land and expand” approach where we win a client, outperform and subsequently enhance the partnership scope with these clients. The breadth of our capabilities, our ability to deliver a superior experience to our clients and our global delivery capabilities have allowed us to successfully land new clients and then expand our wallet share with them over time.</w:t>
      </w:r>
    </w:p>
    <w:p>
      <w:pPr>
        <w:spacing w:after="0" w:line="14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Our Wave Zero launch model has become a competitive advantage for ibex in our land and expand approach. The result is a faster path to delivering results in the early stages of production resulting in a great position to expand quickly. This is evidenced by the revenues in year two and three of our client relationships increasing 2.0x to 3.5x of year one revenues.</w:t>
      </w:r>
    </w:p>
    <w:p>
      <w:pPr>
        <w:spacing w:after="0" w:line="146"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following table illustrates the success we have had with our new customer engine and our land and expand strategy since fiscal year 2016, as well as the acceleration of our new customer sales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95250</wp:posOffset>
            </wp:positionV>
            <wp:extent cx="4544060" cy="255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44060"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Moving forward, our strategy for continued growth is based on the following key components:</w:t>
      </w:r>
    </w:p>
    <w:p>
      <w:pPr>
        <w:spacing w:after="0" w:line="170" w:lineRule="exact"/>
        <w:rPr>
          <w:sz w:val="20"/>
          <w:szCs w:val="20"/>
          <w:color w:val="auto"/>
        </w:rPr>
      </w:pPr>
    </w:p>
    <w:p>
      <w:pPr>
        <w:jc w:val="both"/>
        <w:ind w:left="300" w:right="59" w:hanging="265"/>
        <w:spacing w:after="0" w:line="259" w:lineRule="auto"/>
        <w:tabs>
          <w:tab w:leader="none" w:pos="30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 xml:space="preserve">Continue Winning Digital-First Blue Chip Clients </w:t>
      </w:r>
      <w:r>
        <w:rPr>
          <w:rFonts w:ascii="Arial" w:cs="Arial" w:eastAsia="Arial" w:hAnsi="Arial"/>
          <w:sz w:val="14"/>
          <w:szCs w:val="14"/>
          <w:color w:val="auto"/>
        </w:rPr>
        <w:t>– We have been able to win marquee blue-chip brands that are looking to transform</w:t>
      </w:r>
      <w:r>
        <w:rPr>
          <w:rFonts w:ascii="Arial" w:cs="Arial" w:eastAsia="Arial" w:hAnsi="Arial"/>
          <w:sz w:val="14"/>
          <w:szCs w:val="14"/>
          <w:i w:val="1"/>
          <w:iCs w:val="1"/>
          <w:color w:val="auto"/>
        </w:rPr>
        <w:t xml:space="preserve"> </w:t>
      </w:r>
      <w:r>
        <w:rPr>
          <w:rFonts w:ascii="Arial" w:cs="Arial" w:eastAsia="Arial" w:hAnsi="Arial"/>
          <w:sz w:val="14"/>
          <w:szCs w:val="14"/>
          <w:color w:val="auto"/>
        </w:rPr>
        <w:t>their customer engagement strategy through a more innovative and outcome-oriented focus. For these customers, our value proposition is primarily focused on acting as a partner to drive digital transformation in their existing operations. The imperative of digital engagement with a new type of consumer is even more urgent as these companies increasingly face-off against emerging, new economy companies. We have increasingly gained share in these relationships, often displacing existing incumbent providers.</w:t>
      </w:r>
    </w:p>
    <w:p>
      <w:pPr>
        <w:spacing w:after="0" w:line="137" w:lineRule="exact"/>
        <w:rPr>
          <w:rFonts w:ascii="Times New Roman" w:cs="Times New Roman" w:eastAsia="Times New Roman" w:hAnsi="Times New Roman"/>
          <w:sz w:val="14"/>
          <w:szCs w:val="14"/>
          <w:color w:val="auto"/>
        </w:rPr>
      </w:pPr>
    </w:p>
    <w:p>
      <w:pPr>
        <w:jc w:val="both"/>
        <w:ind w:left="300" w:right="59" w:hanging="265"/>
        <w:spacing w:after="0" w:line="263" w:lineRule="auto"/>
        <w:tabs>
          <w:tab w:leader="none" w:pos="300"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 xml:space="preserve">Continue Winning the Leaders of the New Economy </w:t>
      </w:r>
      <w:r>
        <w:rPr>
          <w:rFonts w:ascii="Arial" w:cs="Arial" w:eastAsia="Arial" w:hAnsi="Arial"/>
          <w:sz w:val="14"/>
          <w:szCs w:val="14"/>
          <w:color w:val="auto"/>
        </w:rPr>
        <w:t>– Our New Economy initiative combines our customer engagement, customer</w:t>
      </w:r>
      <w:r>
        <w:rPr>
          <w:rFonts w:ascii="Arial" w:cs="Arial" w:eastAsia="Arial" w:hAnsi="Arial"/>
          <w:sz w:val="14"/>
          <w:szCs w:val="14"/>
          <w:i w:val="1"/>
          <w:iCs w:val="1"/>
          <w:color w:val="auto"/>
        </w:rPr>
        <w:t xml:space="preserve"> </w:t>
      </w:r>
      <w:r>
        <w:rPr>
          <w:rFonts w:ascii="Arial" w:cs="Arial" w:eastAsia="Arial" w:hAnsi="Arial"/>
          <w:sz w:val="14"/>
          <w:szCs w:val="14"/>
          <w:color w:val="auto"/>
        </w:rPr>
        <w:t>acquisition and CX capabilities into an integrated solution set that is focused on the needs of high-growth emerging technology markets. Our success in our New Economy vertical can be traced to its inception in 2016, when we began servicing a new client in the emerging technology space. We launched our New Economy initiative to help similar clients attain and support their high-growth</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right="59"/>
        <w:spacing w:after="0" w:line="260" w:lineRule="auto"/>
        <w:rPr>
          <w:sz w:val="20"/>
          <w:szCs w:val="20"/>
          <w:color w:val="auto"/>
        </w:rPr>
      </w:pPr>
      <w:r>
        <w:rPr>
          <w:rFonts w:ascii="Arial" w:cs="Arial" w:eastAsia="Arial" w:hAnsi="Arial"/>
          <w:sz w:val="15"/>
          <w:szCs w:val="15"/>
          <w:color w:val="auto"/>
        </w:rPr>
        <w:t>objectives. New Economy customers are serviced out of our Philippines and nearshore regions, often with more digital support versus traditional voice support, producing generally higher margins.</w:t>
      </w:r>
    </w:p>
    <w:p>
      <w:pPr>
        <w:spacing w:after="0" w:line="135" w:lineRule="exact"/>
        <w:rPr>
          <w:sz w:val="20"/>
          <w:szCs w:val="20"/>
          <w:color w:val="auto"/>
        </w:rPr>
      </w:pPr>
    </w:p>
    <w:p>
      <w:pPr>
        <w:jc w:val="both"/>
        <w:ind w:left="300" w:right="39" w:hanging="265"/>
        <w:spacing w:after="0"/>
        <w:tabs>
          <w:tab w:leader="none" w:pos="300" w:val="left"/>
        </w:tabs>
        <w:numPr>
          <w:ilvl w:val="0"/>
          <w:numId w:val="27"/>
        </w:numPr>
        <w:rPr>
          <w:rFonts w:ascii="Times New Roman" w:cs="Times New Roman" w:eastAsia="Times New Roman" w:hAnsi="Times New Roman"/>
          <w:sz w:val="15"/>
          <w:szCs w:val="15"/>
          <w:color w:val="333333"/>
        </w:rPr>
      </w:pPr>
      <w:r>
        <w:rPr>
          <w:rFonts w:ascii="Arial" w:cs="Arial" w:eastAsia="Arial" w:hAnsi="Arial"/>
          <w:sz w:val="15"/>
          <w:szCs w:val="15"/>
          <w:i w:val="1"/>
          <w:iCs w:val="1"/>
          <w:color w:val="auto"/>
        </w:rPr>
        <w:t xml:space="preserve">Invest into and Grow our Strategic FinTech and HealthTech Verticals </w:t>
      </w:r>
      <w:r>
        <w:rPr>
          <w:rFonts w:ascii="Arial" w:cs="Arial" w:eastAsia="Arial" w:hAnsi="Arial"/>
          <w:sz w:val="15"/>
          <w:szCs w:val="15"/>
          <w:color w:val="auto"/>
        </w:rPr>
        <w:t>–We have identified the FinTech and HealthTech industries as</w:t>
      </w:r>
      <w:r>
        <w:rPr>
          <w:rFonts w:ascii="Arial" w:cs="Arial" w:eastAsia="Arial" w:hAnsi="Arial"/>
          <w:sz w:val="15"/>
          <w:szCs w:val="15"/>
          <w:i w:val="1"/>
          <w:iCs w:val="1"/>
          <w:color w:val="auto"/>
        </w:rPr>
        <w:t xml:space="preserve"> </w:t>
      </w:r>
      <w:r>
        <w:rPr>
          <w:rFonts w:ascii="Arial" w:cs="Arial" w:eastAsia="Arial" w:hAnsi="Arial"/>
          <w:sz w:val="15"/>
          <w:szCs w:val="15"/>
          <w:color w:val="auto"/>
        </w:rPr>
        <w:t>high-growth verticals with rapidly expanding digital CX needs. Within our FinTech practice, we intend to build on recent wins we have had with leading digital trading apps and crypto currency wallets. In HealthTech, we see significant opportunity to provide enhanced patient experience, revenue cycle management as well as medical coding and billing services.</w:t>
      </w:r>
    </w:p>
    <w:p>
      <w:pPr>
        <w:spacing w:after="0" w:line="150" w:lineRule="exact"/>
        <w:rPr>
          <w:rFonts w:ascii="Times New Roman" w:cs="Times New Roman" w:eastAsia="Times New Roman" w:hAnsi="Times New Roman"/>
          <w:sz w:val="15"/>
          <w:szCs w:val="15"/>
          <w:color w:val="333333"/>
        </w:rPr>
      </w:pPr>
    </w:p>
    <w:p>
      <w:pPr>
        <w:jc w:val="both"/>
        <w:ind w:left="860" w:right="39" w:hanging="272"/>
        <w:spacing w:after="0" w:line="237" w:lineRule="auto"/>
        <w:tabs>
          <w:tab w:leader="none" w:pos="860" w:val="left"/>
        </w:tabs>
        <w:numPr>
          <w:ilvl w:val="1"/>
          <w:numId w:val="27"/>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Expand Service &amp; Lines of Business with Current Clients </w:t>
      </w:r>
      <w:r>
        <w:rPr>
          <w:rFonts w:ascii="Arial" w:cs="Arial" w:eastAsia="Arial" w:hAnsi="Arial"/>
          <w:sz w:val="15"/>
          <w:szCs w:val="15"/>
          <w:color w:val="auto"/>
        </w:rPr>
        <w:t>– The breadth of our solutions over the full customer lifecycle</w:t>
      </w:r>
      <w:r>
        <w:rPr>
          <w:rFonts w:ascii="Arial" w:cs="Arial" w:eastAsia="Arial" w:hAnsi="Arial"/>
          <w:sz w:val="15"/>
          <w:szCs w:val="15"/>
          <w:i w:val="1"/>
          <w:iCs w:val="1"/>
          <w:color w:val="auto"/>
        </w:rPr>
        <w:t xml:space="preserve"> </w:t>
      </w:r>
      <w:r>
        <w:rPr>
          <w:rFonts w:ascii="Arial" w:cs="Arial" w:eastAsia="Arial" w:hAnsi="Arial"/>
          <w:sz w:val="15"/>
          <w:szCs w:val="15"/>
          <w:color w:val="auto"/>
        </w:rPr>
        <w:t>creates the ability to cross-sell each solution throughout our client base. Our client base has many large, global brands that have multiple lines of business across multiple geographies. Our typical model is to launch in one center with one service such as customer engagement. Our goal is then to “expand” with additional services or new geographies where we operate for our clients. We believe that the success of our initial launches has enabled our client teams to broaden our scope of engagement with these clients to include additional solutions within our suite of offerings.</w:t>
      </w:r>
    </w:p>
    <w:p>
      <w:pPr>
        <w:spacing w:after="0" w:line="149" w:lineRule="exact"/>
        <w:rPr>
          <w:rFonts w:ascii="Times New Roman" w:cs="Times New Roman" w:eastAsia="Times New Roman" w:hAnsi="Times New Roman"/>
          <w:sz w:val="15"/>
          <w:szCs w:val="15"/>
          <w:color w:val="auto"/>
        </w:rPr>
      </w:pPr>
    </w:p>
    <w:p>
      <w:pPr>
        <w:jc w:val="both"/>
        <w:ind w:left="860" w:right="59" w:hanging="272"/>
        <w:spacing w:after="0" w:line="244" w:lineRule="auto"/>
        <w:tabs>
          <w:tab w:leader="none" w:pos="860" w:val="left"/>
        </w:tabs>
        <w:numPr>
          <w:ilvl w:val="1"/>
          <w:numId w:val="27"/>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Pursue strategic acquisitions </w:t>
      </w:r>
      <w:r>
        <w:rPr>
          <w:rFonts w:ascii="Arial" w:cs="Arial" w:eastAsia="Arial" w:hAnsi="Arial"/>
          <w:sz w:val="15"/>
          <w:szCs w:val="15"/>
          <w:color w:val="auto"/>
        </w:rPr>
        <w:t>– Our acquisition strategy targets situations in which it is optimal to acquire versus build. It will</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be focused on adding additional omni-channel capabilities, providing access to new geographies and acquiring technologies that further differentiate our solutions.</w:t>
      </w:r>
    </w:p>
    <w:p>
      <w:pPr>
        <w:spacing w:after="0" w:line="14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By offering technology-enabled customer interactions solutions and focusing on our strategies for growth, we believe we are well positioned to compete effectively in the customer engagement marketplace, continue to increase market share and capitalize on market growth.</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Our Service Offerings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Whether in mature, high-growth or emerging industries, we provide clients with a compelling value proposition that combines a full spectrum of customer lifecycle solutions with a world-class global operations delivery model operating off of innovative technology.</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customer experience lifecycle, from acquisition to retention has become more challenging, complex and competitive for companies to manage, yet now more than ever before, CX is a key differentiator for so many companies.</w:t>
      </w:r>
    </w:p>
    <w:p>
      <w:pPr>
        <w:spacing w:after="0" w:line="135" w:lineRule="exact"/>
        <w:rPr>
          <w:sz w:val="20"/>
          <w:szCs w:val="20"/>
          <w:color w:val="auto"/>
        </w:rPr>
      </w:pPr>
    </w:p>
    <w:p>
      <w:pPr>
        <w:jc w:val="center"/>
        <w:ind w:left="1480" w:right="160"/>
        <w:spacing w:after="0" w:line="271" w:lineRule="auto"/>
        <w:rPr>
          <w:sz w:val="20"/>
          <w:szCs w:val="20"/>
          <w:color w:val="auto"/>
        </w:rPr>
      </w:pPr>
      <w:r>
        <w:rPr>
          <w:rFonts w:ascii="Arial" w:cs="Arial" w:eastAsia="Arial" w:hAnsi="Arial"/>
          <w:sz w:val="15"/>
          <w:szCs w:val="15"/>
          <w:b w:val="1"/>
          <w:bCs w:val="1"/>
          <w:i w:val="1"/>
          <w:iCs w:val="1"/>
          <w:color w:val="auto"/>
        </w:rPr>
        <w:t>Digitally transforming companies partner with ibex to optimize every interaction they have with their customers, ensuring a superior customer experience.</w:t>
      </w:r>
    </w:p>
    <w:p>
      <w:pPr>
        <w:spacing w:after="0" w:line="119"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We have designed a differentiated suite of digital and operational solutions that seamlessly manages interactions throughout all phases of the customer lifecycle, across multiple channels, customized to a client’s specific needs.</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technology solutions and outsourcing services help globally recognized companies enhance their brands, drive customer loyalty, and identify new revenue streams by customizing services that maximize touchpoints across the entire customer journey.</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We provide our clients with differentiated solutions that combine a customer-obsessed employee culture, an industry-leading global delivery model, and innovative technology. The investments we have made have placed us in a strong competitive position with substantial first-mover advantages.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Our vertical industry expertise in retail, e-commerce, emerging technology, HealthTech, FinTech and other high-growth areas allows us to adapt our services and solutions for clients, further embedding us into their customer engagement lifecycle while delivering impactful business results.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Our services cover three areas: Digital &amp; Omni-Channel Customer Experience (ibex Connect), Digital Marketing and E-Commerce (ibex</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Digital) and Digital CX surveys and analytics (ibex CX):</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ibex Connect</w:t>
      </w:r>
    </w:p>
    <w:p>
      <w:pPr>
        <w:spacing w:after="0" w:line="7"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Our Connect business lies at the core of our offerings and generates the majority of the company’s revenue. This business unit delivers differentiated customer service (assisting our clients’ customers with information about our clients’ and their products or services), technical support (providing specialized teams to provide information, assistance and technical guidance to our clients’ customers on a specific product or service), revenue generation (upselling and cross selling) and other value-added outsourced back office services (finance and accounting, marketing support, sales operations, and human resources administration) to our clients. We deploy these capabilities through a true omni-channel CX model, which integrates voice, email, chat, SMS, social media and other communication applications.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ibex Digital</w:t>
      </w:r>
    </w:p>
    <w:p>
      <w:pPr>
        <w:spacing w:after="0" w:line="7"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ibex Digital suite of solutions works with consumer-facing businesses to help them build, grow and scale technology-driven customer acquisition solutions, while helping drive digital transformation. We offer digital marketing, e-commerce technology, and platform solutions for some of the largest and fastest growing brands, helping them build new customer acquisition channels, increase acquired customers, and often do both at a reduced cost.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ibex CX</w:t>
      </w:r>
    </w:p>
    <w:p>
      <w:pPr>
        <w:spacing w:after="0" w:line="7"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CX business measures, monitors and manages our clients’ wholistic customer experiences. By offering a 360-degree CX approach, our clients harness the power of the data and customer feedback to differentiate themselves within today’s “customer expectation economy.” We enable our clients to improve retention of their customers, identify and manage service issues in real time, predict future behavior and outcomes, derive impact analysis scenarios and assign “action plans” throughout the enterprise.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Our Technology</w:t>
      </w:r>
    </w:p>
    <w:p>
      <w:pPr>
        <w:spacing w:after="0" w:line="170" w:lineRule="exact"/>
        <w:rPr>
          <w:sz w:val="20"/>
          <w:szCs w:val="20"/>
          <w:color w:val="auto"/>
        </w:rPr>
      </w:pPr>
    </w:p>
    <w:p>
      <w:pPr>
        <w:jc w:val="center"/>
        <w:ind w:left="40" w:right="39"/>
        <w:spacing w:after="0" w:line="271" w:lineRule="auto"/>
        <w:rPr>
          <w:sz w:val="20"/>
          <w:szCs w:val="20"/>
          <w:color w:val="auto"/>
        </w:rPr>
      </w:pPr>
      <w:r>
        <w:rPr>
          <w:rFonts w:ascii="Arial" w:cs="Arial" w:eastAsia="Arial" w:hAnsi="Arial"/>
          <w:sz w:val="15"/>
          <w:szCs w:val="15"/>
          <w:b w:val="1"/>
          <w:bCs w:val="1"/>
          <w:i w:val="1"/>
          <w:iCs w:val="1"/>
          <w:color w:val="auto"/>
        </w:rPr>
        <w:t>The foundation for ibex service offerings is our WaveX technology platform, a differentiating set of proprietary purpose-built solutions across the customer and agent lifecycle that drive performance, speed to green and customer satisfaction.</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Our technology helps clients drive insights and manage interactions across their entire customer journey.</w:t>
      </w:r>
    </w:p>
    <w:p>
      <w:pPr>
        <w:spacing w:after="0" w:line="181" w:lineRule="exact"/>
        <w:rPr>
          <w:sz w:val="20"/>
          <w:szCs w:val="20"/>
          <w:color w:val="auto"/>
        </w:rPr>
      </w:pPr>
    </w:p>
    <w:p>
      <w:pPr>
        <w:jc w:val="both"/>
        <w:ind w:left="40" w:right="39"/>
        <w:spacing w:after="0" w:line="253" w:lineRule="auto"/>
        <w:rPr>
          <w:sz w:val="20"/>
          <w:szCs w:val="20"/>
          <w:color w:val="auto"/>
        </w:rPr>
      </w:pPr>
      <w:r>
        <w:rPr>
          <w:rFonts w:ascii="Arial" w:cs="Arial" w:eastAsia="Arial" w:hAnsi="Arial"/>
          <w:sz w:val="15"/>
          <w:szCs w:val="15"/>
          <w:color w:val="auto"/>
        </w:rPr>
        <w:t>We have invested significant resources into building and deploying proprietary technology, focusing on next-generation software deployed across the full customer lifecycle journey, driving revenue growth, productivity improvements, experience enhancement and competitive differentiation.</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Our Flexible Operating Delivery Model</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Companies seeking CX partners base their decisions in large part on the ability to provide a flexible, turnkey delivery model that offers a mix of onshore, nearshore, offshore and remote working capabilities. In the face of recent global events, companies need providers with the ability to shift their delivery rapidly between various location models.</w:t>
      </w:r>
    </w:p>
    <w:p>
      <w:pPr>
        <w:spacing w:after="0" w:line="146" w:lineRule="exact"/>
        <w:rPr>
          <w:sz w:val="20"/>
          <w:szCs w:val="20"/>
          <w:color w:val="auto"/>
        </w:rPr>
      </w:pPr>
    </w:p>
    <w:p>
      <w:pPr>
        <w:jc w:val="center"/>
        <w:ind w:left="40" w:right="39"/>
        <w:spacing w:after="0" w:line="271" w:lineRule="auto"/>
        <w:rPr>
          <w:sz w:val="20"/>
          <w:szCs w:val="20"/>
          <w:color w:val="auto"/>
        </w:rPr>
      </w:pPr>
      <w:r>
        <w:rPr>
          <w:rFonts w:ascii="Arial" w:cs="Arial" w:eastAsia="Arial" w:hAnsi="Arial"/>
          <w:sz w:val="15"/>
          <w:szCs w:val="15"/>
          <w:b w:val="1"/>
          <w:bCs w:val="1"/>
          <w:i w:val="1"/>
          <w:iCs w:val="1"/>
          <w:color w:val="auto"/>
        </w:rPr>
        <w:t>Our global delivery model operates onshore, nearshore and offshore CX delivery centers, coupled with the ability to support work-at-home capabilities.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We operate state-of-the-art CX delivery centers in labor markets that are underpenetrated. This gives us a competitive advantage, retains our position in those labor markets as an employer of choice and delivers a highly scalable and cost-effective solution to our clients.</w:t>
      </w:r>
    </w:p>
    <w:p>
      <w:pPr>
        <w:spacing w:after="0" w:line="146"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Our CX delivery centers enable us to create an environment where our customer service employees are highly immersed in our clients’ brands, further promoting our customer-obsessed culture.</w:t>
      </w:r>
    </w:p>
    <w:p>
      <w:pPr>
        <w:spacing w:after="0" w:line="135"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With a broad and growing global network of 34 CX delivery centers, we provide geographic diversity for our clients. Our significant investments in nearshore sites such as Jamaica, Honduras, and Nicaragua enable us to offer untapped talent pools capable of delivering superior CX at competitive price points, and in many cases, an existing brand affinity.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102235</wp:posOffset>
            </wp:positionV>
            <wp:extent cx="4544060" cy="255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44060"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have become the largest BPO employer in Jamaica and Nicaragua with over 6,200 and 2,700 employees, respectively. In addition, we’ve become the largest provider and first mover in Bohol, Philippines, where we have over 1,900 employees. In fact, we are rated the number one digital CX outsourcer in each of those countries. We are also the largest BPO employer in Pakistan, which is a truly disruptive market for the industry.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operate in the following geographies for our service offerings: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Customer Engagement</w:t>
      </w:r>
    </w:p>
    <w:p>
      <w:pPr>
        <w:spacing w:after="0" w:line="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color w:val="auto"/>
        </w:rPr>
        <w:t>We operate 34 CX delivery centers located in the United States, the Philippines, Jamaica, Nicaragua, Pakistan, Honduras, Senegal and the United Kingdom. As of June 30, 2022, we have approximately 24,000 agents across these centers.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Customer Acquisition</w:t>
      </w:r>
    </w:p>
    <w:p>
      <w:pPr>
        <w:spacing w:after="0" w:line="5"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operate four acquisition-focused Centers of Excellence, one in Jamaica, one in the Philippines, and two in Pakistan, which are focused on customer acquisition on behalf of our clients. As of June 30, 2022, the number of agents dedicated to customer acquisition was more than 230.</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Customer Experience Technology Solutions</w:t>
      </w:r>
    </w:p>
    <w:p>
      <w:pPr>
        <w:spacing w:after="0" w:line="5"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deliver our CX technology solutions to our clients primarily through a cloud-based delivery model. Our Analytics solution is an add-on solution, which includes technology such as omni-channel speech analytics utilizing artificial intelligence (AI) along with business analysts who provide various insights.</w:t>
      </w:r>
    </w:p>
    <w:p>
      <w:pPr>
        <w:spacing w:after="0" w:line="150"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Our footprint is a strategic advantage, blending our site strategies for our clients between the Philippines, nearshore markets (Jamaica, Nicaragua and Honduras), and in a disruptive market like Pakistan.</w:t>
      </w:r>
    </w:p>
    <w:p>
      <w:pPr>
        <w:spacing w:after="0" w:line="119"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This provides our clients with a balance of quality, cost and BCP (Business Continuity Plan) having their business placed with us across multiple regions. Of our largest 25 clients, we service 21 across multiple regions creating great market diversification and BCP. We also believe that providing services for our clients across multiple regions is a proxy for a partner oriented trusted relationship and is consistent with our “land and expand” client strategy.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Key Market Opportunities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estimated total current addressable market for ibex is well over $100 billion, and is comprised of the following areas of opportunity:</w:t>
      </w:r>
    </w:p>
    <w:p>
      <w:pPr>
        <w:spacing w:after="0" w:line="170" w:lineRule="exact"/>
        <w:rPr>
          <w:sz w:val="20"/>
          <w:szCs w:val="20"/>
          <w:color w:val="auto"/>
        </w:rPr>
      </w:pPr>
    </w:p>
    <w:p>
      <w:pPr>
        <w:jc w:val="both"/>
        <w:ind w:left="300" w:right="39" w:hanging="265"/>
        <w:spacing w:after="0" w:line="236" w:lineRule="auto"/>
        <w:tabs>
          <w:tab w:leader="none" w:pos="30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Customer Engagement </w:t>
      </w:r>
      <w:r>
        <w:rPr>
          <w:rFonts w:ascii="Arial" w:cs="Arial" w:eastAsia="Arial" w:hAnsi="Arial"/>
          <w:sz w:val="15"/>
          <w:szCs w:val="15"/>
          <w:color w:val="auto"/>
        </w:rPr>
        <w:t>- The largest portion of ibex’s addressable market is the customer care segment within the BPO industry,</w:t>
      </w:r>
      <w:r>
        <w:rPr>
          <w:rFonts w:ascii="Arial" w:cs="Arial" w:eastAsia="Arial" w:hAnsi="Arial"/>
          <w:sz w:val="15"/>
          <w:szCs w:val="15"/>
          <w:b w:val="1"/>
          <w:bCs w:val="1"/>
          <w:color w:val="auto"/>
        </w:rPr>
        <w:t xml:space="preserve"> </w:t>
      </w:r>
      <w:r>
        <w:rPr>
          <w:rFonts w:ascii="Arial" w:cs="Arial" w:eastAsia="Arial" w:hAnsi="Arial"/>
          <w:sz w:val="15"/>
          <w:szCs w:val="15"/>
          <w:color w:val="auto"/>
        </w:rPr>
        <w:t>which makes up the largest portion of the company’s revenue. Grand View Research estimates that the global business process outsourcing industry was valued at $245.9 billion in 2021 and is projected to expand at a CAGR of 9.1% from 2022 to 2030. According to International Data Corporation (“IDC”), a leading information technology research firm, the customer care segment is the largest horizontal market in the BPO industry, with approximately $77 billion of revenues in 2020 and expected to grow at a CAGR of 3.6% to $88.6 billion in revenues by 2024. IDC forecasts customer care BPO spend in the United States to grow to $51.6 billion by 2024.</w:t>
      </w:r>
    </w:p>
    <w:p>
      <w:pPr>
        <w:spacing w:after="0" w:line="150" w:lineRule="exact"/>
        <w:rPr>
          <w:rFonts w:ascii="Times New Roman" w:cs="Times New Roman" w:eastAsia="Times New Roman" w:hAnsi="Times New Roman"/>
          <w:sz w:val="15"/>
          <w:szCs w:val="15"/>
          <w:color w:val="auto"/>
        </w:rPr>
      </w:pPr>
    </w:p>
    <w:p>
      <w:pPr>
        <w:jc w:val="both"/>
        <w:ind w:left="300" w:right="59" w:hanging="265"/>
        <w:spacing w:after="0" w:line="236" w:lineRule="auto"/>
        <w:tabs>
          <w:tab w:leader="none" w:pos="30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Customer Acquisition </w:t>
      </w:r>
      <w:r>
        <w:rPr>
          <w:rFonts w:ascii="Arial" w:cs="Arial" w:eastAsia="Arial" w:hAnsi="Arial"/>
          <w:sz w:val="15"/>
          <w:szCs w:val="15"/>
          <w:color w:val="auto"/>
        </w:rPr>
        <w:t>- ibex Digital is enabled primarily by digital marketing which is one of the fastest growing segments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media advertising industry. According to Statista.com, a leading market research company, it is projected that digital advertising expenditures in the United States will increase by more than 100 percent between 2019 and 2024. In that five year period, United States digital ad spend will grow from $132.46 to $278.53 billion. A significant portion of this fast-growing market consists of outsourced customer acquisition specialists, who have primarily adopted a pay-for-performance business model in which advertisers only compensate marketers once a target consumer has taken a particular action, such as filling out an information form or completing a purchase of a product or service.</w:t>
      </w:r>
    </w:p>
    <w:p>
      <w:pPr>
        <w:spacing w:after="0" w:line="150" w:lineRule="exact"/>
        <w:rPr>
          <w:rFonts w:ascii="Times New Roman" w:cs="Times New Roman" w:eastAsia="Times New Roman" w:hAnsi="Times New Roman"/>
          <w:sz w:val="15"/>
          <w:szCs w:val="15"/>
          <w:color w:val="auto"/>
        </w:rPr>
      </w:pPr>
    </w:p>
    <w:p>
      <w:pPr>
        <w:jc w:val="both"/>
        <w:ind w:left="300" w:right="39" w:hanging="265"/>
        <w:spacing w:after="0" w:line="255" w:lineRule="auto"/>
        <w:tabs>
          <w:tab w:leader="none" w:pos="30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CX Experience Management and Analytics </w:t>
      </w:r>
      <w:r>
        <w:rPr>
          <w:rFonts w:ascii="Arial" w:cs="Arial" w:eastAsia="Arial" w:hAnsi="Arial"/>
          <w:sz w:val="14"/>
          <w:szCs w:val="14"/>
          <w:color w:val="auto"/>
        </w:rPr>
        <w:t>- With unprecedented access to technology, data and choices, consumers have</w:t>
      </w:r>
      <w:r>
        <w:rPr>
          <w:rFonts w:ascii="Arial" w:cs="Arial" w:eastAsia="Arial" w:hAnsi="Arial"/>
          <w:sz w:val="14"/>
          <w:szCs w:val="14"/>
          <w:b w:val="1"/>
          <w:bCs w:val="1"/>
          <w:color w:val="auto"/>
        </w:rPr>
        <w:t xml:space="preserve"> </w:t>
      </w:r>
      <w:r>
        <w:rPr>
          <w:rFonts w:ascii="Arial" w:cs="Arial" w:eastAsia="Arial" w:hAnsi="Arial"/>
          <w:sz w:val="14"/>
          <w:szCs w:val="14"/>
          <w:color w:val="auto"/>
        </w:rPr>
        <w:t>elevated expectations about being heard, as well as how companies act and respond in real time. As consumers gravitate toward digital channels (websites, mobile and social media), enterprises are seeking more technologically advanced solutions to collect data in real time and harness insights yielded by advanced analytics performed on those data to provide customized customer experiences. Markets and Markets, a leading B2B market research firm, forecasts that the global customer experience management market will grow at a 12.3% CAGR, from $9.5 billion in 2021 to $16.9 billion in 2026. Similarly, Market Research Future estimates that the global market for customer experience analytics will increase to $36.2 billion by 2030 with a CAGR of 16.4%.</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Key Market Trends</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Several trends are driving growth and transformation in the outsourced customer interactions market. Historically, the industry was premised on labor arbitrage and cost. Offshoring of work to markets like India and the Philippines was driven primarily by the cost advantages those markets provided.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ectPr>
          <w:pgSz w:w="11900" w:h="16838" w:orient="portrait"/>
          <w:cols w:equalWidth="0" w:num="1">
            <w:col w:w="9019"/>
          </w:cols>
          <w:pgMar w:left="1440" w:top="4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40"/>
        <w:spacing w:after="0" w:line="250" w:lineRule="auto"/>
        <w:rPr>
          <w:sz w:val="20"/>
          <w:szCs w:val="20"/>
          <w:color w:val="auto"/>
        </w:rPr>
      </w:pPr>
      <w:r>
        <w:rPr>
          <w:rFonts w:ascii="Arial" w:cs="Arial" w:eastAsia="Arial" w:hAnsi="Arial"/>
          <w:sz w:val="15"/>
          <w:szCs w:val="15"/>
          <w:b w:val="1"/>
          <w:bCs w:val="1"/>
          <w:i w:val="1"/>
          <w:iCs w:val="1"/>
          <w:color w:val="auto"/>
        </w:rPr>
        <w:t>The outsourced industry is undergoing a paradigm shift with blue marketplaces supporting an increasingly digitally native consumer base. capture market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9" w:hanging="40"/>
        <w:spacing w:after="0" w:line="271" w:lineRule="auto"/>
        <w:rPr>
          <w:sz w:val="20"/>
          <w:szCs w:val="20"/>
          <w:color w:val="auto"/>
        </w:rPr>
      </w:pPr>
      <w:r>
        <w:rPr>
          <w:rFonts w:ascii="Arial" w:cs="Arial" w:eastAsia="Arial" w:hAnsi="Arial"/>
          <w:sz w:val="15"/>
          <w:szCs w:val="15"/>
          <w:b w:val="1"/>
          <w:bCs w:val="1"/>
          <w:i w:val="1"/>
          <w:iCs w:val="1"/>
          <w:color w:val="auto"/>
        </w:rPr>
        <w:t>chip clients pivoting toward technology-enabled This represents a key area for ibex to continue to</w:t>
      </w:r>
    </w:p>
    <w:p>
      <w:pPr>
        <w:spacing w:after="0" w:line="285" w:lineRule="exact"/>
        <w:rPr>
          <w:sz w:val="20"/>
          <w:szCs w:val="20"/>
          <w:color w:val="auto"/>
        </w:rPr>
      </w:pPr>
    </w:p>
    <w:p>
      <w:pPr>
        <w:sectPr>
          <w:pgSz w:w="11900" w:h="16838" w:orient="portrait"/>
          <w:cols w:equalWidth="0" w:num="2">
            <w:col w:w="5260" w:space="100"/>
            <w:col w:w="3659"/>
          </w:cols>
          <w:pgMar w:left="1440" w:top="446" w:right="1440" w:bottom="1440" w:gutter="0" w:footer="0" w:header="0"/>
          <w:type w:val="continuous"/>
        </w:sectPr>
      </w:pPr>
    </w:p>
    <w:p>
      <w:pPr>
        <w:jc w:val="both"/>
        <w:ind w:left="40" w:right="39"/>
        <w:spacing w:after="0"/>
        <w:rPr>
          <w:sz w:val="20"/>
          <w:szCs w:val="20"/>
          <w:color w:val="auto"/>
        </w:rPr>
      </w:pPr>
      <w:r>
        <w:rPr>
          <w:rFonts w:ascii="Arial" w:cs="Arial" w:eastAsia="Arial" w:hAnsi="Arial"/>
          <w:sz w:val="15"/>
          <w:szCs w:val="15"/>
          <w:color w:val="auto"/>
        </w:rPr>
        <w:t>Companies are reacting to this shifting landscape with a relentless focus on CX. They view their customer contact center providers as essential partners and an extension of their brand rather than a cost center to manage customer interaction. As a result, they are often moving away from their incumbent legacy providers looking for differentiation and simply better customer support. They are not just looking for labor to manage contacts, but rather they are looking for great customer experiences.</w:t>
      </w:r>
    </w:p>
    <w:p>
      <w:pPr>
        <w:spacing w:after="0" w:line="15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In addition to clients in mature industries, emerging industries in the technology and consumer services sectors are changing the mix of solutions, channels and delivery locations. We believe that participants that offer a flexible, technology-oriented, and integrated solution will be best positioned to address the following key industry trends:</w:t>
      </w:r>
    </w:p>
    <w:p>
      <w:pPr>
        <w:spacing w:after="0" w:line="146" w:lineRule="exact"/>
        <w:rPr>
          <w:sz w:val="20"/>
          <w:szCs w:val="20"/>
          <w:color w:val="auto"/>
        </w:rPr>
      </w:pPr>
    </w:p>
    <w:p>
      <w:pPr>
        <w:jc w:val="both"/>
        <w:ind w:left="300" w:right="39" w:hanging="265"/>
        <w:spacing w:after="0" w:line="244" w:lineRule="auto"/>
        <w:tabs>
          <w:tab w:leader="none" w:pos="30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A Dramatic Prioritization of CX </w:t>
      </w:r>
      <w:r>
        <w:rPr>
          <w:rFonts w:ascii="Arial" w:cs="Arial" w:eastAsia="Arial" w:hAnsi="Arial"/>
          <w:sz w:val="15"/>
          <w:szCs w:val="15"/>
          <w:color w:val="auto"/>
        </w:rPr>
        <w:t>– As brands recognize that digital feedback mechanisms, such as social media, can rapidly impact</w:t>
      </w:r>
      <w:r>
        <w:rPr>
          <w:rFonts w:ascii="Arial" w:cs="Arial" w:eastAsia="Arial" w:hAnsi="Arial"/>
          <w:sz w:val="15"/>
          <w:szCs w:val="15"/>
          <w:i w:val="1"/>
          <w:iCs w:val="1"/>
          <w:color w:val="auto"/>
        </w:rPr>
        <w:t xml:space="preserve"> </w:t>
      </w:r>
      <w:r>
        <w:rPr>
          <w:rFonts w:ascii="Arial" w:cs="Arial" w:eastAsia="Arial" w:hAnsi="Arial"/>
          <w:sz w:val="15"/>
          <w:szCs w:val="15"/>
          <w:color w:val="auto"/>
        </w:rPr>
        <w:t>brand perception in a positive or negative manner, the importance of delivering an exceptional customer experience has become a top priority for companies.</w:t>
      </w:r>
    </w:p>
    <w:p>
      <w:pPr>
        <w:spacing w:after="0" w:line="147" w:lineRule="exact"/>
        <w:rPr>
          <w:rFonts w:ascii="Times New Roman" w:cs="Times New Roman" w:eastAsia="Times New Roman" w:hAnsi="Times New Roman"/>
          <w:sz w:val="15"/>
          <w:szCs w:val="15"/>
          <w:color w:val="auto"/>
        </w:rPr>
      </w:pPr>
    </w:p>
    <w:p>
      <w:pPr>
        <w:jc w:val="both"/>
        <w:ind w:left="300" w:right="39" w:hanging="265"/>
        <w:spacing w:after="0" w:line="237" w:lineRule="auto"/>
        <w:tabs>
          <w:tab w:leader="none" w:pos="30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Consumer Centricity &amp; Customer Lifetime Value (LTV) </w:t>
      </w:r>
      <w:r>
        <w:rPr>
          <w:rFonts w:ascii="Arial" w:cs="Arial" w:eastAsia="Arial" w:hAnsi="Arial"/>
          <w:sz w:val="15"/>
          <w:szCs w:val="15"/>
          <w:color w:val="auto"/>
        </w:rPr>
        <w:t>– Customer expectations and behaviors are changing dramatically. Enabled</w:t>
      </w:r>
      <w:r>
        <w:rPr>
          <w:rFonts w:ascii="Arial" w:cs="Arial" w:eastAsia="Arial" w:hAnsi="Arial"/>
          <w:sz w:val="15"/>
          <w:szCs w:val="15"/>
          <w:i w:val="1"/>
          <w:iCs w:val="1"/>
          <w:color w:val="auto"/>
        </w:rPr>
        <w:t xml:space="preserve"> </w:t>
      </w:r>
      <w:r>
        <w:rPr>
          <w:rFonts w:ascii="Arial" w:cs="Arial" w:eastAsia="Arial" w:hAnsi="Arial"/>
          <w:sz w:val="15"/>
          <w:szCs w:val="15"/>
          <w:color w:val="auto"/>
        </w:rPr>
        <w:t>by immediate feedback channels, consumers expect that enterprises will meet their needs and preferences instantaneously in return for brand loyalty and greater share of customer spend. Accordingly, enterprises and brands are more focused on understanding their consumers’ needs and developing business models that hinge on maximizing customer lifetime value. In turn, they are demanding outsourced customer engagement partners that can deliver customer-centric solutions in an omni-channel manner that maximizes customer retention.</w:t>
      </w:r>
    </w:p>
    <w:p>
      <w:pPr>
        <w:spacing w:after="0" w:line="149" w:lineRule="exact"/>
        <w:rPr>
          <w:rFonts w:ascii="Times New Roman" w:cs="Times New Roman" w:eastAsia="Times New Roman" w:hAnsi="Times New Roman"/>
          <w:sz w:val="15"/>
          <w:szCs w:val="15"/>
          <w:color w:val="auto"/>
        </w:rPr>
      </w:pPr>
    </w:p>
    <w:p>
      <w:pPr>
        <w:jc w:val="both"/>
        <w:ind w:left="300" w:right="39" w:hanging="265"/>
        <w:spacing w:after="0" w:line="235" w:lineRule="auto"/>
        <w:tabs>
          <w:tab w:leader="none" w:pos="30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Outsourcing Across the Operational Value Chain </w:t>
      </w:r>
      <w:r>
        <w:rPr>
          <w:rFonts w:ascii="Arial" w:cs="Arial" w:eastAsia="Arial" w:hAnsi="Arial"/>
          <w:sz w:val="15"/>
          <w:szCs w:val="15"/>
          <w:color w:val="auto"/>
        </w:rPr>
        <w:t>– Enterprises are more frequently relying on outsourced providers to address their</w:t>
      </w:r>
      <w:r>
        <w:rPr>
          <w:rFonts w:ascii="Arial" w:cs="Arial" w:eastAsia="Arial" w:hAnsi="Arial"/>
          <w:sz w:val="15"/>
          <w:szCs w:val="15"/>
          <w:i w:val="1"/>
          <w:iCs w:val="1"/>
          <w:color w:val="auto"/>
        </w:rPr>
        <w:t xml:space="preserve"> </w:t>
      </w:r>
      <w:r>
        <w:rPr>
          <w:rFonts w:ascii="Arial" w:cs="Arial" w:eastAsia="Arial" w:hAnsi="Arial"/>
          <w:sz w:val="15"/>
          <w:szCs w:val="15"/>
          <w:color w:val="auto"/>
        </w:rPr>
        <w:t>needs across the entire customer lifecycle. Many companies, especially in the HealthTech, FinTech and utilities space, are beginning to increasingly rely on the expertise of external providers to deliver cost savings, ensure compliance, drive performance enhancements, and offer technology suites that serve to improve overall CX while allowing the brand to focus on their core products and competencies. Mature companies seek to digitally transform their current operations to meet the demands of the digital economy and diversify their capabilities. Companies in emerging sectors outsource due to their limited experience and/or resources to manage increasing volumes of customer interactions, and in order to drive new customer demand, scale operations, optimize costs, protect their brand investment, and accelerate profitability.</w:t>
      </w:r>
    </w:p>
    <w:p>
      <w:pPr>
        <w:spacing w:after="0" w:line="152" w:lineRule="exact"/>
        <w:rPr>
          <w:rFonts w:ascii="Times New Roman" w:cs="Times New Roman" w:eastAsia="Times New Roman" w:hAnsi="Times New Roman"/>
          <w:sz w:val="15"/>
          <w:szCs w:val="15"/>
          <w:color w:val="auto"/>
        </w:rPr>
      </w:pPr>
    </w:p>
    <w:p>
      <w:pPr>
        <w:jc w:val="both"/>
        <w:ind w:left="300" w:right="39" w:hanging="265"/>
        <w:spacing w:after="0" w:line="237" w:lineRule="auto"/>
        <w:tabs>
          <w:tab w:leader="none" w:pos="30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Rise of Omni-Channel to Drive Consumer Centricity </w:t>
      </w:r>
      <w:r>
        <w:rPr>
          <w:rFonts w:ascii="Arial" w:cs="Arial" w:eastAsia="Arial" w:hAnsi="Arial"/>
          <w:sz w:val="15"/>
          <w:szCs w:val="15"/>
          <w:color w:val="auto"/>
        </w:rPr>
        <w:t>− Customer expectations and behaviors are changing dramatically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evolution of technology such as smart phones, tablets and social media. This has accelerated the speed of consumer interaction with brands. Consumers expect the brands to meet their needs and preferences instantaneously in return for brand loyalty and a greater share of customer spend. To address this trend, brands are focused on providing a seamless experience via integration of all contact channels (chat, email, SMS, voice, etc.) to deliver customer-centric solutions in an omni-channel manner that maximize customer lifetime value.</w:t>
      </w:r>
    </w:p>
    <w:p>
      <w:pPr>
        <w:spacing w:after="0" w:line="149" w:lineRule="exact"/>
        <w:rPr>
          <w:rFonts w:ascii="Times New Roman" w:cs="Times New Roman" w:eastAsia="Times New Roman" w:hAnsi="Times New Roman"/>
          <w:sz w:val="15"/>
          <w:szCs w:val="15"/>
          <w:color w:val="auto"/>
        </w:rPr>
      </w:pPr>
    </w:p>
    <w:p>
      <w:pPr>
        <w:jc w:val="both"/>
        <w:ind w:left="300" w:right="39" w:hanging="265"/>
        <w:spacing w:after="0"/>
        <w:tabs>
          <w:tab w:leader="none" w:pos="30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Seeking Integrated End-to-End Partners </w:t>
      </w:r>
      <w:r>
        <w:rPr>
          <w:rFonts w:ascii="Arial" w:cs="Arial" w:eastAsia="Arial" w:hAnsi="Arial"/>
          <w:sz w:val="15"/>
          <w:szCs w:val="15"/>
          <w:color w:val="auto"/>
        </w:rPr>
        <w:t>– We believe clients are increasingly looking to utilize outsourcing partners who can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unified solutions for a variety of touchpoints along the customer interaction value chain, from digital marketing to customer sales and support to CX and surveys. Providers with integrated offerings will command a larger share of wallet from their clients, drive a great degree of insight and performance; this ultimately drives a longer term, mutually beneficial partnership.</w:t>
      </w:r>
    </w:p>
    <w:p>
      <w:pPr>
        <w:spacing w:after="0" w:line="150" w:lineRule="exact"/>
        <w:rPr>
          <w:rFonts w:ascii="Times New Roman" w:cs="Times New Roman" w:eastAsia="Times New Roman" w:hAnsi="Times New Roman"/>
          <w:sz w:val="15"/>
          <w:szCs w:val="15"/>
          <w:color w:val="auto"/>
        </w:rPr>
      </w:pPr>
    </w:p>
    <w:p>
      <w:pPr>
        <w:ind w:left="300" w:right="59" w:hanging="265"/>
        <w:spacing w:after="0" w:line="259" w:lineRule="auto"/>
        <w:tabs>
          <w:tab w:leader="none" w:pos="30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Bestshore Flexible Delivery Model </w:t>
      </w:r>
      <w:r>
        <w:rPr>
          <w:rFonts w:ascii="Arial" w:cs="Arial" w:eastAsia="Arial" w:hAnsi="Arial"/>
          <w:sz w:val="15"/>
          <w:szCs w:val="15"/>
          <w:color w:val="auto"/>
        </w:rPr>
        <w:t>– Clients are increasingly choosing providers based on their ability to provide a flexible, turnkey</w:t>
      </w:r>
      <w:r>
        <w:rPr>
          <w:rFonts w:ascii="Arial" w:cs="Arial" w:eastAsia="Arial" w:hAnsi="Arial"/>
          <w:sz w:val="15"/>
          <w:szCs w:val="15"/>
          <w:i w:val="1"/>
          <w:iCs w:val="1"/>
          <w:color w:val="auto"/>
        </w:rPr>
        <w:t xml:space="preserve"> </w:t>
      </w:r>
      <w:r>
        <w:rPr>
          <w:rFonts w:ascii="Arial" w:cs="Arial" w:eastAsia="Arial" w:hAnsi="Arial"/>
          <w:sz w:val="15"/>
          <w:szCs w:val="15"/>
          <w:color w:val="auto"/>
        </w:rPr>
        <w:t>delivery model that can offer a mix of onshore, nearshore, offshore, and remote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type w:val="continuous"/>
        </w:sectPr>
      </w:pPr>
    </w:p>
    <w:bookmarkStart w:id="53" w:name="page54"/>
    <w:bookmarkEnd w:id="5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300" w:right="39"/>
        <w:spacing w:after="0" w:line="245" w:lineRule="auto"/>
        <w:rPr>
          <w:sz w:val="20"/>
          <w:szCs w:val="20"/>
          <w:color w:val="auto"/>
        </w:rPr>
      </w:pPr>
      <w:r>
        <w:rPr>
          <w:rFonts w:ascii="Arial" w:cs="Arial" w:eastAsia="Arial" w:hAnsi="Arial"/>
          <w:sz w:val="15"/>
          <w:szCs w:val="15"/>
          <w:color w:val="auto"/>
        </w:rPr>
        <w:t>working capabilities. However, in today’s industry, clients are looking for the best provider in the market that they are considering, as opposed to one provider across all geographies. With recent global events, clients have indicated a heightened importance on the ability of providers to shift their delivery rapidly between various location models.</w:t>
      </w:r>
    </w:p>
    <w:p>
      <w:pPr>
        <w:spacing w:after="0" w:line="146" w:lineRule="exact"/>
        <w:rPr>
          <w:sz w:val="20"/>
          <w:szCs w:val="20"/>
          <w:color w:val="auto"/>
        </w:rPr>
      </w:pPr>
    </w:p>
    <w:p>
      <w:pPr>
        <w:jc w:val="both"/>
        <w:ind w:left="300" w:right="39" w:hanging="265"/>
        <w:spacing w:after="0" w:line="238" w:lineRule="auto"/>
        <w:tabs>
          <w:tab w:leader="none" w:pos="30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Data Protection &amp; Security </w:t>
      </w:r>
      <w:r>
        <w:rPr>
          <w:rFonts w:ascii="Arial" w:cs="Arial" w:eastAsia="Arial" w:hAnsi="Arial"/>
          <w:sz w:val="15"/>
          <w:szCs w:val="15"/>
          <w:color w:val="auto"/>
        </w:rPr>
        <w:t>− With the rise of the digital economy has come a rise in both the concern toward, and vulnerability of,</w:t>
      </w:r>
      <w:r>
        <w:rPr>
          <w:rFonts w:ascii="Arial" w:cs="Arial" w:eastAsia="Arial" w:hAnsi="Arial"/>
          <w:sz w:val="15"/>
          <w:szCs w:val="15"/>
          <w:i w:val="1"/>
          <w:iCs w:val="1"/>
          <w:color w:val="auto"/>
        </w:rPr>
        <w:t xml:space="preserve"> </w:t>
      </w:r>
      <w:r>
        <w:rPr>
          <w:rFonts w:ascii="Arial" w:cs="Arial" w:eastAsia="Arial" w:hAnsi="Arial"/>
          <w:sz w:val="15"/>
          <w:szCs w:val="15"/>
          <w:color w:val="auto"/>
        </w:rPr>
        <w:t>consumer data. Both mature and new economy brands are placing a higher degree of focus on the technology that underpins the data security and fraud systems deployed by their partners; having an advanced and secure system architecture along with data center redundancy and advanced security technologies are becoming increasingly important, understanding that any security breach can result in a devastating impact to a client’s brand and a consumer’s loyalty.</w:t>
      </w:r>
    </w:p>
    <w:p>
      <w:pPr>
        <w:spacing w:after="0" w:line="150" w:lineRule="exact"/>
        <w:rPr>
          <w:rFonts w:ascii="Times New Roman" w:cs="Times New Roman" w:eastAsia="Times New Roman" w:hAnsi="Times New Roman"/>
          <w:sz w:val="15"/>
          <w:szCs w:val="15"/>
          <w:color w:val="auto"/>
        </w:rPr>
      </w:pPr>
    </w:p>
    <w:p>
      <w:pPr>
        <w:jc w:val="both"/>
        <w:ind w:left="300" w:right="59" w:hanging="265"/>
        <w:spacing w:after="0" w:line="238" w:lineRule="auto"/>
        <w:tabs>
          <w:tab w:leader="none" w:pos="30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Data and Analytics </w:t>
      </w:r>
      <w:r>
        <w:rPr>
          <w:rFonts w:ascii="Arial" w:cs="Arial" w:eastAsia="Arial" w:hAnsi="Arial"/>
          <w:sz w:val="15"/>
          <w:szCs w:val="15"/>
          <w:color w:val="auto"/>
        </w:rPr>
        <w:t>− Enterprises are increasingly demanding that their providers of customer interaction solutions integrate data</w:t>
      </w:r>
      <w:r>
        <w:rPr>
          <w:rFonts w:ascii="Arial" w:cs="Arial" w:eastAsia="Arial" w:hAnsi="Arial"/>
          <w:sz w:val="15"/>
          <w:szCs w:val="15"/>
          <w:i w:val="1"/>
          <w:iCs w:val="1"/>
          <w:color w:val="auto"/>
        </w:rPr>
        <w:t xml:space="preserve"> </w:t>
      </w:r>
      <w:r>
        <w:rPr>
          <w:rFonts w:ascii="Arial" w:cs="Arial" w:eastAsia="Arial" w:hAnsi="Arial"/>
          <w:sz w:val="15"/>
          <w:szCs w:val="15"/>
          <w:color w:val="auto"/>
        </w:rPr>
        <w:t>analysis and insight into their core service offerings, to drive continuous performance and superior outcomes. These business intelligence tools can yield actionable insights across every customer touchpoint enabling clients to address customer issues in real time. We expect that investments in automation, digitization and machine learning will become key drivers in the industry as clients seek to adopt more technology-rich ways of servicing their customers.</w:t>
      </w:r>
    </w:p>
    <w:p>
      <w:pPr>
        <w:spacing w:after="0" w:line="150" w:lineRule="exact"/>
        <w:rPr>
          <w:rFonts w:ascii="Times New Roman" w:cs="Times New Roman" w:eastAsia="Times New Roman" w:hAnsi="Times New Roman"/>
          <w:sz w:val="15"/>
          <w:szCs w:val="15"/>
          <w:color w:val="auto"/>
        </w:rPr>
      </w:pPr>
    </w:p>
    <w:p>
      <w:pPr>
        <w:ind w:left="300" w:right="59" w:hanging="265"/>
        <w:spacing w:after="0" w:line="259" w:lineRule="auto"/>
        <w:tabs>
          <w:tab w:leader="none" w:pos="30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Artificial Intelligence to Enhance Service Delivery </w:t>
      </w:r>
      <w:r>
        <w:rPr>
          <w:rFonts w:ascii="Arial" w:cs="Arial" w:eastAsia="Arial" w:hAnsi="Arial"/>
          <w:sz w:val="15"/>
          <w:szCs w:val="15"/>
          <w:color w:val="auto"/>
        </w:rPr>
        <w:t>− With the increasing applicability of AI in enhancing business processes, the</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 care industry is starting to integrate AI into its range of solutions.</w:t>
      </w:r>
    </w:p>
    <w:p>
      <w:pPr>
        <w:spacing w:after="0" w:line="135" w:lineRule="exact"/>
        <w:rPr>
          <w:rFonts w:ascii="Times New Roman" w:cs="Times New Roman" w:eastAsia="Times New Roman" w:hAnsi="Times New Roman"/>
          <w:sz w:val="15"/>
          <w:szCs w:val="15"/>
          <w:color w:val="auto"/>
        </w:rPr>
      </w:pPr>
    </w:p>
    <w:p>
      <w:pPr>
        <w:jc w:val="both"/>
        <w:ind w:left="300" w:right="59" w:hanging="265"/>
        <w:spacing w:after="0" w:line="244" w:lineRule="auto"/>
        <w:tabs>
          <w:tab w:leader="none" w:pos="30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Integrated Technology Solutions for Mature Sectors </w:t>
      </w:r>
      <w:r>
        <w:rPr>
          <w:rFonts w:ascii="Arial" w:cs="Arial" w:eastAsia="Arial" w:hAnsi="Arial"/>
          <w:sz w:val="15"/>
          <w:szCs w:val="15"/>
          <w:color w:val="auto"/>
        </w:rPr>
        <w:t>– Fortune 500 companies that historically utilized traditional live-agent, voice-based services are now integrating new technology-enabled solutions that include multi-channel delivery, self-serve options and automation. Such solutions allow them to achieve greater operational flexibility and innovate their service offerings.</w:t>
      </w:r>
    </w:p>
    <w:p>
      <w:pPr>
        <w:spacing w:after="0" w:line="147" w:lineRule="exact"/>
        <w:rPr>
          <w:rFonts w:ascii="Times New Roman" w:cs="Times New Roman" w:eastAsia="Times New Roman" w:hAnsi="Times New Roman"/>
          <w:sz w:val="15"/>
          <w:szCs w:val="15"/>
          <w:color w:val="auto"/>
        </w:rPr>
      </w:pPr>
    </w:p>
    <w:p>
      <w:pPr>
        <w:jc w:val="both"/>
        <w:ind w:left="300" w:right="39" w:hanging="265"/>
        <w:spacing w:after="0" w:line="238" w:lineRule="auto"/>
        <w:tabs>
          <w:tab w:leader="none" w:pos="30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 xml:space="preserve">Solutions Catered to High-Growth Sectors </w:t>
      </w:r>
      <w:r>
        <w:rPr>
          <w:rFonts w:ascii="Arial" w:cs="Arial" w:eastAsia="Arial" w:hAnsi="Arial"/>
          <w:sz w:val="15"/>
          <w:szCs w:val="15"/>
          <w:color w:val="auto"/>
        </w:rPr>
        <w:t>– The challenges that new economy “disruptors” consist of managing high growth within</w:t>
      </w:r>
      <w:r>
        <w:rPr>
          <w:rFonts w:ascii="Arial" w:cs="Arial" w:eastAsia="Arial" w:hAnsi="Arial"/>
          <w:sz w:val="15"/>
          <w:szCs w:val="15"/>
          <w:i w:val="1"/>
          <w:iCs w:val="1"/>
          <w:color w:val="auto"/>
        </w:rPr>
        <w:t xml:space="preserve"> </w:t>
      </w:r>
      <w:r>
        <w:rPr>
          <w:rFonts w:ascii="Arial" w:cs="Arial" w:eastAsia="Arial" w:hAnsi="Arial"/>
          <w:sz w:val="15"/>
          <w:szCs w:val="15"/>
          <w:color w:val="auto"/>
        </w:rPr>
        <w:t>their customer base, while simultaneously maintaining a high-quality customer experience. In contrast to mature business models, new economy companies have generally not focused on developing large-scale insourced customer operations; therefore, they rely on external partners that can deliver customer service, engagement and support while maintaining the quality of their brands. Most of these companies source their customer interaction needs from lower-cost locations outside their home markets.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Company Recognition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has received the following awards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117475</wp:posOffset>
            </wp:positionV>
            <wp:extent cx="4544060" cy="255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44060"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2018 Customer Value Leadership Award for North America by Frost and Sullivan</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2019 Growth Excellence Leadership Award by Frost and Sullivan</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2019 Nexus Illuminate Nearshore Company of the Year by Nearshore America’s</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2020 Frost &amp; Sullivan Nearshore Company of the Year for Caribbean and Central America</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2020 Best Place to Work</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2021 Best Place to Work for Nicaragua</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2021 Best Place Work in Caribbean and Central America</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2021 Best Places for Women to Work in Caribbean and Central America</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2022 Customer Magazine Product of the Year Award</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2022 Silver Stevie Award for Customer Service Outsourcing Provider</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Our Clients</w:t>
      </w:r>
    </w:p>
    <w:p>
      <w:pPr>
        <w:spacing w:after="0" w:line="170"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As of June 30, 2022, we had over 130 clients. Our clients fit primarily within two categories. The first category is made up of mostly Fortune 500 brands, across a broad range of industries, such as telecommunications, cable, financial services, and healthcare, which have large customer bases and rely on outsourced providers to maximize customer retention and improve customer expansion. We refer to these clients as “blue chip” companies. Increasingly, clients in this category look to us as a nimble provider offering differentiated services as they face challenges in the wake of digital disruption. We apply our execution expertise and end-to-end CLX technology suite to enable these clients to adapt in a changing environment that requires a different type of customer experience for digital-native consumers. The second category of clients we serve are digitally-driven “disruptors.” We refer to these clients as the “New Economy” companies. They tend to be faster-growing brands in high-growth industry verticals, such as (but not limited to) technology, e-commerce and consumer services. Our New Economy business is designed to meet these needs for new economy verticals and high-growth requirements, with a focus on launch, speed-to-performance and scale. While many of these New Economy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clients are smaller, fast growing companies, there are several Fortune 500 companies within that group, such as Amazon and one of the leading ride-sharing companies in the United States. The success of our New Economy initiative with high-growth technology, e-commerce and consumer services clients is a key driver in the increase of our revenue from non-voice channels, and, as a result, has a positive effect on our profitability. While most other client verticals operate under economics typical of the outsourced customer care industry, the success of our New Economy business vertical is a result of differentiating factors such as its growth trajectory, its contribution to profitability and the greater propensity for these clients to leverage digital forms of service delivery. During the fiscal year ended June 30, 2022, we derived approximately 37% of our consolidated revenue from our New Economy clients.</w:t>
      </w:r>
    </w:p>
    <w:p>
      <w:pPr>
        <w:spacing w:after="0" w:line="15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4"/>
          <w:szCs w:val="14"/>
          <w:color w:val="auto"/>
        </w:rPr>
        <w:t>Our contracts with clients generally take the form of a master services agreement, which is a framework agreement that is then supplemented by one or more statements of work. Our master services agreements specify the general terms applicable to the services we provide. Our statements of work specify the specific services to be provided and associated performance metrics and pricing.</w:t>
      </w:r>
    </w:p>
    <w:p>
      <w:pPr>
        <w:spacing w:after="0" w:line="12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are focused on building deep relationships at multiple levels within our clients’ businesses. Coupled with our ability to consistently perform at or above expectations, this has enabled us to expand the number of high value CLX solutions we provide for our clients. This approach, over time, has led to higher client retention rates.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Sales and Marketing</w:t>
      </w:r>
    </w:p>
    <w:p>
      <w:pPr>
        <w:spacing w:after="0" w:line="170"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5"/>
          <w:szCs w:val="15"/>
          <w:color w:val="auto"/>
        </w:rPr>
        <w:t>Our sales and marketing teams work closely together to drive awareness and adoption of our CLX platform, accelerate customer acquisition and expand the relationship with our existing customers. We focus on developing long-term relationships with large strategic clients that have needs across the entire CLX lifecycle and employ a “land and expand” strategy to grow these relationships. Under this strategy, we seek to build the client’s trust through flawless execution on the initial assignment (which is typically for a single solution or geography) and then expand the scope of our engagement with the client into multiple geographies and business lines, which allows us to offer additional CLX solutions. In this manner, the “land and expand” strategy provides opportunities for us to substantially increase our revenues within our existing client base over time.</w:t>
      </w:r>
    </w:p>
    <w:p>
      <w:pPr>
        <w:spacing w:after="0" w:line="151"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5"/>
          <w:szCs w:val="15"/>
          <w:color w:val="auto"/>
        </w:rPr>
        <w:t>Our sales and marketing activities are focused on our key market verticals: telecommunications and cable, technology, retail, emerging and high-growth technology, healthcare, financial services and utilities. We have market heads of our key verticals, including a market head over our New Economy business vertical. We believe our vertical market focus allows us to provide deep domain expertise and positions us as the best partner to help solve our clients’ unique needs. An essential part of our sales strategy is to focus on ways we can innovate on behalf of our clients, which includes digitization strategies and usage of data, technology, analytics and insights. We are well positioned with the top brands in each of the industry verticals in which we operate and can leverage domain knowledge and strong client references to generate business with other companies in the same industry vertical.</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New Logos</w:t>
      </w:r>
    </w:p>
    <w:p>
      <w:pPr>
        <w:spacing w:after="0" w:line="16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Our new logo organization is made up of teams focused on our key market verticals. Each team is focused solely on penetrating and closing business with the top 40 clients in each vertical. In addition, they will often partner with our client services executives who have an intimate understanding of the client’s business and needs, to actively identify and target additional cross-sell opportunities across the entire CLX lifecycle.</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New Economy</w:t>
      </w:r>
    </w:p>
    <w:p>
      <w:pPr>
        <w:spacing w:after="0" w:line="16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New Economy team is focused on penetrating a broader reach of unicorn and potential unicorn clients in the emerging technology and consumer services sector. Through our New Economy offering, we combine Customer Engagement, Customer Acquisition and Customer Experience into an integrated solution set that is focused on the high-growth technology, e-commerce and consumer services markets for new economy clients.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sales process for a new client can be short or lengthy depending on the client. Generally, the sales process for our New Economy target clients is 30-60 days, while selling to larger blue-chip clients can range as long as 18 months.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Client Services Organization</w:t>
      </w:r>
    </w:p>
    <w:p>
      <w:pPr>
        <w:spacing w:after="0" w:line="16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client services organization is dedicated to maintaining and expanding our relationships with our existing clients and is made up of teams that are organized either around a single large client or around groups of clients that collectively provide scale to warrant the investment of client services overhead. A majority of the senior leadership of the client services organization is located in the United States and is supported by local team members located closer to the actual service delivery, sometimes in other countries / regions. The members of our client services organization typically have deep operational experience as well as strong relationship-building and selling skills. Often our client services team for an account has a team member located close to the client’s premises in the United States as well as a member that is located close to where the delivery takes place, which is now increasingly in offshore and nearshore locations. Most of the new opportunities created within the embedded base of existing clients are led by the senior leadership of the client services organization and follow the same general sales process as the new logo organization.</w:t>
      </w:r>
    </w:p>
    <w:p>
      <w:pPr>
        <w:spacing w:after="0" w:line="15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As part of our highly engaged, or “leaned in” corporate culture, our client relationships are set up at multiple levels and layers, all the way from our chief executive officer through the business heads of our organization. The multi-layered nature of these relationships allows us to develop even stronger client engagements.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Marketing Efforts</w:t>
      </w:r>
    </w:p>
    <w:p>
      <w:pPr>
        <w:spacing w:after="0" w:line="16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marketing efforts are focused on generating awareness of our offerings, establishing and promoting our brand, reaching and serving the CLX needs of key decision makers in our target verticals, and cultivating a community of successful and vocal customers. We focus our marketing effort on demonstrating to our prospects our thought leadership in the CLX market, addressing the challenges facing enterprises across the full CLX lifecycle, and engaging business leaders who are seeking to leverage data, technology, analytics, and insights to drive competitive differentiation. We take a targeted approach and work with enterprises across our target verticals: telecommunications, technology, cable / broadband, high-growth technology, healthcare and financial services. We engage with key decision makers outside of RFP cycles in the following key offices: Chief Digital Officer, Chief Information Officer, Chief Experience Officer, Chief Customer Officer and the Chief Marketing Officer.</w:t>
      </w:r>
    </w:p>
    <w:p>
      <w:pPr>
        <w:spacing w:after="0" w:line="153"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We also use various social media platforms such as LinkedIn and Facebook to promote our brand externally to target clients and internally to our employees and prospective employees, with the latter being a key component of our success in achieving award winning agent engagement.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Competition</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BPO markets in which we compete are highly fragmented. We believe this creates significant opportunity for a broad and differentiated provider like us. Although we do not believe any single competitor currently offers a directly comparable end-to-end CLX solution, we believe our integrated platform faces competition from a variety of companies which operate in distinct segments of the customer lifecycle journey. Based on our industry knowledge, traditional BPO companies are seeking to respond to these dynamics by taking steps to evolve into fully-fledged end-to-end customer lifecycle experience platforms, including through acquisitions. However, such initiatives have been limited due to the scarcity of actionable at-scale assets.</w:t>
      </w:r>
    </w:p>
    <w:p>
      <w:pPr>
        <w:spacing w:after="0" w:line="15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also face competition from in-house customer service departments, which seek to develop, deploy and service applications that offer functionality similar to our solutions. These in-house customer service departments continue to constitute the largest segment of customer lifecycle management expenditures.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believe that the most significant competitive factor in the sale of outsourced customer engagement services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63" w:lineRule="auto"/>
        <w:rPr>
          <w:sz w:val="20"/>
          <w:szCs w:val="20"/>
          <w:color w:val="auto"/>
        </w:rPr>
      </w:pPr>
      <w:r>
        <w:rPr>
          <w:rFonts w:ascii="Arial" w:cs="Arial" w:eastAsia="Arial" w:hAnsi="Arial"/>
          <w:sz w:val="14"/>
          <w:szCs w:val="14"/>
          <w:color w:val="auto"/>
        </w:rPr>
        <w:t>is the ability of providers to act as partners to and extensions of clients’ brands, in an effort to deliver improved customers experience and increased overall customer LTV. Other important factors include maintaining high and consistent levels of service quality, tailored value-added service offerings, supported by advanced technological capabilities, industry and domain expertise, an understanding of the digital marketplace and modern consumer, sufficient diversified global delivery coverage, reliability, scalability, security and competitive pricing.</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Intellectual Property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success of our business depends, in part, on our proprietary technology and intellectual property. We rely on a combination of intellectual property laws and contractual arrangements to protect our intellectual property.</w:t>
      </w:r>
    </w:p>
    <w:p>
      <w:pPr>
        <w:spacing w:after="0" w:line="135" w:lineRule="exact"/>
        <w:rPr>
          <w:sz w:val="20"/>
          <w:szCs w:val="20"/>
          <w:color w:val="auto"/>
        </w:rPr>
      </w:pPr>
    </w:p>
    <w:p>
      <w:pPr>
        <w:jc w:val="both"/>
        <w:ind w:left="40" w:right="39"/>
        <w:spacing w:after="0" w:line="263" w:lineRule="auto"/>
        <w:rPr>
          <w:sz w:val="20"/>
          <w:szCs w:val="20"/>
          <w:color w:val="auto"/>
        </w:rPr>
      </w:pPr>
      <w:r>
        <w:rPr>
          <w:rFonts w:ascii="Arial" w:cs="Arial" w:eastAsia="Arial" w:hAnsi="Arial"/>
          <w:sz w:val="14"/>
          <w:szCs w:val="14"/>
          <w:color w:val="auto"/>
        </w:rPr>
        <w:t>We have registered or are registering various trademarks and service marks in the U.S. and/or other countries, including: Clearview (U.S. Reg. No. 5230123), IBEX Global (U.S. Reg. Nos. 4596647, 4424863, and 4588731), and IBEX (U.S. Reg. No. 6062663). The duration of trademark and service mark registrations varies from country to country but may generally be renewed indefinitely as long as the marks are in use and their registrations are properly maintained. We also have common law rights to certain trademarks and service marks.</w:t>
      </w:r>
    </w:p>
    <w:p>
      <w:pPr>
        <w:spacing w:after="0" w:line="135"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also have and maintain certain trade secrets arising out of the authorship or creation of proprietary computer programs, systems and business practices. Confidentiality is maintained primarily through contractual clauses, and in the case of computer programs, system access controls, tracking and authorization processes.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Privacy, Data Protection, and Cybersecurity Overview</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use, collect, store, transmit, transfer, and process customer data in the ordinary course of business. As our products are designed to assist business customers with customer support services, in the ordinary course of business, when providing its services, only a portion of the customer data that we use, collect, store, transmit, transfer and process constitutes personal data, personally identifiable information, personal information, or similar term (collectively herein “personal information”). In the course of providing our services, we obtain personal information in the form of business contact information of our customers, suppliers, customers, prospects, and other persons. We also obtain personal information from employees, contractors, applicants, whether current, former, or prospective and, as applicable, family members or designees. We also may obtain personal information about our customers’ end users. Certain personal information that we collect and/or process from any of these persons, including from our customers about their end users, may include information that is considered “special” or “sensitive” data under applicable law.</w:t>
      </w:r>
    </w:p>
    <w:p>
      <w:pPr>
        <w:spacing w:after="0" w:line="150" w:lineRule="exact"/>
        <w:rPr>
          <w:sz w:val="20"/>
          <w:szCs w:val="20"/>
          <w:color w:val="auto"/>
        </w:rPr>
      </w:pPr>
    </w:p>
    <w:p>
      <w:pPr>
        <w:jc w:val="both"/>
        <w:ind w:left="40" w:right="39"/>
        <w:spacing w:after="0" w:line="251" w:lineRule="auto"/>
        <w:rPr>
          <w:sz w:val="20"/>
          <w:szCs w:val="20"/>
          <w:color w:val="auto"/>
        </w:rPr>
      </w:pPr>
      <w:r>
        <w:rPr>
          <w:rFonts w:ascii="Arial" w:cs="Arial" w:eastAsia="Arial" w:hAnsi="Arial"/>
          <w:sz w:val="14"/>
          <w:szCs w:val="14"/>
          <w:color w:val="auto"/>
        </w:rPr>
        <w:t>We are required to comply with local, state, federal, and foreign laws and regulations pertaining to the collection, storage, transmission, transferring, processing, and security of personal information. Regulators around the globe, and in countries in which we operate, have promulgated and are continuing to adopt laws, implementing regulations, and guidance pertaining to the collection, storage, transmission, transferring, processing, and security of personal information. The applicability of these laws, regulations, and guidance is continually evolving, sometimes uncertain, and in some circumstances, conflicting between and among jurisdictions. Although certain of these laws are not applicable to business contact information or employee data, these laws still remain pertinent to our operations. Further, regulators are continuing to propose and adopt new laws designed to safeguard personal information and to provide additional rights to data subjects. We anticipate that the volume and scope of such laws will increase, and, as a result, our costs and efforts to comply with such laws will increase. It may be costly to implement security or other measures designed to comply with these laws. Any actual or perceived failure to safeguard personal information or other information in our possession or control, appropriately destroy or redact such data, or otherwise comply with these regulations may subject us to litigation, regulatory investigations, or enforcement actions, thus causing damage to our reputation and adversely affect our ability to attract or retain customers.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Regulation</w:t>
      </w:r>
    </w:p>
    <w:p>
      <w:pPr>
        <w:spacing w:after="0" w:line="170"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We are subject to a number of U.S. federal and state and foreign laws and regulations that involve matters central to our business. These laws and regulations may involve privacy, data protection, intellectual property, competition, consumer protection, export taxation and other subjects. Many of the laws and regulations to which we are subject are still evolving and being tested in courts and could be interpreted in ways that could harm our business. In addition, the terms of our service contracts typically require that we comply with applicable laws and regulations. In some of our service contracts, we are contractually required to comply even if such laws and regulations apply to our clients, but not to us, and sometimes our clients require us to take specific steps intended to make it easier for our clients to comply with requirements that are applicable to them. If we fail to comply with any applicable laws and regulations, we may be restricted in our ability to provide services and may also be the subject of civil or criminal actions involving penalties, any of which could have a material adverse effect on our operations. Our clients generally have the right to terminate our contracts for cause in the event of regulatory failures, subject to notice periods. See “Item 3D. Risk Factors” for more information.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Certain Bermuda Law Considerations</w:t>
      </w:r>
    </w:p>
    <w:p>
      <w:pPr>
        <w:spacing w:after="0" w:line="16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As a Bermuda company, we are also subject to regulation in Bermuda. Among other things, we must comply with the provisions of the Companies Act regulating the declaration and payment of dividends and the making of distributions from contributed surplus.</w:t>
      </w:r>
    </w:p>
    <w:p>
      <w:pPr>
        <w:spacing w:after="0" w:line="135"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are classified as a non-resident of Bermuda for exchange control purposes by the Bermuda Monetary Authority, (“BMA”). Pursuant to our non-resident status, we may engage in transactions in currencies other than Bermuda dollars. There are no restrictions on our ability to transfer funds in and out of Bermuda or to pay dividends to United States residents that are holders of our common shares.</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Under Bermuda law, “exempted” companies are companies formed for the purpose of conducting business outside Bermuda. As an exempted company, we may not, without a license granted by the Minister of Economic Development, participate in certain business transactions, including transactions involving Bermuda landholding rights and the carrying on of business of any kind, for which we are not licensed in Bermuda.</w:t>
      </w:r>
    </w:p>
    <w:p>
      <w:pPr>
        <w:spacing w:after="0" w:line="151"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On December 31, 2018, the Bermuda government enacted the Substance Act, with effect from July 1, 2019 for existing Bermuda entities, requiring certain entities in Bermuda engaged in “relevant activities” to maintain a substantial economic presence in Bermuda and to satisfy economic substance requirements. The list of “relevant activities” includes holding entities, and the legislation requires Bermuda companies engaging in a “relevant activity” to be locally managed and directed, to carry on core income generating activities in Bermuda, to maintain adequate physical presence in Bermuda, and to have an adequate level of local full time qualified employees and incur adequate operating expenditure in Bermuda. Under the Substance Act, any entity that must satisfy economic substance requirements but fails to do so could face automatic disclosure to competent authorities in the European Union of the information filed by the entity with the Bermuda Registrar of Companies in connection with the economic substance requirements and may also face financial penalties, restriction or regulation of its business activities or may be struck as a registered entity in Bermuda. The guidance as to how Bermuda authorities will interpret and enforce the Substance Act is pending, and we therefore cannot predict the potential impact of compliance or noncompliance on our results of operations and financial condition.</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See “Item 3D. Risk Factors - Risks Related to Being Incorporated in Bermuda” for more information.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  Organizational structure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color w:val="auto"/>
        </w:rPr>
        <w:t>Please refer to Exhibit 8.1 for a complete list of our subsidiaries and their ownership.</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  Property, plant and equipment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Facilities and Delivery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As of June 30, 2022, we operated 34 delivery centers in the following countries: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38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Country</w:t>
            </w:r>
          </w:p>
        </w:tc>
        <w:tc>
          <w:tcPr>
            <w:tcW w:w="1040" w:type="dxa"/>
            <w:vAlign w:val="bottom"/>
            <w:tcBorders>
              <w:top w:val="single" w:sz="8" w:color="auto"/>
            </w:tcBorders>
          </w:tcPr>
          <w:p>
            <w:pPr>
              <w:jc w:val="center"/>
              <w:ind w:left="361"/>
              <w:spacing w:after="0"/>
              <w:rPr>
                <w:sz w:val="20"/>
                <w:szCs w:val="20"/>
                <w:color w:val="auto"/>
              </w:rPr>
            </w:pPr>
            <w:r>
              <w:rPr>
                <w:rFonts w:ascii="Arial" w:cs="Arial" w:eastAsia="Arial" w:hAnsi="Arial"/>
                <w:sz w:val="12"/>
                <w:szCs w:val="12"/>
                <w:b w:val="1"/>
                <w:bCs w:val="1"/>
                <w:color w:val="auto"/>
                <w:w w:val="96"/>
              </w:rPr>
              <w:t>Number of</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Number of</w:t>
            </w:r>
          </w:p>
        </w:tc>
        <w:tc>
          <w:tcPr>
            <w:tcW w:w="0" w:type="dxa"/>
            <w:vAlign w:val="bottom"/>
          </w:tcPr>
          <w:p>
            <w:pPr>
              <w:spacing w:after="0"/>
              <w:rPr>
                <w:sz w:val="1"/>
                <w:szCs w:val="1"/>
                <w:color w:val="auto"/>
              </w:rPr>
            </w:pPr>
          </w:p>
        </w:tc>
      </w:tr>
      <w:tr>
        <w:trPr>
          <w:trHeight w:val="141"/>
        </w:trPr>
        <w:tc>
          <w:tcPr>
            <w:tcW w:w="638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center"/>
              <w:ind w:left="361"/>
              <w:spacing w:after="0"/>
              <w:rPr>
                <w:sz w:val="20"/>
                <w:szCs w:val="20"/>
                <w:color w:val="auto"/>
              </w:rPr>
            </w:pPr>
            <w:r>
              <w:rPr>
                <w:rFonts w:ascii="Arial" w:cs="Arial" w:eastAsia="Arial" w:hAnsi="Arial"/>
                <w:sz w:val="12"/>
                <w:szCs w:val="12"/>
                <w:b w:val="1"/>
                <w:bCs w:val="1"/>
                <w:color w:val="auto"/>
                <w:w w:val="98"/>
              </w:rPr>
              <w:t>centers</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2"/>
                <w:szCs w:val="12"/>
                <w:b w:val="1"/>
                <w:bCs w:val="1"/>
                <w:color w:val="auto"/>
              </w:rPr>
              <w:t>workstations</w:t>
            </w:r>
          </w:p>
        </w:tc>
        <w:tc>
          <w:tcPr>
            <w:tcW w:w="0" w:type="dxa"/>
            <w:vAlign w:val="bottom"/>
          </w:tcPr>
          <w:p>
            <w:pPr>
              <w:spacing w:after="0"/>
              <w:rPr>
                <w:sz w:val="1"/>
                <w:szCs w:val="1"/>
                <w:color w:val="auto"/>
              </w:rPr>
            </w:pPr>
          </w:p>
        </w:tc>
      </w:tr>
      <w:tr>
        <w:trPr>
          <w:trHeight w:val="157"/>
        </w:trPr>
        <w:tc>
          <w:tcPr>
            <w:tcW w:w="63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United States</w:t>
            </w: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7</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2,445</w:t>
            </w:r>
          </w:p>
        </w:tc>
        <w:tc>
          <w:tcPr>
            <w:tcW w:w="0" w:type="dxa"/>
            <w:vAlign w:val="bottom"/>
          </w:tcPr>
          <w:p>
            <w:pPr>
              <w:spacing w:after="0"/>
              <w:rPr>
                <w:sz w:val="1"/>
                <w:szCs w:val="1"/>
                <w:color w:val="auto"/>
              </w:rPr>
            </w:pPr>
          </w:p>
        </w:tc>
      </w:tr>
      <w:tr>
        <w:trPr>
          <w:trHeight w:val="166"/>
        </w:trPr>
        <w:tc>
          <w:tcPr>
            <w:tcW w:w="6380" w:type="dxa"/>
            <w:vAlign w:val="bottom"/>
          </w:tcPr>
          <w:p>
            <w:pPr>
              <w:spacing w:after="0" w:line="166" w:lineRule="exact"/>
              <w:rPr>
                <w:sz w:val="20"/>
                <w:szCs w:val="20"/>
                <w:color w:val="auto"/>
              </w:rPr>
            </w:pPr>
            <w:r>
              <w:rPr>
                <w:rFonts w:ascii="Arial" w:cs="Arial" w:eastAsia="Arial" w:hAnsi="Arial"/>
                <w:sz w:val="15"/>
                <w:szCs w:val="15"/>
                <w:color w:val="auto"/>
              </w:rPr>
              <w:t>Philippines</w:t>
            </w:r>
          </w:p>
        </w:tc>
        <w:tc>
          <w:tcPr>
            <w:tcW w:w="1040" w:type="dxa"/>
            <w:vAlign w:val="bottom"/>
          </w:tcPr>
          <w:p>
            <w:pPr>
              <w:spacing w:after="0"/>
              <w:rPr>
                <w:sz w:val="14"/>
                <w:szCs w:val="14"/>
                <w:color w:val="auto"/>
              </w:rPr>
            </w:pPr>
          </w:p>
        </w:tc>
        <w:tc>
          <w:tcPr>
            <w:tcW w:w="240" w:type="dxa"/>
            <w:vAlign w:val="bottom"/>
          </w:tcPr>
          <w:p>
            <w:pPr>
              <w:jc w:val="right"/>
              <w:spacing w:after="0" w:line="166" w:lineRule="exact"/>
              <w:rPr>
                <w:sz w:val="20"/>
                <w:szCs w:val="20"/>
                <w:color w:val="auto"/>
              </w:rPr>
            </w:pPr>
            <w:r>
              <w:rPr>
                <w:rFonts w:ascii="Arial" w:cs="Arial" w:eastAsia="Arial" w:hAnsi="Arial"/>
                <w:sz w:val="15"/>
                <w:szCs w:val="15"/>
                <w:color w:val="auto"/>
              </w:rPr>
              <w:t>8</w:t>
            </w:r>
          </w:p>
        </w:tc>
        <w:tc>
          <w:tcPr>
            <w:tcW w:w="200" w:type="dxa"/>
            <w:vAlign w:val="bottom"/>
          </w:tcPr>
          <w:p>
            <w:pPr>
              <w:spacing w:after="0"/>
              <w:rPr>
                <w:sz w:val="14"/>
                <w:szCs w:val="14"/>
                <w:color w:val="auto"/>
              </w:rPr>
            </w:pPr>
          </w:p>
        </w:tc>
        <w:tc>
          <w:tcPr>
            <w:tcW w:w="1080" w:type="dxa"/>
            <w:vAlign w:val="bottom"/>
          </w:tcPr>
          <w:p>
            <w:pPr>
              <w:jc w:val="right"/>
              <w:spacing w:after="0" w:line="166" w:lineRule="exact"/>
              <w:rPr>
                <w:sz w:val="20"/>
                <w:szCs w:val="20"/>
                <w:color w:val="auto"/>
              </w:rPr>
            </w:pPr>
            <w:r>
              <w:rPr>
                <w:rFonts w:ascii="Arial" w:cs="Arial" w:eastAsia="Arial" w:hAnsi="Arial"/>
                <w:sz w:val="15"/>
                <w:szCs w:val="15"/>
                <w:color w:val="auto"/>
              </w:rPr>
              <w:t>7,825</w:t>
            </w:r>
          </w:p>
        </w:tc>
        <w:tc>
          <w:tcPr>
            <w:tcW w:w="0" w:type="dxa"/>
            <w:vAlign w:val="bottom"/>
          </w:tcPr>
          <w:p>
            <w:pPr>
              <w:spacing w:after="0"/>
              <w:rPr>
                <w:sz w:val="1"/>
                <w:szCs w:val="1"/>
                <w:color w:val="auto"/>
              </w:rPr>
            </w:pPr>
          </w:p>
        </w:tc>
      </w:tr>
      <w:tr>
        <w:trPr>
          <w:trHeight w:val="166"/>
        </w:trPr>
        <w:tc>
          <w:tcPr>
            <w:tcW w:w="63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Pakistan</w:t>
            </w: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166"/>
        </w:trPr>
        <w:tc>
          <w:tcPr>
            <w:tcW w:w="6380" w:type="dxa"/>
            <w:vAlign w:val="bottom"/>
          </w:tcPr>
          <w:p>
            <w:pPr>
              <w:spacing w:after="0" w:line="166" w:lineRule="exact"/>
              <w:rPr>
                <w:sz w:val="20"/>
                <w:szCs w:val="20"/>
                <w:color w:val="auto"/>
              </w:rPr>
            </w:pPr>
            <w:r>
              <w:rPr>
                <w:rFonts w:ascii="Arial" w:cs="Arial" w:eastAsia="Arial" w:hAnsi="Arial"/>
                <w:sz w:val="15"/>
                <w:szCs w:val="15"/>
                <w:color w:val="auto"/>
              </w:rPr>
              <w:t>Jamaica</w:t>
            </w:r>
          </w:p>
        </w:tc>
        <w:tc>
          <w:tcPr>
            <w:tcW w:w="1040" w:type="dxa"/>
            <w:vAlign w:val="bottom"/>
          </w:tcPr>
          <w:p>
            <w:pPr>
              <w:spacing w:after="0"/>
              <w:rPr>
                <w:sz w:val="14"/>
                <w:szCs w:val="14"/>
                <w:color w:val="auto"/>
              </w:rPr>
            </w:pPr>
          </w:p>
        </w:tc>
        <w:tc>
          <w:tcPr>
            <w:tcW w:w="240" w:type="dxa"/>
            <w:vAlign w:val="bottom"/>
          </w:tcPr>
          <w:p>
            <w:pPr>
              <w:jc w:val="right"/>
              <w:spacing w:after="0" w:line="166" w:lineRule="exact"/>
              <w:rPr>
                <w:sz w:val="20"/>
                <w:szCs w:val="20"/>
                <w:color w:val="auto"/>
              </w:rPr>
            </w:pPr>
            <w:r>
              <w:rPr>
                <w:rFonts w:ascii="Arial" w:cs="Arial" w:eastAsia="Arial" w:hAnsi="Arial"/>
                <w:sz w:val="15"/>
                <w:szCs w:val="15"/>
                <w:color w:val="auto"/>
              </w:rPr>
              <w:t>6</w:t>
            </w:r>
          </w:p>
        </w:tc>
        <w:tc>
          <w:tcPr>
            <w:tcW w:w="200" w:type="dxa"/>
            <w:vAlign w:val="bottom"/>
          </w:tcPr>
          <w:p>
            <w:pPr>
              <w:spacing w:after="0"/>
              <w:rPr>
                <w:sz w:val="14"/>
                <w:szCs w:val="14"/>
                <w:color w:val="auto"/>
              </w:rPr>
            </w:pPr>
          </w:p>
        </w:tc>
        <w:tc>
          <w:tcPr>
            <w:tcW w:w="1080" w:type="dxa"/>
            <w:vAlign w:val="bottom"/>
          </w:tcPr>
          <w:p>
            <w:pPr>
              <w:jc w:val="right"/>
              <w:spacing w:after="0" w:line="166" w:lineRule="exact"/>
              <w:rPr>
                <w:sz w:val="20"/>
                <w:szCs w:val="20"/>
                <w:color w:val="auto"/>
              </w:rPr>
            </w:pPr>
            <w:r>
              <w:rPr>
                <w:rFonts w:ascii="Arial" w:cs="Arial" w:eastAsia="Arial" w:hAnsi="Arial"/>
                <w:sz w:val="15"/>
                <w:szCs w:val="15"/>
                <w:color w:val="auto"/>
              </w:rPr>
              <w:t>5,477</w:t>
            </w:r>
          </w:p>
        </w:tc>
        <w:tc>
          <w:tcPr>
            <w:tcW w:w="0" w:type="dxa"/>
            <w:vAlign w:val="bottom"/>
          </w:tcPr>
          <w:p>
            <w:pPr>
              <w:spacing w:after="0"/>
              <w:rPr>
                <w:sz w:val="1"/>
                <w:szCs w:val="1"/>
                <w:color w:val="auto"/>
              </w:rPr>
            </w:pPr>
          </w:p>
        </w:tc>
      </w:tr>
      <w:tr>
        <w:trPr>
          <w:trHeight w:val="166"/>
        </w:trPr>
        <w:tc>
          <w:tcPr>
            <w:tcW w:w="63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Nicaragua</w:t>
            </w: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2,710</w:t>
            </w:r>
          </w:p>
        </w:tc>
        <w:tc>
          <w:tcPr>
            <w:tcW w:w="0" w:type="dxa"/>
            <w:vAlign w:val="bottom"/>
          </w:tcPr>
          <w:p>
            <w:pPr>
              <w:spacing w:after="0"/>
              <w:rPr>
                <w:sz w:val="1"/>
                <w:szCs w:val="1"/>
                <w:color w:val="auto"/>
              </w:rPr>
            </w:pPr>
          </w:p>
        </w:tc>
      </w:tr>
      <w:tr>
        <w:trPr>
          <w:trHeight w:val="166"/>
        </w:trPr>
        <w:tc>
          <w:tcPr>
            <w:tcW w:w="6380" w:type="dxa"/>
            <w:vAlign w:val="bottom"/>
          </w:tcPr>
          <w:p>
            <w:pPr>
              <w:spacing w:after="0" w:line="166" w:lineRule="exact"/>
              <w:rPr>
                <w:sz w:val="20"/>
                <w:szCs w:val="20"/>
                <w:color w:val="auto"/>
              </w:rPr>
            </w:pPr>
            <w:r>
              <w:rPr>
                <w:rFonts w:ascii="Arial" w:cs="Arial" w:eastAsia="Arial" w:hAnsi="Arial"/>
                <w:sz w:val="15"/>
                <w:szCs w:val="15"/>
                <w:color w:val="auto"/>
              </w:rPr>
              <w:t>Honduras</w:t>
            </w:r>
          </w:p>
        </w:tc>
        <w:tc>
          <w:tcPr>
            <w:tcW w:w="1040" w:type="dxa"/>
            <w:vAlign w:val="bottom"/>
          </w:tcPr>
          <w:p>
            <w:pPr>
              <w:spacing w:after="0"/>
              <w:rPr>
                <w:sz w:val="14"/>
                <w:szCs w:val="14"/>
                <w:color w:val="auto"/>
              </w:rPr>
            </w:pPr>
          </w:p>
        </w:tc>
        <w:tc>
          <w:tcPr>
            <w:tcW w:w="240" w:type="dxa"/>
            <w:vAlign w:val="bottom"/>
          </w:tcPr>
          <w:p>
            <w:pPr>
              <w:jc w:val="right"/>
              <w:spacing w:after="0" w:line="166" w:lineRule="exact"/>
              <w:rPr>
                <w:sz w:val="20"/>
                <w:szCs w:val="20"/>
                <w:color w:val="auto"/>
              </w:rPr>
            </w:pPr>
            <w:r>
              <w:rPr>
                <w:rFonts w:ascii="Arial" w:cs="Arial" w:eastAsia="Arial" w:hAnsi="Arial"/>
                <w:sz w:val="15"/>
                <w:szCs w:val="15"/>
                <w:color w:val="auto"/>
              </w:rPr>
              <w:t>1</w:t>
            </w:r>
          </w:p>
        </w:tc>
        <w:tc>
          <w:tcPr>
            <w:tcW w:w="200" w:type="dxa"/>
            <w:vAlign w:val="bottom"/>
          </w:tcPr>
          <w:p>
            <w:pPr>
              <w:spacing w:after="0"/>
              <w:rPr>
                <w:sz w:val="14"/>
                <w:szCs w:val="14"/>
                <w:color w:val="auto"/>
              </w:rPr>
            </w:pPr>
          </w:p>
        </w:tc>
        <w:tc>
          <w:tcPr>
            <w:tcW w:w="1080" w:type="dxa"/>
            <w:vAlign w:val="bottom"/>
          </w:tcPr>
          <w:p>
            <w:pPr>
              <w:jc w:val="right"/>
              <w:spacing w:after="0" w:line="166" w:lineRule="exact"/>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166"/>
        </w:trPr>
        <w:tc>
          <w:tcPr>
            <w:tcW w:w="63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Senegal</w:t>
            </w: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66"/>
        </w:trPr>
        <w:tc>
          <w:tcPr>
            <w:tcW w:w="638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United Kingdom</w:t>
            </w: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w:t>
            </w: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57"/>
        </w:trPr>
        <w:tc>
          <w:tcPr>
            <w:tcW w:w="6380" w:type="dxa"/>
            <w:vAlign w:val="bottom"/>
            <w:tcBorders>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w:t>
            </w:r>
          </w:p>
        </w:tc>
        <w:tc>
          <w:tcPr>
            <w:tcW w:w="10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w w:val="95"/>
              </w:rPr>
              <w:t>34</w:t>
            </w:r>
          </w:p>
        </w:tc>
        <w:tc>
          <w:tcPr>
            <w:tcW w:w="2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21,404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Leases for our delivery and data centers have a range of expiration dates from October 2022 to July 2029, and typically include a renewal option for an additional term.</w:t>
      </w:r>
    </w:p>
    <w:p>
      <w:pPr>
        <w:spacing w:after="0" w:line="135"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Our executive management offices are located in Washington, D.C., which consist of approximately 5,300 square feet of office space, the term of which is set to expire on November 30, 2027. This facility currently serves as the headquarters for senior management and the financial, information technology and administrative departments.</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lease all of our facilities and do not own any real property. We will continue to procure additional space in the future as we continue to add employees and expand geographically.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4A. UNRESOLVED STAFF COMMENTS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As of the date of filing of this annual report, we have no unresolved comments from the SEC.</w:t>
      </w:r>
    </w:p>
    <w:p>
      <w:pPr>
        <w:spacing w:after="0" w:line="17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OPERATING AND FINANCIAL REVIEW AND PROSPECTS</w:t>
      </w:r>
    </w:p>
    <w:p>
      <w:pPr>
        <w:spacing w:after="0" w:line="172"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Financial Data” and our audited consolidated financial statements and the related notes and other financial information included elsewhere in this annual report. The audited consolidated financial statements have been prepared in accordance with IFRS as issued by the IASB, which may differ in material respects from generally accepted accounting principles in other jurisdictions, including the United States. This discussion contains forward-looking statements that involve risks and uncertainties. You should review the “Risk Factors” and “Cautionary Statement Regarding Forward-Looking Statements” sections of this annual report for a discussion of important factors that could cause actual results to differ materially from the results described in or implied by the forward-looking statements contained in the following discussion and analysis.</w:t>
      </w:r>
    </w:p>
    <w:p>
      <w:pPr>
        <w:spacing w:after="0" w:line="151" w:lineRule="exact"/>
        <w:rPr>
          <w:sz w:val="20"/>
          <w:szCs w:val="20"/>
          <w:color w:val="auto"/>
        </w:rPr>
      </w:pPr>
    </w:p>
    <w:p>
      <w:pPr>
        <w:ind w:left="40" w:right="7439" w:hanging="5"/>
        <w:spacing w:after="0" w:line="477" w:lineRule="auto"/>
        <w:tabs>
          <w:tab w:leader="none" w:pos="31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Operating Results Overview</w:t>
      </w:r>
    </w:p>
    <w:p>
      <w:pPr>
        <w:jc w:val="both"/>
        <w:ind w:left="40" w:right="39"/>
        <w:spacing w:after="0" w:line="245" w:lineRule="auto"/>
        <w:rPr>
          <w:sz w:val="20"/>
          <w:szCs w:val="20"/>
          <w:color w:val="auto"/>
        </w:rPr>
      </w:pPr>
      <w:r>
        <w:rPr>
          <w:rFonts w:ascii="Arial" w:cs="Arial" w:eastAsia="Arial" w:hAnsi="Arial"/>
          <w:sz w:val="15"/>
          <w:szCs w:val="15"/>
          <w:color w:val="auto"/>
        </w:rPr>
        <w:t>We are a leading provider of customer support services that helps drive extraordinary customer experiences for the world’s most recognized brands. We combine our strong heritage of delivering world-class CX operations delivery with best-in-class services and solutions that span omnichannel customer engagement and support, digital marketing and customer experience management to help our clients measure customer sentiment and deliver a superior CX to their end-customers. Leveraging our proprietary Wave X purpose-built technology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95" w:lineRule="auto"/>
        <w:rPr>
          <w:sz w:val="20"/>
          <w:szCs w:val="20"/>
          <w:color w:val="auto"/>
        </w:rPr>
      </w:pPr>
      <w:r>
        <w:rPr>
          <w:rFonts w:ascii="Arial" w:cs="Arial" w:eastAsia="Arial" w:hAnsi="Arial"/>
          <w:sz w:val="14"/>
          <w:szCs w:val="14"/>
          <w:color w:val="auto"/>
        </w:rPr>
        <w:t>platform, company culture and operational excellence, we help over 130 clients create innovative and differentiated customer experiences to help increase loyalty, enhance brand awareness and drive revenue in an era of rapid change and digital transformation.</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believe that the following factors have affected our results of operations for the year ended June 30, 2022.</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COVID-19</w:t>
      </w:r>
    </w:p>
    <w:p>
      <w:pPr>
        <w:spacing w:after="0" w:line="168"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Now more than two years into the Pandemic, client demand for our services has remained strong and we were successful at growing our revenue despite the challenges presented by COVID-19. The high level of client demand and our ability to continue to sell our services at an accelerating pace reflects the robust nature of our client base and our revenue pipeline.</w:t>
      </w:r>
    </w:p>
    <w:p>
      <w:pPr>
        <w:spacing w:after="0" w:line="146"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During fiscal year 2020, we incurred $6.1 million (net of client reimbursements), including $ 4.8 million for temporary housing, meals and transportation for over 1,600 employees in the Philippines during lockdowns that shut down public transportation. In fiscal year 2021, we invested approximately $13 million in employee health, safety and wellness to help identify, slow and stop the spread of the virus in our facilities. Those investments included transportation for our employees to and from our facilities, high-grade disinfection of our CX delivery centers, appropriate social distancing measures, technology investment to contract trace and curb spread, and company-paid vaccinations. In fiscal year 2022, as social distancing restrictions have subsided and business has begun to return to normal in most of the geographies in which we operate, we have seen our expenses related to the Pandemic decrease to $3.4 million. We continue to incur costs related to employee health and wellness, such as additional cleaning costs in our facilities, which we now consider to be part of our ongoing operating costs. In many cases, we were successful in protecting our margins by negotiating price increases from our clients to cover these additional costs.</w:t>
      </w:r>
    </w:p>
    <w:p>
      <w:pPr>
        <w:spacing w:after="0" w:line="154"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We believe that the Pandemic continues to present risks and opportunities for our business. Any weakening of the economy, including but not limited to the Pandemic, rising global inflation and rising interest rates, could have an impact on consumer demand for goods and services, thus impacting demand from consumer-facing businesses for customer support. On the other hand, our client base has a heavy preponderance of companies that either provide online services, are enablers of the online economy, or are inflation resistant (such as healthcare providers), and are likely to see continued demand for their services despite these global economic uncertainties.</w:t>
      </w:r>
    </w:p>
    <w:p>
      <w:pPr>
        <w:spacing w:after="0" w:line="151" w:lineRule="exact"/>
        <w:rPr>
          <w:sz w:val="20"/>
          <w:szCs w:val="20"/>
          <w:color w:val="auto"/>
        </w:rPr>
      </w:pPr>
    </w:p>
    <w:p>
      <w:pPr>
        <w:jc w:val="both"/>
        <w:ind w:left="40" w:right="39"/>
        <w:spacing w:after="0" w:line="259" w:lineRule="auto"/>
        <w:rPr>
          <w:sz w:val="20"/>
          <w:szCs w:val="20"/>
          <w:color w:val="auto"/>
        </w:rPr>
      </w:pPr>
      <w:r>
        <w:rPr>
          <w:rFonts w:ascii="Arial" w:cs="Arial" w:eastAsia="Arial" w:hAnsi="Arial"/>
          <w:sz w:val="14"/>
          <w:szCs w:val="14"/>
          <w:color w:val="auto"/>
        </w:rPr>
        <w:t>For additional details on the effect of COVID-19 on our performance, see “Item 3D. Risk Factors—Risks Related to Our Business—The COVID-19 pandemic has adversely impacted our business and results of operations. The ultimate impact of COVID-19 and its variants on our business, financial condition and results of operations will depend on future developments which are highly uncertain and cannot be predicted at this time, including the scope and duration of the pandemic and actions taken by federal, state and local governmental authorities in the United States, governmental authorities in our international sites and our clients in response to the Pandemic.”</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Client Concentration</w:t>
      </w:r>
    </w:p>
    <w:p>
      <w:pPr>
        <w:spacing w:after="0" w:line="16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have actively pursued and been successful at diversifying our client base. In fiscal year 2020, approximately 44% of our consolidated revenue was generated by our three largest clients, which were heavily concentrated in the telecom and cable industries. In fiscal year 2022, our largest client accounted for 12%, and our three largest clients accounted for 27%, respectively, of our consolidated revenue. Two of our top three clients were acquired following fiscal year 2016.</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 number of factors that have impacted our revenues during the three years ended June 30, 2022 are discussed below:</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New Client Wins</w:t>
      </w:r>
    </w:p>
    <w:p>
      <w:pPr>
        <w:spacing w:after="0" w:line="16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As a result of our land and expand strategy, we have been successful in winning an increasing number of new client engagements, and subsequently increasing our revenues with these clients year over year. Historically, our in-year new client wins have generated 2.0x to 3.5x revenue in the second and third years of the engagement.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Outsourcing Strategy</w:t>
      </w:r>
    </w:p>
    <w:p>
      <w:pPr>
        <w:spacing w:after="0" w:line="168"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4"/>
          <w:szCs w:val="14"/>
          <w:color w:val="auto"/>
        </w:rPr>
        <w:t>We believe clients are increasingly looking to utilize outsourcing partners who can provide unified solutions for a variety of touchpoints along the customer interaction value chain, from digital marketing to customer sales and support to CX and surveys. Providers with integrated offerings will command a larger share of wallet from their clients, drive a great degree of insight and performance; this ultimately drives a longer term, mutually beneficial partnership. The client selection process typically considers scale, quality of the facilities, and strength of leadership and brand of the provider in the selected market. Clients will usually reward higher-performing vendors with a greater share of their spend on customer interaction solutions. Changes in geographic strategy, where a client is looking to move business from onshore to offshore or nearshore, or balance their workload between nearshore and offshore, often create opportunities for outsourced customer interaction providers. Our geographic growth with clients is a key part of our overall growth.</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Provider Performance</w:t>
      </w:r>
    </w:p>
    <w:p>
      <w:pPr>
        <w:spacing w:after="0" w:line="16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Generally, our clients will re-allocate spend and market share in favor of outsourcing providers who consistently perform better and add more value than their competitors. Such re-allocation of spend can either take place on a short-term basis as higher performing providers are shielded by the client against demand volatility, or on a longer term basis as the client shifts more and more of its overall outsourcing spend and volume to higher performing providers. In addition to our growth due to new client wins, our revenues have increased with our existing clients as a result of performance-based market share gains.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Client’s Underlying Business Performance</w:t>
      </w:r>
    </w:p>
    <w:p>
      <w:pPr>
        <w:spacing w:after="0" w:line="16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Demand for customer interaction services reflects a client’s underlying business performance and priorities. Growth in a client’s business often results in increased demand for our customer engagement solutions. Conversely, a decline in a client’s business generally results in a decrease in demand for our customer engagement solutions, coupled with an increase in demand for our customer acquisition and expansion solutions. The correlation between business performance and demand for outsourced customer interaction solutions can therefore be complex, and depends upon several factors such as vendor consolidation, growth investment focus and overall business environment, which can result in short term revenue volatility for providers.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Product Cycles</w:t>
      </w:r>
    </w:p>
    <w:p>
      <w:pPr>
        <w:spacing w:after="0" w:line="16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Many of our clients regularly upgrade their product or service mix, which impacts their demand for CLX service. For example, one of our largest clients has, in recent years, followed a product release cycle which results in demand spikes that can vary in volume depending on product complexity and customer demand.</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Pricing</w:t>
      </w:r>
    </w:p>
    <w:p>
      <w:pPr>
        <w:spacing w:after="0" w:line="16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Our revenues are dependent upon both volumes and unit pricing for our various CLX services. Client pricing is often expressed in terms of a base price as well as, in limited cases, with bonuses and occasionally penalties depending upon our achievement of certain client objectives. In fiscal year 2022, as a result of tightening in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global labor market and corresponding labor inflation, as well as additional facilities expenses now being incurred due to the Pandemic, we have pursued and been successful at negotiating price increases or cost of living adjustments with many of our clients.</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Within our customer engagement solution, pricing for services delivered from onshore locations is higher than pricing for services delivered from offshore locations, largely driven by higher wage levels in onshore locations. Accordingly, a shift in service delivery location from onshore to offshore locations results in a decline in absolute revenues; however, margins tend to increase, in percentage and often in absolute terms, as compared to onshore service delivery.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Factors Affecting our Operating Profit Margins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 number of factors that have affected our operating profit margins during the three fiscal years ended June 30, 2022 are discussed below:</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Capacity Utilization</w:t>
      </w:r>
    </w:p>
    <w:p>
      <w:pPr>
        <w:spacing w:after="0" w:line="16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As a significant portion of our customer interaction services are performed by customer-facing agents located in delivery facilities, our margins are impacted by the level of capacity utilization in those facilities. We incur substantial fixed expenses in operating such facilities. The greater the volume of interactions handled, the higher the utilization level of workstations within those facilities and the revenues generated to cover those fixed costs, thus the greater the percentage operating margin.</w:t>
      </w:r>
    </w:p>
    <w:p>
      <w:pPr>
        <w:spacing w:after="0" w:line="15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As our geographic delivery location mix has continued to shift toward offshore and nearshore locations, we have continued to invest in additional facilities in Jamaica, Nicaragua, the Philippines and Honduras, and expect this capacity to be absorbed quickly as we continue to see high demand for these regions.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Labor Costs</w:t>
      </w:r>
    </w:p>
    <w:p>
      <w:pPr>
        <w:spacing w:after="0" w:line="168"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When compensation levels of our employees increase, we may not be able to pass on such increased costs to our clients or do so on a timely basis, which tends to depress our operating profit margins if we cannot generate sufficient offsetting productivity gains. We have continued to see increasing wage pressure in all of our geographies, in part brought on by the current global inflation and labor shortage, which is increasing competition for contact center agents from other sectors of the economy. Over time, we have offset these wage increases with higher agent quality and increased productivity, leading to financial improvements. Furthermore, our overall labor cost as a percentage of revenue is impacted by the aforementioned shift in delivery location from onshore delivery centers to nearshore and offshore centers.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Attrition Among Customer Facing Agents</w:t>
      </w:r>
    </w:p>
    <w:p>
      <w:pPr>
        <w:spacing w:after="0" w:line="16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outsourcing industry is generally characterized by high employee turnover. Such turnover has a significant impact upon profitability as recruiting and training expenses are incurred to replace departing agents. Attrition in the United States, though high as compared to other regions, has decreased slightly in fiscal year 2022 mainly driven by the deployment of the work at home model. Conversely, our Customer Acquisition solution and our offshore and nearshore operations have historically experienced lower levels of turnover relative to the United States. Other considerations such as company culture, work conditions and general employee morale are key factors that impact employee turnover.</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Delivery Location</w:t>
      </w:r>
    </w:p>
    <w:p>
      <w:pPr>
        <w:spacing w:after="0" w:line="16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generate significantly greater profit margins from our work carried out by agents located in offshore and nearshore geographies compared to our work carried out from locations in the United States. As a result, our operating margins are significantly influenced by the proportion of our work delivered from these higher margin locations. Over time we have expanded and further diversified our delivery network by adding facilities in these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locations offering a significant relative cost advantage. Our percentage of workstations in nearshore and offshore centers increased to 76.8% from 73.9% as of June 30, 2022 and 2021, respectively.</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Inelasticity of Labor Costs Relative to Short-Term Variations in Client Demand</w:t>
      </w:r>
    </w:p>
    <w:p>
      <w:pPr>
        <w:spacing w:after="0" w:line="168"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As our business depends on maintaining large numbers of agents to service our clients’ business needs, we tend not to terminate agents on short notice in response to temporary declines in demand in excess of agreed levels, as rehiring and retraining agents at a later date would force us to incur additional expenses. Furthermore, any termination of our employees also generally involves the incurrence of significant additional costs in the form of severance payments or early notice periods to comply with labor regulations in the various jurisdictions in which we operate our business, all of which would have an adverse impact on our operating profit margins. Similarly, we do tend to delay increases in overall headcount upon increases in short-term demand, preferring to increase agent utilization and compensating agents for the increased workload. Accordingly, these factors constrain our ability to adjust our labor costs for short-term declines in demand, but also allow us to realize significant margin accretion upon short term increases in demand that can be handled by our existing workforce. These factors are especially relevant in situations where we are paid by clients based upon actual work performed, rather than upon the number of agents made available to perform client work.</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Increases in Expenses Related to Sourcing or Generating Leads</w:t>
      </w:r>
    </w:p>
    <w:p>
      <w:pPr>
        <w:spacing w:after="0" w:line="16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A key element of our customer acquisition solution is the generation or purchase of leads or projects. We either generate our leads ourselves, often through digital means, or purchase our leads from external sources. Any increase in the cost of sourcing or generating leads or changes in the rate of conversion of those leads could impact our profit margins. We occasionally experience some volatility in our internal lead generation costs, either due to competitive keyword bidding by other digital marketing agencies, or due to bidding restrictions imposed by our clients.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Increased Up-Front Costs Driven by Increased Demand</w:t>
      </w:r>
    </w:p>
    <w:p>
      <w:pPr>
        <w:spacing w:after="0" w:line="168" w:lineRule="exact"/>
        <w:rPr>
          <w:sz w:val="20"/>
          <w:szCs w:val="20"/>
          <w:color w:val="auto"/>
        </w:rPr>
      </w:pPr>
    </w:p>
    <w:p>
      <w:pPr>
        <w:jc w:val="both"/>
        <w:ind w:left="40" w:right="39"/>
        <w:spacing w:after="0" w:line="259" w:lineRule="auto"/>
        <w:rPr>
          <w:sz w:val="20"/>
          <w:szCs w:val="20"/>
          <w:color w:val="auto"/>
        </w:rPr>
      </w:pPr>
      <w:r>
        <w:rPr>
          <w:rFonts w:ascii="Arial" w:cs="Arial" w:eastAsia="Arial" w:hAnsi="Arial"/>
          <w:sz w:val="14"/>
          <w:szCs w:val="14"/>
          <w:color w:val="auto"/>
        </w:rPr>
        <w:t>Aside from short-term increases in demand for which we tend to delay increases in headcount, an increase in demand for customer interaction services typically results in an up-front increase in employee compensation expenses, due to the in-advance need to hire and train additional employees, predominantly delivery center agents, to service client campaigns. As these expenses for hiring and training our employees are typically incurred in a period before the revenues associated with the increase in demand are recognized, it has the effect of causing an initial decrease in our operating profit margins prior to the full impact of the profitability from the additional demand.</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COVID-19</w:t>
      </w:r>
    </w:p>
    <w:p>
      <w:pPr>
        <w:spacing w:after="0" w:line="16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In fiscal year 2022, we incurred approximately $3.4 million of additional costs for employee health, safety and wellness to help identify, slow and stop the spread of the virus in our facilities. As long as the Pandemic persists, we expect to continue incurring these costs to maintain healthy workplaces and employees.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Net Effect of Currency Exchange Rate Fluctuations</w:t>
      </w:r>
    </w:p>
    <w:p>
      <w:pPr>
        <w:spacing w:after="0" w:line="16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While substantially all of our revenues are generated in U.S. dollars, a significant portion of our operating expenses are incurred outside of the United States and paid for in respective foreign currencies, principally the local currencies of the Philippines, Jamaica and Pakistan. During the three fiscal year ended June 30, 2022, out of our total employee benefits expenses, 25.2% were incurred in the Philippine Pesos, 14.9% were incurred in the Jamaican Dollar and 9.8% were incurred in Pakistani Rupee. As a result, our operations are subject to the effects of changes in exchange rates against the U.S. dollar. See “Item 3D. Risk Factors” and Note 22.1.2 to our audited consolidated financial statements included at the end of this annual report.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Seasonality</w:t>
      </w:r>
    </w:p>
    <w:p>
      <w:pPr>
        <w:spacing w:after="0" w:line="168"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Our business performance is subject to seasonal fluctuations. Within our customer engagement solution, some of our retail-facing clients undergo an increase in activity during the calendar year-end holiday period. These seasonal effects cause differences in revenues and expenses among the various quarters of any financial year, which means that the individual quarters should not be directly compared with each other or be used to predict annual financial results. This intra-year seasonal fluctuation is common in the BPO industry, with increased volumes during the fourth calendar quarter of the year.</w:t>
      </w:r>
    </w:p>
    <w:p>
      <w:pPr>
        <w:spacing w:after="0" w:line="15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Within our customer acquisition solution, our revenues may increase during the summer period when households tend to move and activate telecommunications services in their new homes, as well as during the final quarter of the calendar year when the year-end holiday season begins.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Key Operational Metrics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regularly prepare and review the following key operating indicators to evaluate our business, measure our performance, identify trends in our business, prepare financial projections, allocate resources and make strategic decisions: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Workstations</w:t>
      </w:r>
    </w:p>
    <w:p>
      <w:pPr>
        <w:spacing w:after="0" w:line="170"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5"/>
          <w:szCs w:val="15"/>
          <w:color w:val="auto"/>
        </w:rPr>
        <w:t>The number of workstations at all of our delivery centers is a key volume metric for our business. It is defined as the number of physical workstations at a delivery center location used for production (excluding, for example, workstations in training rooms or those used by supervisors). A single workstation will typically be used for multiple shifts, and therefore there will typically be more delivery center agents than utilized workstations</w:t>
      </w:r>
      <w:r>
        <w:rPr>
          <w:rFonts w:ascii="Arial" w:cs="Arial" w:eastAsia="Arial" w:hAnsi="Arial"/>
          <w:sz w:val="16"/>
          <w:szCs w:val="16"/>
          <w:color w:val="auto"/>
        </w:rPr>
        <w:t>.</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Work at home</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 number of work at home seats is also a key volume metric for our business. It is defined as the number of production agents working at home (excluding, for example, management and corporate employees). Since the Pandemic started, we have enabled work at home seats, which have expanded significantly and this capability has become a key part of our delivery model.</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Capacity Utilization</w:t>
      </w:r>
    </w:p>
    <w:p>
      <w:pPr>
        <w:spacing w:after="0" w:line="17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Capacity Utilization is an efficiency metric used within our business. We define Capacity Utilization as the number of on-site workstations in use plus the number of work at home seats divided by the number of on-site workstations, for the period under consideration, across all facilities in the region. In fiscal year 2020, during the height of the Pandemic, we saw capacity utilization over 100% in the nearshore region due primarily to a higher work at home employee population and / or higher on-site workstation seat turns. During fiscal year 2022, capacity utilization decreased to 69% from 77% in the prior year as we continued to invest primarily in nearshore expansion, while experiencing lower utilization rates due to pandemic related restrictions, which have now been lifted in all regions. This will free up approximately 10,000 seats which we can deploy for our robust revenue backlog in the coming year.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displays our capacity utilization by region for the fiscal years ended June 30, 2022, 2021, and 2020, respectively.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5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As of June 30, 2022</w:t>
            </w:r>
          </w:p>
        </w:tc>
        <w:tc>
          <w:tcPr>
            <w:tcW w:w="10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6"/>
        </w:trPr>
        <w:tc>
          <w:tcPr>
            <w:tcW w:w="5180" w:type="dxa"/>
            <w:vAlign w:val="bottom"/>
          </w:tcPr>
          <w:p>
            <w:pPr>
              <w:spacing w:after="0"/>
              <w:rPr>
                <w:sz w:val="10"/>
                <w:szCs w:val="10"/>
                <w:color w:val="auto"/>
              </w:rPr>
            </w:pPr>
          </w:p>
        </w:tc>
        <w:tc>
          <w:tcPr>
            <w:tcW w:w="12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6"/>
              </w:rPr>
              <w:t>Total Production</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1"/>
        </w:trPr>
        <w:tc>
          <w:tcPr>
            <w:tcW w:w="51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7"/>
              </w:rPr>
              <w:t>Workstations</w:t>
            </w:r>
          </w:p>
        </w:tc>
        <w:tc>
          <w:tcPr>
            <w:tcW w:w="180" w:type="dxa"/>
            <w:vAlign w:val="bottom"/>
          </w:tcPr>
          <w:p>
            <w:pPr>
              <w:spacing w:after="0"/>
              <w:rPr>
                <w:sz w:val="12"/>
                <w:szCs w:val="12"/>
                <w:color w:val="auto"/>
              </w:rPr>
            </w:pP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In Use</w:t>
            </w:r>
          </w:p>
        </w:tc>
        <w:tc>
          <w:tcPr>
            <w:tcW w:w="1200" w:type="dxa"/>
            <w:vAlign w:val="bottom"/>
            <w:gridSpan w:val="2"/>
          </w:tcPr>
          <w:p>
            <w:pPr>
              <w:jc w:val="right"/>
              <w:ind w:right="266"/>
              <w:spacing w:after="0"/>
              <w:rPr>
                <w:sz w:val="20"/>
                <w:szCs w:val="20"/>
                <w:color w:val="auto"/>
              </w:rPr>
            </w:pPr>
            <w:r>
              <w:rPr>
                <w:rFonts w:ascii="Arial" w:cs="Arial" w:eastAsia="Arial" w:hAnsi="Arial"/>
                <w:sz w:val="12"/>
                <w:szCs w:val="12"/>
                <w:b w:val="1"/>
                <w:bCs w:val="1"/>
                <w:color w:val="auto"/>
              </w:rPr>
              <w:t>Utilization %</w:t>
            </w:r>
          </w:p>
        </w:tc>
      </w:tr>
      <w:tr>
        <w:trPr>
          <w:trHeight w:val="157"/>
        </w:trPr>
        <w:tc>
          <w:tcPr>
            <w:tcW w:w="51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5"/>
                <w:szCs w:val="15"/>
                <w:color w:val="auto"/>
              </w:rPr>
              <w:t>Offshore</w:t>
            </w:r>
          </w:p>
        </w:tc>
        <w:tc>
          <w:tcPr>
            <w:tcW w:w="12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7,825</w:t>
            </w:r>
          </w:p>
        </w:tc>
        <w:tc>
          <w:tcPr>
            <w:tcW w:w="118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5,575</w:t>
            </w: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71</w:t>
            </w:r>
          </w:p>
        </w:tc>
        <w:tc>
          <w:tcPr>
            <w:tcW w:w="160" w:type="dxa"/>
            <w:vAlign w:val="bottom"/>
            <w:tcBorders>
              <w:top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color w:val="auto"/>
                <w:w w:val="74"/>
              </w:rPr>
              <w:t>%</w:t>
            </w: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5"/>
                <w:szCs w:val="15"/>
                <w:color w:val="auto"/>
              </w:rPr>
              <w:t>Nearshore</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8,615</w:t>
            </w:r>
          </w:p>
        </w:tc>
        <w:tc>
          <w:tcPr>
            <w:tcW w:w="11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5,072</w:t>
            </w:r>
          </w:p>
        </w:tc>
        <w:tc>
          <w:tcPr>
            <w:tcW w:w="180" w:type="dxa"/>
            <w:vAlign w:val="bottom"/>
          </w:tcPr>
          <w:p>
            <w:pPr>
              <w:spacing w:after="0"/>
              <w:rPr>
                <w:sz w:val="14"/>
                <w:szCs w:val="14"/>
                <w:color w:val="auto"/>
              </w:rPr>
            </w:pPr>
          </w:p>
        </w:tc>
        <w:tc>
          <w:tcPr>
            <w:tcW w:w="12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59 %</w:t>
            </w:r>
          </w:p>
        </w:tc>
      </w:tr>
      <w:tr>
        <w:trPr>
          <w:trHeight w:val="166"/>
        </w:trPr>
        <w:tc>
          <w:tcPr>
            <w:tcW w:w="5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United States</w:t>
            </w:r>
          </w:p>
        </w:tc>
        <w:tc>
          <w:tcPr>
            <w:tcW w:w="12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2,445</w:t>
            </w:r>
          </w:p>
        </w:tc>
        <w:tc>
          <w:tcPr>
            <w:tcW w:w="11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1,890</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77 %</w:t>
            </w: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3"/>
                <w:szCs w:val="13"/>
                <w:color w:val="auto"/>
              </w:rPr>
              <w:t>Rest of world</w:t>
            </w:r>
            <w:r>
              <w:rPr>
                <w:rFonts w:ascii="Arial" w:cs="Arial" w:eastAsia="Arial" w:hAnsi="Arial"/>
                <w:sz w:val="19"/>
                <w:szCs w:val="19"/>
                <w:color w:val="auto"/>
                <w:vertAlign w:val="superscript"/>
              </w:rPr>
              <w:t>(1)</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2,519</w:t>
            </w:r>
          </w:p>
        </w:tc>
        <w:tc>
          <w:tcPr>
            <w:tcW w:w="11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2,310</w:t>
            </w:r>
          </w:p>
        </w:tc>
        <w:tc>
          <w:tcPr>
            <w:tcW w:w="180" w:type="dxa"/>
            <w:vAlign w:val="bottom"/>
          </w:tcPr>
          <w:p>
            <w:pPr>
              <w:spacing w:after="0"/>
              <w:rPr>
                <w:sz w:val="14"/>
                <w:szCs w:val="14"/>
                <w:color w:val="auto"/>
              </w:rPr>
            </w:pPr>
          </w:p>
        </w:tc>
        <w:tc>
          <w:tcPr>
            <w:tcW w:w="12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92 %</w:t>
            </w:r>
          </w:p>
        </w:tc>
      </w:tr>
      <w:tr>
        <w:trPr>
          <w:trHeight w:val="157"/>
        </w:trPr>
        <w:tc>
          <w:tcPr>
            <w:tcW w:w="518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w:t>
            </w:r>
          </w:p>
        </w:tc>
        <w:tc>
          <w:tcPr>
            <w:tcW w:w="12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21,404</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14,847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69</w:t>
            </w:r>
          </w:p>
        </w:tc>
        <w:tc>
          <w:tcPr>
            <w:tcW w:w="160" w:type="dxa"/>
            <w:vAlign w:val="bottom"/>
            <w:tcBorders>
              <w:top w:val="single" w:sz="8" w:color="CCEEFF"/>
              <w:bottom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w w:val="74"/>
              </w:rPr>
              <w:t>%</w:t>
            </w:r>
          </w:p>
        </w:tc>
      </w:tr>
      <w:tr>
        <w:trPr>
          <w:trHeight w:val="20"/>
        </w:trPr>
        <w:tc>
          <w:tcPr>
            <w:tcW w:w="5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9"/>
        </w:trPr>
        <w:tc>
          <w:tcPr>
            <w:tcW w:w="5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68"/>
        </w:trPr>
        <w:tc>
          <w:tcPr>
            <w:tcW w:w="5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4"/>
        </w:trPr>
        <w:tc>
          <w:tcPr>
            <w:tcW w:w="5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ind w:left="40"/>
              <w:spacing w:after="0" w:line="124" w:lineRule="exact"/>
              <w:rPr>
                <w:sz w:val="20"/>
                <w:szCs w:val="20"/>
                <w:color w:val="auto"/>
              </w:rPr>
            </w:pPr>
            <w:r>
              <w:rPr>
                <w:rFonts w:ascii="Arial" w:cs="Arial" w:eastAsia="Arial" w:hAnsi="Arial"/>
                <w:sz w:val="12"/>
                <w:szCs w:val="12"/>
                <w:b w:val="1"/>
                <w:bCs w:val="1"/>
                <w:color w:val="auto"/>
              </w:rPr>
              <w:t>As of June 30, 2021</w:t>
            </w:r>
          </w:p>
        </w:tc>
        <w:tc>
          <w:tcPr>
            <w:tcW w:w="10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16"/>
        </w:trPr>
        <w:tc>
          <w:tcPr>
            <w:tcW w:w="5180" w:type="dxa"/>
            <w:vAlign w:val="bottom"/>
          </w:tcPr>
          <w:p>
            <w:pPr>
              <w:spacing w:after="0"/>
              <w:rPr>
                <w:sz w:val="10"/>
                <w:szCs w:val="10"/>
                <w:color w:val="auto"/>
              </w:rPr>
            </w:pPr>
          </w:p>
        </w:tc>
        <w:tc>
          <w:tcPr>
            <w:tcW w:w="12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6"/>
              </w:rPr>
              <w:t>Total Production</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1"/>
        </w:trPr>
        <w:tc>
          <w:tcPr>
            <w:tcW w:w="51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7"/>
              </w:rPr>
              <w:t>Workstations</w:t>
            </w:r>
          </w:p>
        </w:tc>
        <w:tc>
          <w:tcPr>
            <w:tcW w:w="180" w:type="dxa"/>
            <w:vAlign w:val="bottom"/>
          </w:tcPr>
          <w:p>
            <w:pPr>
              <w:spacing w:after="0"/>
              <w:rPr>
                <w:sz w:val="12"/>
                <w:szCs w:val="12"/>
                <w:color w:val="auto"/>
              </w:rPr>
            </w:pP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In Use</w:t>
            </w:r>
          </w:p>
        </w:tc>
        <w:tc>
          <w:tcPr>
            <w:tcW w:w="1200" w:type="dxa"/>
            <w:vAlign w:val="bottom"/>
            <w:gridSpan w:val="2"/>
          </w:tcPr>
          <w:p>
            <w:pPr>
              <w:jc w:val="right"/>
              <w:ind w:right="266"/>
              <w:spacing w:after="0"/>
              <w:rPr>
                <w:sz w:val="20"/>
                <w:szCs w:val="20"/>
                <w:color w:val="auto"/>
              </w:rPr>
            </w:pPr>
            <w:r>
              <w:rPr>
                <w:rFonts w:ascii="Arial" w:cs="Arial" w:eastAsia="Arial" w:hAnsi="Arial"/>
                <w:sz w:val="12"/>
                <w:szCs w:val="12"/>
                <w:b w:val="1"/>
                <w:bCs w:val="1"/>
                <w:color w:val="auto"/>
              </w:rPr>
              <w:t>Utilization %</w:t>
            </w:r>
          </w:p>
        </w:tc>
      </w:tr>
      <w:tr>
        <w:trPr>
          <w:trHeight w:val="157"/>
        </w:trPr>
        <w:tc>
          <w:tcPr>
            <w:tcW w:w="51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5"/>
                <w:szCs w:val="15"/>
                <w:color w:val="auto"/>
              </w:rPr>
              <w:t>Offshore</w:t>
            </w:r>
          </w:p>
        </w:tc>
        <w:tc>
          <w:tcPr>
            <w:tcW w:w="12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7,335</w:t>
            </w:r>
          </w:p>
        </w:tc>
        <w:tc>
          <w:tcPr>
            <w:tcW w:w="118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5,195</w:t>
            </w: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71</w:t>
            </w:r>
          </w:p>
        </w:tc>
        <w:tc>
          <w:tcPr>
            <w:tcW w:w="160" w:type="dxa"/>
            <w:vAlign w:val="bottom"/>
            <w:tcBorders>
              <w:top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color w:val="auto"/>
                <w:w w:val="74"/>
              </w:rPr>
              <w:t>%</w:t>
            </w: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5"/>
                <w:szCs w:val="15"/>
                <w:color w:val="auto"/>
              </w:rPr>
              <w:t>Nearshore</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5,909</w:t>
            </w:r>
          </w:p>
        </w:tc>
        <w:tc>
          <w:tcPr>
            <w:tcW w:w="11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5,213</w:t>
            </w:r>
          </w:p>
        </w:tc>
        <w:tc>
          <w:tcPr>
            <w:tcW w:w="180" w:type="dxa"/>
            <w:vAlign w:val="bottom"/>
          </w:tcPr>
          <w:p>
            <w:pPr>
              <w:spacing w:after="0"/>
              <w:rPr>
                <w:sz w:val="14"/>
                <w:szCs w:val="14"/>
                <w:color w:val="auto"/>
              </w:rPr>
            </w:pPr>
          </w:p>
        </w:tc>
        <w:tc>
          <w:tcPr>
            <w:tcW w:w="12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88 %</w:t>
            </w:r>
          </w:p>
        </w:tc>
      </w:tr>
      <w:tr>
        <w:trPr>
          <w:trHeight w:val="166"/>
        </w:trPr>
        <w:tc>
          <w:tcPr>
            <w:tcW w:w="5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United States</w:t>
            </w:r>
          </w:p>
        </w:tc>
        <w:tc>
          <w:tcPr>
            <w:tcW w:w="12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2,153</w:t>
            </w:r>
          </w:p>
        </w:tc>
        <w:tc>
          <w:tcPr>
            <w:tcW w:w="11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1,773</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82 %</w:t>
            </w: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3"/>
                <w:szCs w:val="13"/>
                <w:color w:val="auto"/>
              </w:rPr>
              <w:t>Rest of world</w:t>
            </w:r>
            <w:r>
              <w:rPr>
                <w:rFonts w:ascii="Arial" w:cs="Arial" w:eastAsia="Arial" w:hAnsi="Arial"/>
                <w:sz w:val="19"/>
                <w:szCs w:val="19"/>
                <w:color w:val="auto"/>
                <w:vertAlign w:val="superscript"/>
              </w:rPr>
              <w:t>(1)</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2,519</w:t>
            </w:r>
          </w:p>
        </w:tc>
        <w:tc>
          <w:tcPr>
            <w:tcW w:w="11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1,528</w:t>
            </w:r>
          </w:p>
        </w:tc>
        <w:tc>
          <w:tcPr>
            <w:tcW w:w="180" w:type="dxa"/>
            <w:vAlign w:val="bottom"/>
          </w:tcPr>
          <w:p>
            <w:pPr>
              <w:spacing w:after="0"/>
              <w:rPr>
                <w:sz w:val="14"/>
                <w:szCs w:val="14"/>
                <w:color w:val="auto"/>
              </w:rPr>
            </w:pPr>
          </w:p>
        </w:tc>
        <w:tc>
          <w:tcPr>
            <w:tcW w:w="12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61 %</w:t>
            </w:r>
          </w:p>
        </w:tc>
      </w:tr>
      <w:tr>
        <w:trPr>
          <w:trHeight w:val="157"/>
        </w:trPr>
        <w:tc>
          <w:tcPr>
            <w:tcW w:w="518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w:t>
            </w:r>
          </w:p>
        </w:tc>
        <w:tc>
          <w:tcPr>
            <w:tcW w:w="12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17,916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13,709</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77</w:t>
            </w:r>
          </w:p>
        </w:tc>
        <w:tc>
          <w:tcPr>
            <w:tcW w:w="160" w:type="dxa"/>
            <w:vAlign w:val="bottom"/>
            <w:tcBorders>
              <w:top w:val="single" w:sz="8" w:color="CCEEFF"/>
              <w:bottom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w w:val="74"/>
              </w:rPr>
              <w:t>%</w:t>
            </w:r>
          </w:p>
        </w:tc>
      </w:tr>
      <w:tr>
        <w:trPr>
          <w:trHeight w:val="20"/>
        </w:trPr>
        <w:tc>
          <w:tcPr>
            <w:tcW w:w="5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9"/>
        </w:trPr>
        <w:tc>
          <w:tcPr>
            <w:tcW w:w="518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68"/>
        </w:trPr>
        <w:tc>
          <w:tcPr>
            <w:tcW w:w="5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4"/>
        </w:trPr>
        <w:tc>
          <w:tcPr>
            <w:tcW w:w="5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ind w:left="40"/>
              <w:spacing w:after="0" w:line="124" w:lineRule="exact"/>
              <w:rPr>
                <w:sz w:val="20"/>
                <w:szCs w:val="20"/>
                <w:color w:val="auto"/>
              </w:rPr>
            </w:pPr>
            <w:r>
              <w:rPr>
                <w:rFonts w:ascii="Arial" w:cs="Arial" w:eastAsia="Arial" w:hAnsi="Arial"/>
                <w:sz w:val="12"/>
                <w:szCs w:val="12"/>
                <w:b w:val="1"/>
                <w:bCs w:val="1"/>
                <w:color w:val="auto"/>
              </w:rPr>
              <w:t>As of June 30, 2020</w:t>
            </w:r>
          </w:p>
        </w:tc>
        <w:tc>
          <w:tcPr>
            <w:tcW w:w="10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16"/>
        </w:trPr>
        <w:tc>
          <w:tcPr>
            <w:tcW w:w="5180" w:type="dxa"/>
            <w:vAlign w:val="bottom"/>
          </w:tcPr>
          <w:p>
            <w:pPr>
              <w:spacing w:after="0"/>
              <w:rPr>
                <w:sz w:val="10"/>
                <w:szCs w:val="10"/>
                <w:color w:val="auto"/>
              </w:rPr>
            </w:pPr>
          </w:p>
        </w:tc>
        <w:tc>
          <w:tcPr>
            <w:tcW w:w="12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6"/>
              </w:rPr>
              <w:t>Total Production</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1"/>
        </w:trPr>
        <w:tc>
          <w:tcPr>
            <w:tcW w:w="51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7"/>
              </w:rPr>
              <w:t>Workstations</w:t>
            </w:r>
          </w:p>
        </w:tc>
        <w:tc>
          <w:tcPr>
            <w:tcW w:w="180" w:type="dxa"/>
            <w:vAlign w:val="bottom"/>
          </w:tcPr>
          <w:p>
            <w:pPr>
              <w:spacing w:after="0"/>
              <w:rPr>
                <w:sz w:val="12"/>
                <w:szCs w:val="12"/>
                <w:color w:val="auto"/>
              </w:rPr>
            </w:pP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In Use</w:t>
            </w:r>
          </w:p>
        </w:tc>
        <w:tc>
          <w:tcPr>
            <w:tcW w:w="1200" w:type="dxa"/>
            <w:vAlign w:val="bottom"/>
            <w:gridSpan w:val="2"/>
          </w:tcPr>
          <w:p>
            <w:pPr>
              <w:jc w:val="right"/>
              <w:ind w:right="266"/>
              <w:spacing w:after="0"/>
              <w:rPr>
                <w:sz w:val="20"/>
                <w:szCs w:val="20"/>
                <w:color w:val="auto"/>
              </w:rPr>
            </w:pPr>
            <w:r>
              <w:rPr>
                <w:rFonts w:ascii="Arial" w:cs="Arial" w:eastAsia="Arial" w:hAnsi="Arial"/>
                <w:sz w:val="12"/>
                <w:szCs w:val="12"/>
                <w:b w:val="1"/>
                <w:bCs w:val="1"/>
                <w:color w:val="auto"/>
              </w:rPr>
              <w:t>Utilization %</w:t>
            </w:r>
          </w:p>
        </w:tc>
      </w:tr>
      <w:tr>
        <w:trPr>
          <w:trHeight w:val="157"/>
        </w:trPr>
        <w:tc>
          <w:tcPr>
            <w:tcW w:w="51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5"/>
                <w:szCs w:val="15"/>
                <w:color w:val="auto"/>
              </w:rPr>
              <w:t>Offshore</w:t>
            </w:r>
          </w:p>
        </w:tc>
        <w:tc>
          <w:tcPr>
            <w:tcW w:w="12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6,170</w:t>
            </w:r>
          </w:p>
        </w:tc>
        <w:tc>
          <w:tcPr>
            <w:tcW w:w="1180" w:type="dxa"/>
            <w:vAlign w:val="bottom"/>
            <w:tcBorders>
              <w:top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4,453</w:t>
            </w: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72</w:t>
            </w:r>
          </w:p>
        </w:tc>
        <w:tc>
          <w:tcPr>
            <w:tcW w:w="160" w:type="dxa"/>
            <w:vAlign w:val="bottom"/>
            <w:tcBorders>
              <w:top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color w:val="auto"/>
                <w:w w:val="74"/>
              </w:rPr>
              <w:t>%</w:t>
            </w: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5"/>
                <w:szCs w:val="15"/>
                <w:color w:val="auto"/>
              </w:rPr>
              <w:t>Nearshore</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3,743</w:t>
            </w:r>
          </w:p>
        </w:tc>
        <w:tc>
          <w:tcPr>
            <w:tcW w:w="11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3,878</w:t>
            </w:r>
          </w:p>
        </w:tc>
        <w:tc>
          <w:tcPr>
            <w:tcW w:w="180" w:type="dxa"/>
            <w:vAlign w:val="bottom"/>
          </w:tcPr>
          <w:p>
            <w:pPr>
              <w:spacing w:after="0"/>
              <w:rPr>
                <w:sz w:val="14"/>
                <w:szCs w:val="14"/>
                <w:color w:val="auto"/>
              </w:rPr>
            </w:pPr>
          </w:p>
        </w:tc>
        <w:tc>
          <w:tcPr>
            <w:tcW w:w="12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104 %</w:t>
            </w:r>
          </w:p>
        </w:tc>
      </w:tr>
      <w:tr>
        <w:trPr>
          <w:trHeight w:val="166"/>
        </w:trPr>
        <w:tc>
          <w:tcPr>
            <w:tcW w:w="5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United States</w:t>
            </w:r>
          </w:p>
        </w:tc>
        <w:tc>
          <w:tcPr>
            <w:tcW w:w="12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2,513</w:t>
            </w:r>
          </w:p>
        </w:tc>
        <w:tc>
          <w:tcPr>
            <w:tcW w:w="11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2,226</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89 %</w:t>
            </w:r>
          </w:p>
        </w:tc>
      </w:tr>
      <w:tr>
        <w:trPr>
          <w:trHeight w:val="166"/>
        </w:trPr>
        <w:tc>
          <w:tcPr>
            <w:tcW w:w="5180" w:type="dxa"/>
            <w:vAlign w:val="bottom"/>
          </w:tcPr>
          <w:p>
            <w:pPr>
              <w:spacing w:after="0" w:line="166" w:lineRule="exact"/>
              <w:rPr>
                <w:sz w:val="20"/>
                <w:szCs w:val="20"/>
                <w:color w:val="auto"/>
              </w:rPr>
            </w:pPr>
            <w:r>
              <w:rPr>
                <w:rFonts w:ascii="Arial" w:cs="Arial" w:eastAsia="Arial" w:hAnsi="Arial"/>
                <w:sz w:val="13"/>
                <w:szCs w:val="13"/>
                <w:color w:val="auto"/>
              </w:rPr>
              <w:t>Rest of world</w:t>
            </w:r>
            <w:r>
              <w:rPr>
                <w:rFonts w:ascii="Arial" w:cs="Arial" w:eastAsia="Arial" w:hAnsi="Arial"/>
                <w:sz w:val="19"/>
                <w:szCs w:val="19"/>
                <w:color w:val="auto"/>
                <w:vertAlign w:val="superscript"/>
              </w:rPr>
              <w:t>(1)</w:t>
            </w:r>
          </w:p>
        </w:tc>
        <w:tc>
          <w:tcPr>
            <w:tcW w:w="1200" w:type="dxa"/>
            <w:vAlign w:val="bottom"/>
          </w:tcPr>
          <w:p>
            <w:pPr>
              <w:jc w:val="right"/>
              <w:spacing w:after="0" w:line="166" w:lineRule="exact"/>
              <w:rPr>
                <w:sz w:val="20"/>
                <w:szCs w:val="20"/>
                <w:color w:val="auto"/>
              </w:rPr>
            </w:pPr>
            <w:r>
              <w:rPr>
                <w:rFonts w:ascii="Arial" w:cs="Arial" w:eastAsia="Arial" w:hAnsi="Arial"/>
                <w:sz w:val="15"/>
                <w:szCs w:val="15"/>
                <w:color w:val="auto"/>
              </w:rPr>
              <w:t>2,430</w:t>
            </w:r>
          </w:p>
        </w:tc>
        <w:tc>
          <w:tcPr>
            <w:tcW w:w="11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1,894</w:t>
            </w:r>
          </w:p>
        </w:tc>
        <w:tc>
          <w:tcPr>
            <w:tcW w:w="180" w:type="dxa"/>
            <w:vAlign w:val="bottom"/>
          </w:tcPr>
          <w:p>
            <w:pPr>
              <w:spacing w:after="0"/>
              <w:rPr>
                <w:sz w:val="14"/>
                <w:szCs w:val="14"/>
                <w:color w:val="auto"/>
              </w:rPr>
            </w:pPr>
          </w:p>
        </w:tc>
        <w:tc>
          <w:tcPr>
            <w:tcW w:w="12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78 %</w:t>
            </w:r>
          </w:p>
        </w:tc>
      </w:tr>
      <w:tr>
        <w:trPr>
          <w:trHeight w:val="157"/>
        </w:trPr>
        <w:tc>
          <w:tcPr>
            <w:tcW w:w="518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w:t>
            </w:r>
          </w:p>
        </w:tc>
        <w:tc>
          <w:tcPr>
            <w:tcW w:w="12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14,856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12,451</w:t>
            </w: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84</w:t>
            </w:r>
          </w:p>
        </w:tc>
        <w:tc>
          <w:tcPr>
            <w:tcW w:w="160" w:type="dxa"/>
            <w:vAlign w:val="bottom"/>
            <w:tcBorders>
              <w:top w:val="single" w:sz="8" w:color="CCEEFF"/>
              <w:bottom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w w:val="74"/>
              </w:rPr>
              <w:t>%</w:t>
            </w:r>
          </w:p>
        </w:tc>
      </w:tr>
      <w:tr>
        <w:trPr>
          <w:trHeight w:val="20"/>
        </w:trPr>
        <w:tc>
          <w:tcPr>
            <w:tcW w:w="5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color w:val="auto"/>
        </w:rPr>
        <w:t>(1) Rest of world includes workstations in Pakistan, Senegal and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-106680</wp:posOffset>
            </wp:positionV>
            <wp:extent cx="556958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69585" cy="6985"/>
                    </a:xfrm>
                    <a:prstGeom prst="rect">
                      <a:avLst/>
                    </a:prstGeom>
                    <a:noFill/>
                  </pic:spPr>
                </pic:pic>
              </a:graphicData>
            </a:graphic>
          </wp:anchor>
        </w:drawing>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Workstation Seat Turns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 single workstation has the potential to be used for multiple shifts. We define Workstation Seat Turn as the average number of shifts that a workstation is used. On average, our “voice only” business operates at approximately 1.3 onsite Workstation Seat Turns while our “digital and omni-channel” business attains more than 1.6 onsite Workstation Seat Turns, resulting in a higher profitability from the digital workstation. As our integrated omni-channel business has increased, so has our overall Workstation Seat Turns.</w:t>
      </w:r>
    </w:p>
    <w:p>
      <w:pPr>
        <w:spacing w:after="0" w:line="15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Throughout fiscal year 2022, our Workstation Seat Turns were negatively impacted by the safety protocols that were necessary as a result of the Pandemic. For more information, please see “Risk Factors—The COVID-19 pandemic has adversely impacted our business and results of operations. The ultimate impact of COVID-19 and its variants on our business, financial condition and results of operations will depend on future developments which are highly uncertain and cannot be predicted at this time, including the scope and duration of the pandemic and actions taken by federal, state and local governmental authorities in the United States, governmental authorities in our international sites and our clients in response to the pandemic.”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Components of Results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Revenue</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A substantial majority of revenues in our contact center solution are based upon a price per unit of time or customer interaction. In such case, we either charge (1) a base rate per unit of time (i.e., per hour worked or per minute interacting with customers) that an agent is engaged in servicing the client’s customers or (2) an overall rate per customer interaction (i.e., price per call handled). Base rates could be adjusted up or down depending upon our performance against metrics agreed upon with each client.</w:t>
      </w:r>
    </w:p>
    <w:p>
      <w:pPr>
        <w:spacing w:after="0" w:line="151"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4"/>
          <w:szCs w:val="14"/>
          <w:color w:val="auto"/>
        </w:rPr>
        <w:t>A substantial majority of digital services revenues is generated under a fee-per-customer arrangement in which clients pay a fixed commission for each customer that we successfully acquire on their behalf. In some cases, we also receive a commission payment upon the annual renewal of that acquired customer. We also receive incentive payments upon the achievement of certain volume thresholds.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Payroll and Related Costs</w:t>
      </w:r>
    </w:p>
    <w:p>
      <w:pPr>
        <w:spacing w:after="0" w:line="168" w:lineRule="exact"/>
        <w:rPr>
          <w:sz w:val="20"/>
          <w:szCs w:val="20"/>
          <w:color w:val="auto"/>
        </w:rPr>
      </w:pPr>
    </w:p>
    <w:p>
      <w:pPr>
        <w:jc w:val="both"/>
        <w:ind w:left="40" w:right="59"/>
        <w:spacing w:after="0" w:line="237" w:lineRule="auto"/>
        <w:rPr>
          <w:sz w:val="20"/>
          <w:szCs w:val="20"/>
          <w:color w:val="auto"/>
        </w:rPr>
      </w:pPr>
      <w:r>
        <w:rPr>
          <w:rFonts w:ascii="Arial" w:cs="Arial" w:eastAsia="Arial" w:hAnsi="Arial"/>
          <w:sz w:val="15"/>
          <w:szCs w:val="15"/>
          <w:color w:val="auto"/>
        </w:rPr>
        <w:t>Payroll and related costs consist of salaries, incentive compensation and employee benefits for all employees. The majority of this category relates to personnel engaged in client-facing service delivery, including delivery center agents, supervisors and other operations personnel of a client-facing nature. These costs will generally increase in proportion to our revenue. The remaining expenses in this category relate to salaries, incentive compensation and employee benefits for full-time employees in our accounting, finance, human resources, legal, strategy, sales, marketing, client services, administrative and executive management functions. While these costs also generally increase in relation to our revenue, they do so at a lower rate and are semi-fixed in nature.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Share-based Payments</w:t>
      </w:r>
    </w:p>
    <w:p>
      <w:pPr>
        <w:spacing w:after="0" w:line="16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Share-based payments consist primarily of costs related to the issuance of equity awards under our various equity compensation plans. For further details, see “Critical Accounting Estimates and Judgments.”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Reseller Commission and Lead Expenses</w:t>
      </w:r>
    </w:p>
    <w:p>
      <w:pPr>
        <w:spacing w:after="0" w:line="168"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4"/>
          <w:szCs w:val="14"/>
          <w:color w:val="auto"/>
        </w:rPr>
        <w:t>Reseller commission and lead expenses consist of the costs of generating or purchasing leads, which are expenses directly associated with acquiring new customers. These costs will generally increase in proportion to revenues from our digital solution and are therefore variable costs. Within this solution, we either generate our own leads or purchase leads from third parties, and then use our telephone-based sales agents to convert these leads into actual sales for our clients. We are then paid by our clients upon validation and confirmation of that sale. When we generate our own leads, we often do so pursuant to an online search that results in an interested visitor on our web properties, in which case we pay the search engine provider. When we purchase leads from outside providers, we do so from companies that originate leads for a variety of marketing purposes and sell them to companies such as us. All our expenses associated either with the internal generation of leads or the purchase of leads from third party providers are classified as lead expenses.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Depreciation and Amortization</w:t>
      </w:r>
    </w:p>
    <w:p>
      <w:pPr>
        <w:spacing w:after="0" w:line="16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Depreciation and amortization relates to the depreciation of property, plant and equipment, right-of-use assets, and amortization of our software licenses and other definite lived intangibles.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Other Operating Costs</w:t>
      </w:r>
    </w:p>
    <w:p>
      <w:pPr>
        <w:spacing w:after="0" w:line="16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Other operating costs (recurring and non-recurring) including rent and utilities, telecommunication, repairs and maintenance, travel, housing, meals, local transportation, insurance, legal and professional, as well as other miscellaneous expenses. These costs will generally increase in relation to our revenue, although at a lower rate than variable expenses. This category also includes certain other expenses such as goodwill and intangibles impairment, foreign exchange gain or loss and allowance for expected credit losses.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Finance Expenses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Finance costs consist principally of interest paid on right-of-use leases and borrowings, and bank fees.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Income Tax (Expense) / Benefit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tax (expense) / benefit consists of the corporate income tax to be paid on our corporate profit, including deferred tax.</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Results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summarizes the results of our operations for the three fiscal years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124460</wp:posOffset>
            </wp:positionV>
            <wp:extent cx="56749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4995" cy="6985"/>
                    </a:xfrm>
                    <a:prstGeom prst="rect">
                      <a:avLst/>
                    </a:prstGeom>
                    <a:noFill/>
                  </pic:spPr>
                </pic:pic>
              </a:graphicData>
            </a:graphic>
          </wp:anchor>
        </w:drawing>
      </w:r>
    </w:p>
    <w:p>
      <w:pPr>
        <w:spacing w:after="0" w:line="179"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auto"/>
        </w:rPr>
        <w:t>Fiscal Year ended June 30,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24"/>
        </w:trPr>
        <w:tc>
          <w:tcPr>
            <w:tcW w:w="422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2"/>
                <w:szCs w:val="12"/>
                <w:i w:val="1"/>
                <w:iCs w:val="1"/>
                <w:color w:val="auto"/>
              </w:rPr>
              <w:t>US$ in thousands</w:t>
            </w:r>
          </w:p>
        </w:tc>
        <w:tc>
          <w:tcPr>
            <w:tcW w:w="1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67"/>
              <w:spacing w:after="0" w:line="124" w:lineRule="exact"/>
              <w:rPr>
                <w:sz w:val="20"/>
                <w:szCs w:val="20"/>
                <w:color w:val="auto"/>
              </w:rPr>
            </w:pPr>
            <w:r>
              <w:rPr>
                <w:rFonts w:ascii="Arial" w:cs="Arial" w:eastAsia="Arial" w:hAnsi="Arial"/>
                <w:sz w:val="12"/>
                <w:szCs w:val="12"/>
                <w:b w:val="1"/>
                <w:bCs w:val="1"/>
                <w:color w:val="auto"/>
              </w:rPr>
              <w:t>2022</w:t>
            </w: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87"/>
              <w:spacing w:after="0" w:line="124"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67"/>
              <w:spacing w:after="0" w:line="124"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5"/>
                <w:szCs w:val="15"/>
                <w:color w:val="auto"/>
              </w:rPr>
              <w:t>Revenue</w:t>
            </w:r>
          </w:p>
        </w:tc>
        <w:tc>
          <w:tcPr>
            <w:tcW w:w="1780" w:type="dxa"/>
            <w:vAlign w:val="bottom"/>
            <w:tcBorders>
              <w:top w:val="single" w:sz="8" w:color="auto"/>
            </w:tcBorders>
            <w:gridSpan w:val="2"/>
            <w:shd w:val="clear" w:color="auto" w:fill="CCEEFF"/>
          </w:tcPr>
          <w:p>
            <w:pPr>
              <w:jc w:val="right"/>
              <w:ind w:right="46"/>
              <w:spacing w:after="0" w:line="157"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493,572</w:t>
            </w:r>
          </w:p>
        </w:tc>
        <w:tc>
          <w:tcPr>
            <w:tcW w:w="380" w:type="dxa"/>
            <w:vAlign w:val="bottom"/>
            <w:tcBorders>
              <w:top w:val="single" w:sz="8" w:color="auto"/>
            </w:tcBorders>
            <w:gridSpan w:val="2"/>
            <w:shd w:val="clear" w:color="auto" w:fill="CCEEFF"/>
          </w:tcPr>
          <w:p>
            <w:pPr>
              <w:jc w:val="right"/>
              <w:ind w:right="93"/>
              <w:spacing w:after="0" w:line="157"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443,662</w:t>
            </w:r>
          </w:p>
        </w:tc>
        <w:tc>
          <w:tcPr>
            <w:tcW w:w="360" w:type="dxa"/>
            <w:vAlign w:val="bottom"/>
            <w:tcBorders>
              <w:top w:val="single" w:sz="8" w:color="auto"/>
            </w:tcBorders>
            <w:gridSpan w:val="2"/>
            <w:shd w:val="clear" w:color="auto" w:fill="CCEEFF"/>
          </w:tcPr>
          <w:p>
            <w:pPr>
              <w:jc w:val="right"/>
              <w:ind w:right="46"/>
              <w:spacing w:after="0" w:line="157"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405,135</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Payroll and related costs</w:t>
            </w: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342,139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296,799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276,255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0" w:type="dxa"/>
            <w:vAlign w:val="bottom"/>
          </w:tcPr>
          <w:p>
            <w:pPr>
              <w:spacing w:after="0" w:line="166" w:lineRule="exact"/>
              <w:rPr>
                <w:sz w:val="20"/>
                <w:szCs w:val="20"/>
                <w:color w:val="auto"/>
              </w:rPr>
            </w:pPr>
            <w:r>
              <w:rPr>
                <w:rFonts w:ascii="Arial" w:cs="Arial" w:eastAsia="Arial" w:hAnsi="Arial"/>
                <w:sz w:val="15"/>
                <w:szCs w:val="15"/>
                <w:color w:val="auto"/>
              </w:rPr>
              <w:t>Share-based payments</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1,851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4,521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Reseller commission and lead expenses</w:t>
            </w: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12,908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13,749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17,328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0" w:type="dxa"/>
            <w:vAlign w:val="bottom"/>
          </w:tcPr>
          <w:p>
            <w:pPr>
              <w:spacing w:after="0" w:line="166" w:lineRule="exact"/>
              <w:rPr>
                <w:sz w:val="20"/>
                <w:szCs w:val="20"/>
                <w:color w:val="auto"/>
              </w:rPr>
            </w:pPr>
            <w:r>
              <w:rPr>
                <w:rFonts w:ascii="Arial" w:cs="Arial" w:eastAsia="Arial" w:hAnsi="Arial"/>
                <w:sz w:val="15"/>
                <w:szCs w:val="15"/>
                <w:color w:val="auto"/>
              </w:rPr>
              <w:t>Depreciation and amortization</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34,179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28,197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24,472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Fair value adjustment</w:t>
            </w: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(2,310)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9,732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3,138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Other operating costs</w:t>
            </w:r>
          </w:p>
        </w:tc>
        <w:tc>
          <w:tcPr>
            <w:tcW w:w="1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75,005</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76,865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64,070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Income from operations</w:t>
            </w:r>
          </w:p>
        </w:tc>
        <w:tc>
          <w:tcPr>
            <w:tcW w:w="15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6"/>
              <w:spacing w:after="0" w:line="157" w:lineRule="exact"/>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29,800</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13,799</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6"/>
              <w:spacing w:after="0" w:line="157" w:lineRule="exact"/>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19,513</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Finance expenses</w:t>
            </w:r>
          </w:p>
        </w:tc>
        <w:tc>
          <w:tcPr>
            <w:tcW w:w="15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(8,797)</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(9,034)</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(9,428)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Pr>
          <w:p>
            <w:pPr>
              <w:spacing w:after="0" w:line="157" w:lineRule="exact"/>
              <w:rPr>
                <w:sz w:val="20"/>
                <w:szCs w:val="20"/>
                <w:color w:val="auto"/>
              </w:rPr>
            </w:pPr>
            <w:r>
              <w:rPr>
                <w:rFonts w:ascii="Arial" w:cs="Arial" w:eastAsia="Arial" w:hAnsi="Arial"/>
                <w:sz w:val="15"/>
                <w:szCs w:val="15"/>
                <w:b w:val="1"/>
                <w:bCs w:val="1"/>
                <w:color w:val="auto"/>
              </w:rPr>
              <w:t>Income before taxation</w:t>
            </w:r>
          </w:p>
        </w:tc>
        <w:tc>
          <w:tcPr>
            <w:tcW w:w="1580" w:type="dxa"/>
            <w:vAlign w:val="bottom"/>
          </w:tcPr>
          <w:p>
            <w:pPr>
              <w:spacing w:after="0"/>
              <w:rPr>
                <w:sz w:val="13"/>
                <w:szCs w:val="13"/>
                <w:color w:val="auto"/>
              </w:rPr>
            </w:pPr>
          </w:p>
        </w:tc>
        <w:tc>
          <w:tcPr>
            <w:tcW w:w="200" w:type="dxa"/>
            <w:vAlign w:val="bottom"/>
          </w:tcPr>
          <w:p>
            <w:pPr>
              <w:jc w:val="right"/>
              <w:ind w:right="46"/>
              <w:spacing w:after="0" w:line="157" w:lineRule="exact"/>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21,003</w:t>
            </w:r>
          </w:p>
        </w:tc>
        <w:tc>
          <w:tcPr>
            <w:tcW w:w="180" w:type="dxa"/>
            <w:vAlign w:val="bottom"/>
          </w:tcPr>
          <w:p>
            <w:pPr>
              <w:spacing w:after="0"/>
              <w:rPr>
                <w:sz w:val="13"/>
                <w:szCs w:val="13"/>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4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4,765</w:t>
            </w:r>
          </w:p>
        </w:tc>
        <w:tc>
          <w:tcPr>
            <w:tcW w:w="160" w:type="dxa"/>
            <w:vAlign w:val="bottom"/>
          </w:tcPr>
          <w:p>
            <w:pPr>
              <w:spacing w:after="0"/>
              <w:rPr>
                <w:sz w:val="13"/>
                <w:szCs w:val="13"/>
                <w:color w:val="auto"/>
              </w:rPr>
            </w:pPr>
          </w:p>
        </w:tc>
        <w:tc>
          <w:tcPr>
            <w:tcW w:w="200" w:type="dxa"/>
            <w:vAlign w:val="bottom"/>
          </w:tcPr>
          <w:p>
            <w:pPr>
              <w:jc w:val="right"/>
              <w:ind w:right="46"/>
              <w:spacing w:after="0" w:line="157" w:lineRule="exact"/>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10,085</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0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Income tax benefit / (expense)</w:t>
            </w:r>
          </w:p>
        </w:tc>
        <w:tc>
          <w:tcPr>
            <w:tcW w:w="1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1,987</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(1,918)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(2,315)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Net income for the year</w:t>
            </w:r>
          </w:p>
        </w:tc>
        <w:tc>
          <w:tcPr>
            <w:tcW w:w="1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6"/>
              <w:spacing w:after="0" w:line="157"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22,990</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2,847</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6"/>
              <w:spacing w:after="0" w:line="157" w:lineRule="exact"/>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7,770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Fiscal Years Ended June 30, 2022 and 2021</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Revenue</w:t>
      </w:r>
    </w:p>
    <w:p>
      <w:pPr>
        <w:spacing w:after="0" w:line="170" w:lineRule="exact"/>
        <w:rPr>
          <w:sz w:val="20"/>
          <w:szCs w:val="20"/>
          <w:color w:val="auto"/>
        </w:rPr>
      </w:pPr>
    </w:p>
    <w:p>
      <w:pPr>
        <w:jc w:val="both"/>
        <w:ind w:left="40" w:right="39"/>
        <w:spacing w:after="0" w:line="253" w:lineRule="auto"/>
        <w:rPr>
          <w:sz w:val="20"/>
          <w:szCs w:val="20"/>
          <w:color w:val="auto"/>
        </w:rPr>
      </w:pPr>
      <w:r>
        <w:rPr>
          <w:rFonts w:ascii="Arial" w:cs="Arial" w:eastAsia="Arial" w:hAnsi="Arial"/>
          <w:sz w:val="14"/>
          <w:szCs w:val="14"/>
          <w:color w:val="auto"/>
        </w:rPr>
        <w:t>Our revenue was $493.6 million in fiscal year 2022, an increase of $ 49.9 million, or 11.2%, compared to the prior year. Since our shift to the digital-first marketplace in fiscal year 2016, the clients we have won now make up more than $342 million, or 69%, of our current revenues. We partner with approximately 70% of these clients to provide integrated omni-channel solutions which we believe make our relationships with them stronger and more defensible. Our global operational excellence and client-first focus has yielded a 49% annual revenue growth rate over fiscal year 2021 for these clients. We won 23 new clients during the year, primarily in the Retail and E-Commerce, FinTech and HealthTech verticals. New clients launched in fiscal year 2022 contributed approximately $49 million of revenue in the year, and on average, clients won in the current year typically contribute approximately 2.0 to 3.5 times more revenue over the next two years. Our client concentration continues to improve. In the fiscal year ended June 30, 2022, our top five clients represented 39% of overall revenue, down from 50% in the prior year. By vertical market, Retail and E-Commerce increased to 19.4% of</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annual revenue, compared to 18.0% in the prior year. FinTech and HealthTech, where we made strategic investments in early fiscal year 2020, increased significantly to 26.0% of annual revenue in the current year, compared to 14.6% in fiscal year 2021. Conversely, telecommunications decreased to 18.1% of annual revenue, compared to 29.3% in the prior year.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incurred costs related to COVID-19 of approximately $3.4 million ($1.6 million non-recurring, as defined below) and $13 million ($8.3 million non-recurring, as defined below), in fiscal years 2022 and 2021, respectively, for employee health, safety and wellness to help identify, slow and stop the spread of the virus in our facilities, including local transportation for our employees to and from our facilities, rapid testing, company-paid vaccinations, high-grade disinfection of our CX delivery centers, and appropriate social distancing measures. Non-recurring costs are defined as those that are expected to end once the Pandemic operating restrictions are lifted by local governments.</w:t>
      </w:r>
    </w:p>
    <w:p>
      <w:pPr>
        <w:spacing w:after="0" w:line="15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Total operating expenses were $463.8 million in fiscal year 2022, an increase of $33.9 million, or 7.9%, compared to last year. The increase in operating expenses was primarily due to an increase in payroll and related costs by $45.3 million and an increase in depreciation and amortization of $6.0 million, partially offset by a decrease in the fair value adjustment related to the Amazon warrant of $12.0 million, a decrease in share-based payments of $2.7 million, a decrease in other operating expenses by $1.9 million, and a decrease in reseller commissions and lead expenses by $0.8 million.</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Payroll and related costs were $342.1 million in fiscal year 2022, an increase of $45.3 million, or 15.3%, compared to the prior year. As a percent of revenue, payroll costs increased to 69.3% compared to 66.9% in the prior year. This percentage increase was primarily driven by upfront costs associated with ramping new clients during the year.</w:t>
      </w:r>
    </w:p>
    <w:p>
      <w:pPr>
        <w:spacing w:after="0" w:line="146" w:lineRule="exact"/>
        <w:rPr>
          <w:sz w:val="20"/>
          <w:szCs w:val="20"/>
          <w:color w:val="auto"/>
        </w:rPr>
      </w:pPr>
    </w:p>
    <w:p>
      <w:pPr>
        <w:jc w:val="both"/>
        <w:ind w:left="40" w:right="39"/>
        <w:spacing w:after="0" w:line="295" w:lineRule="auto"/>
        <w:rPr>
          <w:sz w:val="20"/>
          <w:szCs w:val="20"/>
          <w:color w:val="auto"/>
        </w:rPr>
      </w:pPr>
      <w:r>
        <w:rPr>
          <w:rFonts w:ascii="Arial" w:cs="Arial" w:eastAsia="Arial" w:hAnsi="Arial"/>
          <w:sz w:val="14"/>
          <w:szCs w:val="14"/>
          <w:color w:val="auto"/>
        </w:rPr>
        <w:t>Share-based payment expense were $1.9 million in the fiscal year ended June 30, 2022, a decrease of $2.7 million, compared to the prior year. The decrease was primarily related to higher share based payment expense in the prior year due to the initial public offering.</w:t>
      </w:r>
    </w:p>
    <w:p>
      <w:pPr>
        <w:spacing w:after="0" w:line="11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Reseller commissions and lead expenses were $12.9 million in the fiscal year ended June 30, 2022, a decrease of $0.8 million, or 6.1%, compared to the prior year. The decrease was primarily due to lower year over year revenue associated with this expense.</w:t>
      </w:r>
    </w:p>
    <w:p>
      <w:pPr>
        <w:spacing w:after="0" w:line="135"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Depreciation and amortization expense increased $ 6.0 million (including a decrease in right-of-use depreciation of $0.2 million), or 21.2%, to $34.2 million in the current year compared to the prior year. The increase in depreciation and amortization was related to the expansion of existing and opening of new delivery centers primarily in the nearshore region. As a percentage of revenue, depreciation and amortization expense has increased slightly, to 6.9% in the current year compared to 6.4% in the prior year, as we have expanded capacity to meet the growing demand in our revenue pipeline.</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decrease in the fair value adjustment related to the Amazon warrant was directly related to the decrease in the Company’s stock price compared to the prior year.</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$1.9 million decrease in other operating costs was primarily attributable to a $7.8 million decrease in non-recurring costs primarily due to lower local transportation expenses related to COVID-19, a $1.1 million reversal of bad debt expense on collected receivables that had been previously reserved, offset by $4.2 million in additional facilities expenses related to new delivery centers, $1.8 million related to additional investments in technology, and $0.9 million in additional travel primarily due to the lifting of COVID-19 restrictions.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Income from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from operations was $29.8 million compared to $13.8 million in the fiscal year ended June 30, 2021.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increase was primarily due to lower non-recurring costs related to COVID-19, a positive impact from the fair value adjustment related to the Amazon warrant, and a decrease in share-based payments expense, offset by higher depreciation and amortization related to our capacity expansion over the last two years.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Finance Expenses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Finance expenses were $8.8 million in the fiscal year ended June 30, 2022, a decrease of $0.2 million compared to the same period in 2021, primarily due to a decrease in interest on borrowings partially offset by higher interest on lease liabilities.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Income Tax Benefit / (Expense)</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Income tax benefit was $2.0 million in fiscal year ended June 30, 2022, a decrease of $3.9 million compared to the $1.9 million income tax expense in the prior year, primarily due to a tax restructuring that allowed the Company to recognize approximately $4.0 million in tax benefits from previously unrecognized net operating losses.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Net income for the year</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a result of the factors described above, net income for the year was $23.0 million in the fiscal year ended June 30, 2022, an increase of $20.1 million, compared to $2.8 million in the prior year.</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Comparison of the Fiscal Years Ended June 30, 2021 and 2020</w:t>
      </w:r>
    </w:p>
    <w:p>
      <w:pPr>
        <w:spacing w:after="0" w:line="159"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 comparison of fiscal years 2021 and 2020 can be found in “Item 5.A—Operating Results” in our Annual Report on Form 20-F for the fiscal year ended June 30, 2021, which was filed with the SEC on October 14, 2021.</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Non-GAAP Financial Measures</w:t>
      </w:r>
    </w:p>
    <w:p>
      <w:pPr>
        <w:spacing w:after="0" w:line="170" w:lineRule="exact"/>
        <w:rPr>
          <w:sz w:val="20"/>
          <w:szCs w:val="20"/>
          <w:color w:val="auto"/>
        </w:rPr>
      </w:pPr>
    </w:p>
    <w:p>
      <w:pPr>
        <w:jc w:val="both"/>
        <w:ind w:left="40" w:right="39"/>
        <w:spacing w:after="0" w:line="252" w:lineRule="auto"/>
        <w:rPr>
          <w:sz w:val="20"/>
          <w:szCs w:val="20"/>
          <w:color w:val="auto"/>
        </w:rPr>
      </w:pPr>
      <w:r>
        <w:rPr>
          <w:rFonts w:ascii="Arial" w:cs="Arial" w:eastAsia="Arial" w:hAnsi="Arial"/>
          <w:sz w:val="14"/>
          <w:szCs w:val="14"/>
          <w:color w:val="auto"/>
        </w:rPr>
        <w:t>We present non-GAAP financial measures because we believe that they and other similar measures are widely used by certain investors, securities analysts and other interested parties as supplemental measures of performance and liquidity. We also use these measures internally to establish forecasts, budgets and operational goals to manage and monitor our business, as well as evaluate our underlying historical performance, as we believe that these non-GAAP financial measures provide a more accurate depiction of our performance of the business by encompassing only relevant and manageable events, enabling us to evaluate and plan more effectively for the future. The non-GAAP financial measures may not be comparable to other similarly titled measures of other companies, have limitations as analytical tools, and should not be considered in isolation or as a substitute for analysis of our operating results as reported under IFRS as issued by the IASB. Non-GAAP financial measures and ratios are not measurements of our performance, financial condition or liquidity under IFRS as issued by the IASB and should not be considered as alternatives to operating profit or net income / (loss) or as alternatives to cash flow from operating, investing or financing activities for the period, or any other performance measures, derived in accordance with IFRS as issued by the IASB or any other generally accepted accounting principles.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Adjusted net income and pro forma adjusted earnings per share</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4"/>
          <w:szCs w:val="14"/>
          <w:color w:val="auto"/>
        </w:rPr>
        <w:t>We define “adjusted net income” as net income before the effect of the following items: non-recurring expenses (including severance expense, litigation and settlement expenses, costs related to COVID-19, and listing costs, as applicable), amortization of warrant asset, foreign currency translation gains or losses, fair value measurement of share warrants, share-based payments, gain or loss on disposal of fixed assets and/or lease terminations, and impairment of intangibles, as applicable, net of the tax impact of such adjustments.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use adjusted net income and pro forma adjusted earnings per share internally to establish forecasts, budgets and operational goals to manage and monitor our business, as well as evaluate our underlying historical performance. We believe that adjusted net income and pro forma adjusted earnings per share are meaningful indicators of performance as it reflects what we believe is closer to the actual results of our business performance by removing items that we believe are not reflective of our underlying business. We also believe that adjusted net income and pro forma adjusted earnings per share may be widely used by investors, securities analysts and other interested parties as a supplemental measure of performance.</w:t>
      </w:r>
    </w:p>
    <w:p>
      <w:pPr>
        <w:spacing w:after="0" w:line="184"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Adjusted net income and pro forma adjusted earnings per share may not be comparable to other similarly titled measures of other companies and has limitations as an analytical tool and should not be considered in isolation or as a substitute for analysis of our operating results as reported under IFRS as issued by the IASB. Because of these limitations, you should consider adjusted net income and pro forma adjusted earnings per share in conjunction with other IFRS-based financial performance measures, including net income from operations, net income, and our other IFRS financial results.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provides a reconciliation of net income to adjusted net income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124460</wp:posOffset>
            </wp:positionV>
            <wp:extent cx="564705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7055" cy="13970"/>
                    </a:xfrm>
                    <a:prstGeom prst="rect">
                      <a:avLst/>
                    </a:prstGeom>
                    <a:noFill/>
                  </pic:spPr>
                </pic:pic>
              </a:graphicData>
            </a:graphic>
          </wp:anchor>
        </w:drawing>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jc w:val="right"/>
              <w:ind w:right="501"/>
              <w:spacing w:after="0"/>
              <w:rPr>
                <w:sz w:val="20"/>
                <w:szCs w:val="20"/>
                <w:color w:val="auto"/>
              </w:rPr>
            </w:pPr>
            <w:r>
              <w:rPr>
                <w:rFonts w:ascii="Calibri" w:cs="Calibri" w:eastAsia="Calibri" w:hAnsi="Calibri"/>
                <w:sz w:val="12"/>
                <w:szCs w:val="12"/>
                <w:b w:val="1"/>
                <w:bCs w:val="1"/>
                <w:color w:val="auto"/>
              </w:rPr>
              <w:t>Year ended June 30,</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95"/>
        </w:trPr>
        <w:tc>
          <w:tcPr>
            <w:tcW w:w="3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w w:val="98"/>
              </w:rPr>
              <w:t>2022</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
              <w:spacing w:after="0"/>
              <w:rPr>
                <w:sz w:val="20"/>
                <w:szCs w:val="20"/>
                <w:color w:val="auto"/>
              </w:rPr>
            </w:pPr>
            <w:r>
              <w:rPr>
                <w:rFonts w:ascii="Calibri" w:cs="Calibri" w:eastAsia="Calibri" w:hAnsi="Calibri"/>
                <w:sz w:val="12"/>
                <w:szCs w:val="12"/>
                <w:b w:val="1"/>
                <w:bCs w:val="1"/>
                <w:color w:val="auto"/>
              </w:rPr>
              <w:t>2021</w:t>
            </w:r>
          </w:p>
        </w:tc>
        <w:tc>
          <w:tcPr>
            <w:tcW w:w="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1"/>
              <w:spacing w:after="0"/>
              <w:rPr>
                <w:sz w:val="20"/>
                <w:szCs w:val="20"/>
                <w:color w:val="auto"/>
              </w:rPr>
            </w:pPr>
            <w:r>
              <w:rPr>
                <w:rFonts w:ascii="Calibri" w:cs="Calibri" w:eastAsia="Calibri" w:hAnsi="Calibri"/>
                <w:sz w:val="12"/>
                <w:szCs w:val="12"/>
                <w:b w:val="1"/>
                <w:bCs w:val="1"/>
                <w:color w:val="auto"/>
              </w:rPr>
              <w:t>2020</w:t>
            </w: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33"/>
        </w:trPr>
        <w:tc>
          <w:tcPr>
            <w:tcW w:w="3180" w:type="dxa"/>
            <w:vAlign w:val="bottom"/>
          </w:tcPr>
          <w:p>
            <w:pPr>
              <w:ind w:left="20"/>
              <w:spacing w:after="0" w:line="133" w:lineRule="exact"/>
              <w:rPr>
                <w:sz w:val="20"/>
                <w:szCs w:val="20"/>
                <w:color w:val="auto"/>
              </w:rPr>
            </w:pPr>
            <w:r>
              <w:rPr>
                <w:rFonts w:ascii="Calibri" w:cs="Calibri" w:eastAsia="Calibri" w:hAnsi="Calibri"/>
                <w:sz w:val="12"/>
                <w:szCs w:val="12"/>
                <w:i w:val="1"/>
                <w:iCs w:val="1"/>
                <w:color w:val="auto"/>
              </w:rPr>
              <w:t>US$ in thousands, except share and per share amounts,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57"/>
        </w:trPr>
        <w:tc>
          <w:tcPr>
            <w:tcW w:w="3180" w:type="dxa"/>
            <w:vAlign w:val="bottom"/>
            <w:tcBorders>
              <w:bottom w:val="single" w:sz="8" w:color="auto"/>
            </w:tcBorders>
          </w:tcPr>
          <w:p>
            <w:pPr>
              <w:ind w:left="20"/>
              <w:spacing w:after="0" w:line="138" w:lineRule="exact"/>
              <w:rPr>
                <w:sz w:val="20"/>
                <w:szCs w:val="20"/>
                <w:color w:val="auto"/>
              </w:rPr>
            </w:pPr>
            <w:r>
              <w:rPr>
                <w:rFonts w:ascii="Calibri" w:cs="Calibri" w:eastAsia="Calibri" w:hAnsi="Calibri"/>
                <w:sz w:val="12"/>
                <w:szCs w:val="12"/>
                <w:i w:val="1"/>
                <w:iCs w:val="1"/>
                <w:color w:val="auto"/>
              </w:rPr>
              <w:t>unaudited</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1"/>
              <w:spacing w:after="0" w:line="138" w:lineRule="exact"/>
              <w:rPr>
                <w:sz w:val="20"/>
                <w:szCs w:val="20"/>
                <w:color w:val="auto"/>
              </w:rPr>
            </w:pPr>
            <w:r>
              <w:rPr>
                <w:rFonts w:ascii="Calibri" w:cs="Calibri" w:eastAsia="Calibri" w:hAnsi="Calibri"/>
                <w:sz w:val="12"/>
                <w:szCs w:val="12"/>
                <w:b w:val="1"/>
                <w:bCs w:val="1"/>
                <w:color w:val="auto"/>
              </w:rPr>
              <w:t>Amount</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
              <w:spacing w:after="0" w:line="138" w:lineRule="exact"/>
              <w:rPr>
                <w:sz w:val="20"/>
                <w:szCs w:val="20"/>
                <w:color w:val="auto"/>
              </w:rPr>
            </w:pPr>
            <w:r>
              <w:rPr>
                <w:rFonts w:ascii="Calibri" w:cs="Calibri" w:eastAsia="Calibri" w:hAnsi="Calibri"/>
                <w:sz w:val="12"/>
                <w:szCs w:val="12"/>
                <w:b w:val="1"/>
                <w:bCs w:val="1"/>
                <w:color w:val="auto"/>
              </w:rPr>
              <w:t>Per Share</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1"/>
              <w:spacing w:after="0" w:line="138" w:lineRule="exact"/>
              <w:rPr>
                <w:sz w:val="20"/>
                <w:szCs w:val="20"/>
                <w:color w:val="auto"/>
              </w:rPr>
            </w:pPr>
            <w:r>
              <w:rPr>
                <w:rFonts w:ascii="Calibri" w:cs="Calibri" w:eastAsia="Calibri" w:hAnsi="Calibri"/>
                <w:sz w:val="12"/>
                <w:szCs w:val="12"/>
                <w:b w:val="1"/>
                <w:bCs w:val="1"/>
                <w:color w:val="auto"/>
              </w:rPr>
              <w:t>Amount</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1"/>
              <w:spacing w:after="0" w:line="138" w:lineRule="exact"/>
              <w:rPr>
                <w:sz w:val="20"/>
                <w:szCs w:val="20"/>
                <w:color w:val="auto"/>
              </w:rPr>
            </w:pPr>
            <w:r>
              <w:rPr>
                <w:rFonts w:ascii="Calibri" w:cs="Calibri" w:eastAsia="Calibri" w:hAnsi="Calibri"/>
                <w:sz w:val="12"/>
                <w:szCs w:val="12"/>
                <w:b w:val="1"/>
                <w:bCs w:val="1"/>
                <w:color w:val="auto"/>
              </w:rPr>
              <w:t>Per Share</w:t>
            </w:r>
          </w:p>
        </w:tc>
        <w:tc>
          <w:tcPr>
            <w:tcW w:w="800" w:type="dxa"/>
            <w:vAlign w:val="bottom"/>
            <w:tcBorders>
              <w:bottom w:val="single" w:sz="8" w:color="auto"/>
            </w:tcBorders>
          </w:tcPr>
          <w:p>
            <w:pPr>
              <w:jc w:val="right"/>
              <w:ind w:right="121"/>
              <w:spacing w:after="0" w:line="138" w:lineRule="exact"/>
              <w:rPr>
                <w:sz w:val="20"/>
                <w:szCs w:val="20"/>
                <w:color w:val="auto"/>
              </w:rPr>
            </w:pPr>
            <w:r>
              <w:rPr>
                <w:rFonts w:ascii="Calibri" w:cs="Calibri" w:eastAsia="Calibri" w:hAnsi="Calibri"/>
                <w:sz w:val="12"/>
                <w:szCs w:val="12"/>
                <w:b w:val="1"/>
                <w:bCs w:val="1"/>
                <w:color w:val="auto"/>
              </w:rPr>
              <w:t>Amount</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1"/>
              <w:spacing w:after="0" w:line="138" w:lineRule="exact"/>
              <w:rPr>
                <w:sz w:val="20"/>
                <w:szCs w:val="20"/>
                <w:color w:val="auto"/>
              </w:rPr>
            </w:pPr>
            <w:r>
              <w:rPr>
                <w:rFonts w:ascii="Calibri" w:cs="Calibri" w:eastAsia="Calibri" w:hAnsi="Calibri"/>
                <w:sz w:val="12"/>
                <w:szCs w:val="12"/>
                <w:b w:val="1"/>
                <w:bCs w:val="1"/>
                <w:color w:val="auto"/>
              </w:rPr>
              <w:t>Per Share</w:t>
            </w:r>
          </w:p>
        </w:tc>
        <w:tc>
          <w:tcPr>
            <w:tcW w:w="280" w:type="dxa"/>
            <w:vAlign w:val="bottom"/>
            <w:tcBorders>
              <w:bottom w:val="single" w:sz="8" w:color="auto"/>
            </w:tcBorders>
          </w:tcPr>
          <w:p>
            <w:pPr>
              <w:spacing w:after="0"/>
              <w:rPr>
                <w:sz w:val="13"/>
                <w:szCs w:val="13"/>
                <w:color w:val="auto"/>
              </w:rPr>
            </w:pPr>
          </w:p>
        </w:tc>
      </w:tr>
      <w:tr>
        <w:trPr>
          <w:trHeight w:val="157"/>
        </w:trPr>
        <w:tc>
          <w:tcPr>
            <w:tcW w:w="31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2"/>
                <w:szCs w:val="12"/>
                <w:b w:val="1"/>
                <w:bCs w:val="1"/>
                <w:color w:val="auto"/>
              </w:rPr>
              <w:t>Net income</w:t>
            </w:r>
          </w:p>
        </w:tc>
        <w:tc>
          <w:tcPr>
            <w:tcW w:w="200" w:type="dxa"/>
            <w:vAlign w:val="bottom"/>
            <w:tcBorders>
              <w:bottom w:val="single" w:sz="8" w:color="CCEEFF"/>
            </w:tcBorders>
            <w:shd w:val="clear" w:color="auto" w:fill="CCEEFF"/>
          </w:tcPr>
          <w:p>
            <w:pPr>
              <w:jc w:val="right"/>
              <w:ind w:right="87"/>
              <w:spacing w:after="0"/>
              <w:rPr>
                <w:sz w:val="20"/>
                <w:szCs w:val="20"/>
                <w:color w:val="auto"/>
              </w:rPr>
            </w:pPr>
            <w:r>
              <w:rPr>
                <w:rFonts w:ascii="Calibri" w:cs="Calibri" w:eastAsia="Calibri" w:hAnsi="Calibri"/>
                <w:sz w:val="11"/>
                <w:szCs w:val="11"/>
                <w:b w:val="1"/>
                <w:bCs w:val="1"/>
                <w:color w:val="auto"/>
                <w:w w:val="70"/>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b w:val="1"/>
                <w:bCs w:val="1"/>
                <w:color w:val="auto"/>
              </w:rPr>
              <w:t>22,990</w:t>
            </w: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Calibri" w:cs="Calibri" w:eastAsia="Calibri" w:hAnsi="Calibri"/>
                <w:sz w:val="12"/>
                <w:szCs w:val="12"/>
                <w:b w:val="1"/>
                <w:bCs w:val="1"/>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Calibri" w:cs="Calibri" w:eastAsia="Calibri" w:hAnsi="Calibri"/>
                <w:sz w:val="12"/>
                <w:szCs w:val="12"/>
                <w:b w:val="1"/>
                <w:bCs w:val="1"/>
                <w:color w:val="auto"/>
              </w:rPr>
              <w:t>1.26</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Calibri" w:cs="Calibri" w:eastAsia="Calibri" w:hAnsi="Calibri"/>
                <w:sz w:val="12"/>
                <w:szCs w:val="12"/>
                <w:b w:val="1"/>
                <w:bCs w:val="1"/>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Calibri" w:cs="Calibri" w:eastAsia="Calibri" w:hAnsi="Calibri"/>
                <w:sz w:val="12"/>
                <w:szCs w:val="12"/>
                <w:b w:val="1"/>
                <w:bCs w:val="1"/>
                <w:color w:val="auto"/>
              </w:rPr>
              <w:t>2,847</w:t>
            </w:r>
          </w:p>
        </w:tc>
        <w:tc>
          <w:tcPr>
            <w:tcW w:w="160" w:type="dxa"/>
            <w:vAlign w:val="bottom"/>
            <w:tcBorders>
              <w:bottom w:val="single" w:sz="8" w:color="CCEEFF"/>
            </w:tcBorders>
            <w:shd w:val="clear" w:color="auto" w:fill="CCEEFF"/>
          </w:tcPr>
          <w:p>
            <w:pPr>
              <w:jc w:val="right"/>
              <w:ind w:right="1"/>
              <w:spacing w:after="0"/>
              <w:rPr>
                <w:sz w:val="20"/>
                <w:szCs w:val="20"/>
                <w:color w:val="auto"/>
              </w:rPr>
            </w:pPr>
            <w:r>
              <w:rPr>
                <w:rFonts w:ascii="Calibri" w:cs="Calibri" w:eastAsia="Calibri" w:hAnsi="Calibri"/>
                <w:sz w:val="12"/>
                <w:szCs w:val="12"/>
                <w:b w:val="1"/>
                <w:bCs w:val="1"/>
                <w:color w:val="auto"/>
              </w:rPr>
              <w:t>$</w:t>
            </w:r>
          </w:p>
        </w:tc>
        <w:tc>
          <w:tcPr>
            <w:tcW w:w="840" w:type="dxa"/>
            <w:vAlign w:val="bottom"/>
            <w:tcBorders>
              <w:bottom w:val="single" w:sz="8" w:color="CCEEFF"/>
            </w:tcBorders>
            <w:shd w:val="clear" w:color="auto" w:fill="CCEEFF"/>
          </w:tcPr>
          <w:p>
            <w:pPr>
              <w:jc w:val="right"/>
              <w:ind w:right="221"/>
              <w:spacing w:after="0"/>
              <w:rPr>
                <w:sz w:val="20"/>
                <w:szCs w:val="20"/>
                <w:color w:val="auto"/>
              </w:rPr>
            </w:pPr>
            <w:r>
              <w:rPr>
                <w:rFonts w:ascii="Calibri" w:cs="Calibri" w:eastAsia="Calibri" w:hAnsi="Calibri"/>
                <w:sz w:val="12"/>
                <w:szCs w:val="12"/>
                <w:b w:val="1"/>
                <w:bCs w:val="1"/>
                <w:color w:val="auto"/>
              </w:rPr>
              <w:t>0.16</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Calibri" w:cs="Calibri" w:eastAsia="Calibri" w:hAnsi="Calibri"/>
                <w:sz w:val="12"/>
                <w:szCs w:val="12"/>
                <w:b w:val="1"/>
                <w:bCs w:val="1"/>
                <w:color w:val="auto"/>
              </w:rPr>
              <w:t>7,770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2"/>
                <w:szCs w:val="12"/>
                <w:b w:val="1"/>
                <w:bCs w:val="1"/>
                <w:color w:val="auto"/>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Calibri" w:cs="Calibri" w:eastAsia="Calibri" w:hAnsi="Calibri"/>
                <w:sz w:val="12"/>
                <w:szCs w:val="12"/>
                <w:b w:val="1"/>
                <w:bCs w:val="1"/>
                <w:color w:val="auto"/>
              </w:rPr>
              <w:t>0.60</w:t>
            </w:r>
          </w:p>
        </w:tc>
        <w:tc>
          <w:tcPr>
            <w:tcW w:w="280" w:type="dxa"/>
            <w:vAlign w:val="bottom"/>
            <w:tcBorders>
              <w:bottom w:val="single" w:sz="8" w:color="CCEEFF"/>
            </w:tcBorders>
            <w:shd w:val="clear" w:color="auto" w:fill="CCEEFF"/>
          </w:tcPr>
          <w:p>
            <w:pPr>
              <w:ind w:left="80"/>
              <w:spacing w:after="0" w:line="131" w:lineRule="exact"/>
              <w:rPr>
                <w:sz w:val="20"/>
                <w:szCs w:val="20"/>
                <w:color w:val="auto"/>
              </w:rPr>
            </w:pPr>
            <w:r>
              <w:rPr>
                <w:rFonts w:ascii="Calibri" w:cs="Calibri" w:eastAsia="Calibri" w:hAnsi="Calibri"/>
                <w:sz w:val="11"/>
                <w:szCs w:val="11"/>
                <w:color w:val="auto"/>
              </w:rPr>
              <w:t>(f)</w:t>
            </w:r>
          </w:p>
        </w:tc>
      </w:tr>
      <w:tr>
        <w:trPr>
          <w:trHeight w:val="169"/>
        </w:trPr>
        <w:tc>
          <w:tcPr>
            <w:tcW w:w="3180" w:type="dxa"/>
            <w:vAlign w:val="bottom"/>
          </w:tcPr>
          <w:p>
            <w:pPr>
              <w:ind w:left="20"/>
              <w:spacing w:after="0"/>
              <w:rPr>
                <w:sz w:val="20"/>
                <w:szCs w:val="20"/>
                <w:color w:val="auto"/>
              </w:rPr>
            </w:pPr>
            <w:r>
              <w:rPr>
                <w:rFonts w:ascii="Calibri" w:cs="Calibri" w:eastAsia="Calibri" w:hAnsi="Calibri"/>
                <w:sz w:val="12"/>
                <w:szCs w:val="12"/>
                <w:b w:val="1"/>
                <w:bCs w:val="1"/>
                <w:color w:val="auto"/>
              </w:rPr>
              <w:t>Net income margin</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2"/>
                <w:szCs w:val="12"/>
                <w:b w:val="1"/>
                <w:bCs w:val="1"/>
                <w:color w:val="auto"/>
              </w:rPr>
              <w:t>4.7%</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1"/>
              <w:spacing w:after="0"/>
              <w:rPr>
                <w:sz w:val="20"/>
                <w:szCs w:val="20"/>
                <w:color w:val="auto"/>
              </w:rPr>
            </w:pPr>
            <w:r>
              <w:rPr>
                <w:rFonts w:ascii="Calibri" w:cs="Calibri" w:eastAsia="Calibri" w:hAnsi="Calibri"/>
                <w:sz w:val="12"/>
                <w:szCs w:val="12"/>
                <w:b w:val="1"/>
                <w:bCs w:val="1"/>
                <w:color w:val="auto"/>
              </w:rPr>
              <w:t>0.6%</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jc w:val="right"/>
              <w:ind w:right="41"/>
              <w:spacing w:after="0"/>
              <w:rPr>
                <w:sz w:val="20"/>
                <w:szCs w:val="20"/>
                <w:color w:val="auto"/>
              </w:rPr>
            </w:pPr>
            <w:r>
              <w:rPr>
                <w:rFonts w:ascii="Calibri" w:cs="Calibri" w:eastAsia="Calibri" w:hAnsi="Calibri"/>
                <w:sz w:val="12"/>
                <w:szCs w:val="12"/>
                <w:b w:val="1"/>
                <w:bCs w:val="1"/>
                <w:color w:val="auto"/>
              </w:rPr>
              <w:t>1.9%</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5"/>
        </w:trPr>
        <w:tc>
          <w:tcPr>
            <w:tcW w:w="3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69"/>
        </w:trPr>
        <w:tc>
          <w:tcPr>
            <w:tcW w:w="3180" w:type="dxa"/>
            <w:vAlign w:val="bottom"/>
          </w:tcPr>
          <w:p>
            <w:pPr>
              <w:ind w:left="20"/>
              <w:spacing w:after="0"/>
              <w:rPr>
                <w:sz w:val="20"/>
                <w:szCs w:val="20"/>
                <w:color w:val="auto"/>
              </w:rPr>
            </w:pPr>
            <w:r>
              <w:rPr>
                <w:rFonts w:ascii="Calibri" w:cs="Calibri" w:eastAsia="Calibri" w:hAnsi="Calibri"/>
                <w:sz w:val="12"/>
                <w:szCs w:val="12"/>
                <w:color w:val="auto"/>
              </w:rPr>
              <w:t>Non-recurring expenses</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2"/>
                <w:szCs w:val="12"/>
                <w:color w:val="auto"/>
              </w:rPr>
              <w:t>3,256</w:t>
            </w:r>
          </w:p>
        </w:tc>
        <w:tc>
          <w:tcPr>
            <w:tcW w:w="320" w:type="dxa"/>
            <w:vAlign w:val="bottom"/>
          </w:tcPr>
          <w:p>
            <w:pPr>
              <w:spacing w:after="0"/>
              <w:rPr>
                <w:sz w:val="14"/>
                <w:szCs w:val="14"/>
                <w:color w:val="auto"/>
              </w:rPr>
            </w:pPr>
          </w:p>
        </w:tc>
        <w:tc>
          <w:tcPr>
            <w:tcW w:w="620" w:type="dxa"/>
            <w:vAlign w:val="bottom"/>
          </w:tcPr>
          <w:p>
            <w:pPr>
              <w:jc w:val="right"/>
              <w:ind w:right="61"/>
              <w:spacing w:after="0"/>
              <w:rPr>
                <w:sz w:val="20"/>
                <w:szCs w:val="20"/>
                <w:color w:val="auto"/>
              </w:rPr>
            </w:pPr>
            <w:r>
              <w:rPr>
                <w:rFonts w:ascii="Calibri" w:cs="Calibri" w:eastAsia="Calibri" w:hAnsi="Calibri"/>
                <w:sz w:val="12"/>
                <w:szCs w:val="12"/>
                <w:color w:val="auto"/>
              </w:rPr>
              <w:t>0.18</w:t>
            </w:r>
          </w:p>
        </w:tc>
        <w:tc>
          <w:tcPr>
            <w:tcW w:w="260" w:type="dxa"/>
            <w:vAlign w:val="bottom"/>
          </w:tcPr>
          <w:p>
            <w:pPr>
              <w:spacing w:after="0"/>
              <w:rPr>
                <w:sz w:val="14"/>
                <w:szCs w:val="14"/>
                <w:color w:val="auto"/>
              </w:rPr>
            </w:pPr>
          </w:p>
        </w:tc>
        <w:tc>
          <w:tcPr>
            <w:tcW w:w="720" w:type="dxa"/>
            <w:vAlign w:val="bottom"/>
          </w:tcPr>
          <w:p>
            <w:pPr>
              <w:jc w:val="right"/>
              <w:ind w:right="21"/>
              <w:spacing w:after="0"/>
              <w:rPr>
                <w:sz w:val="20"/>
                <w:szCs w:val="20"/>
                <w:color w:val="auto"/>
              </w:rPr>
            </w:pPr>
            <w:r>
              <w:rPr>
                <w:rFonts w:ascii="Calibri" w:cs="Calibri" w:eastAsia="Calibri" w:hAnsi="Calibri"/>
                <w:sz w:val="12"/>
                <w:szCs w:val="12"/>
                <w:color w:val="auto"/>
              </w:rPr>
              <w:t>10,203</w:t>
            </w:r>
          </w:p>
        </w:tc>
        <w:tc>
          <w:tcPr>
            <w:tcW w:w="160" w:type="dxa"/>
            <w:vAlign w:val="bottom"/>
          </w:tcPr>
          <w:p>
            <w:pPr>
              <w:spacing w:after="0"/>
              <w:rPr>
                <w:sz w:val="14"/>
                <w:szCs w:val="14"/>
                <w:color w:val="auto"/>
              </w:rPr>
            </w:pPr>
          </w:p>
        </w:tc>
        <w:tc>
          <w:tcPr>
            <w:tcW w:w="840" w:type="dxa"/>
            <w:vAlign w:val="bottom"/>
          </w:tcPr>
          <w:p>
            <w:pPr>
              <w:jc w:val="right"/>
              <w:ind w:right="221"/>
              <w:spacing w:after="0"/>
              <w:rPr>
                <w:sz w:val="20"/>
                <w:szCs w:val="20"/>
                <w:color w:val="auto"/>
              </w:rPr>
            </w:pPr>
            <w:r>
              <w:rPr>
                <w:rFonts w:ascii="Calibri" w:cs="Calibri" w:eastAsia="Calibri" w:hAnsi="Calibri"/>
                <w:sz w:val="12"/>
                <w:szCs w:val="12"/>
                <w:color w:val="auto"/>
              </w:rPr>
              <w:t>0.58</w:t>
            </w:r>
          </w:p>
        </w:tc>
        <w:tc>
          <w:tcPr>
            <w:tcW w:w="800" w:type="dxa"/>
            <w:vAlign w:val="bottom"/>
          </w:tcPr>
          <w:p>
            <w:pPr>
              <w:jc w:val="right"/>
              <w:ind w:right="41"/>
              <w:spacing w:after="0"/>
              <w:rPr>
                <w:sz w:val="20"/>
                <w:szCs w:val="20"/>
                <w:color w:val="auto"/>
              </w:rPr>
            </w:pPr>
            <w:r>
              <w:rPr>
                <w:rFonts w:ascii="Calibri" w:cs="Calibri" w:eastAsia="Calibri" w:hAnsi="Calibri"/>
                <w:sz w:val="12"/>
                <w:szCs w:val="12"/>
                <w:color w:val="auto"/>
              </w:rPr>
              <w:t>6,482</w:t>
            </w:r>
          </w:p>
        </w:tc>
        <w:tc>
          <w:tcPr>
            <w:tcW w:w="18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Calibri" w:cs="Calibri" w:eastAsia="Calibri" w:hAnsi="Calibri"/>
                <w:sz w:val="12"/>
                <w:szCs w:val="12"/>
                <w:color w:val="auto"/>
              </w:rPr>
              <w:t>0.50</w:t>
            </w:r>
          </w:p>
        </w:tc>
        <w:tc>
          <w:tcPr>
            <w:tcW w:w="280" w:type="dxa"/>
            <w:vAlign w:val="bottom"/>
          </w:tcPr>
          <w:p>
            <w:pPr>
              <w:spacing w:after="0"/>
              <w:rPr>
                <w:sz w:val="14"/>
                <w:szCs w:val="14"/>
                <w:color w:val="auto"/>
              </w:rPr>
            </w:pPr>
          </w:p>
        </w:tc>
      </w:tr>
      <w:tr>
        <w:trPr>
          <w:trHeight w:val="185"/>
        </w:trPr>
        <w:tc>
          <w:tcPr>
            <w:tcW w:w="3180" w:type="dxa"/>
            <w:vAlign w:val="bottom"/>
            <w:shd w:val="clear" w:color="auto" w:fill="CCEEFF"/>
          </w:tcPr>
          <w:p>
            <w:pPr>
              <w:ind w:left="20"/>
              <w:spacing w:after="0"/>
              <w:rPr>
                <w:sz w:val="20"/>
                <w:szCs w:val="20"/>
                <w:color w:val="auto"/>
              </w:rPr>
            </w:pPr>
            <w:r>
              <w:rPr>
                <w:rFonts w:ascii="Calibri" w:cs="Calibri" w:eastAsia="Calibri" w:hAnsi="Calibri"/>
                <w:sz w:val="12"/>
                <w:szCs w:val="12"/>
                <w:color w:val="auto"/>
              </w:rPr>
              <w:t>Amortzaton of warrant asset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Calibri" w:cs="Calibri" w:eastAsia="Calibri" w:hAnsi="Calibri"/>
                <w:sz w:val="12"/>
                <w:szCs w:val="12"/>
                <w:color w:val="auto"/>
              </w:rPr>
              <w:t>250</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1"/>
              <w:spacing w:after="0"/>
              <w:rPr>
                <w:sz w:val="20"/>
                <w:szCs w:val="20"/>
                <w:color w:val="auto"/>
              </w:rPr>
            </w:pPr>
            <w:r>
              <w:rPr>
                <w:rFonts w:ascii="Calibri" w:cs="Calibri" w:eastAsia="Calibri" w:hAnsi="Calibri"/>
                <w:sz w:val="12"/>
                <w:szCs w:val="12"/>
                <w:color w:val="auto"/>
              </w:rPr>
              <w:t>0.02</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1"/>
              <w:spacing w:after="0"/>
              <w:rPr>
                <w:sz w:val="20"/>
                <w:szCs w:val="20"/>
                <w:color w:val="auto"/>
              </w:rPr>
            </w:pPr>
            <w:r>
              <w:rPr>
                <w:rFonts w:ascii="Calibri" w:cs="Calibri" w:eastAsia="Calibri" w:hAnsi="Calibri"/>
                <w:sz w:val="12"/>
                <w:szCs w:val="12"/>
                <w:color w:val="auto"/>
              </w:rPr>
              <w:t>517</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21"/>
              <w:spacing w:after="0"/>
              <w:rPr>
                <w:sz w:val="20"/>
                <w:szCs w:val="20"/>
                <w:color w:val="auto"/>
              </w:rPr>
            </w:pPr>
            <w:r>
              <w:rPr>
                <w:rFonts w:ascii="Calibri" w:cs="Calibri" w:eastAsia="Calibri" w:hAnsi="Calibri"/>
                <w:sz w:val="12"/>
                <w:szCs w:val="12"/>
                <w:color w:val="auto"/>
              </w:rPr>
              <w:t>0.03</w:t>
            </w:r>
          </w:p>
        </w:tc>
        <w:tc>
          <w:tcPr>
            <w:tcW w:w="800" w:type="dxa"/>
            <w:vAlign w:val="bottom"/>
            <w:shd w:val="clear" w:color="auto" w:fill="CCEEFF"/>
          </w:tcPr>
          <w:p>
            <w:pPr>
              <w:jc w:val="right"/>
              <w:ind w:right="41"/>
              <w:spacing w:after="0"/>
              <w:rPr>
                <w:sz w:val="20"/>
                <w:szCs w:val="20"/>
                <w:color w:val="auto"/>
              </w:rPr>
            </w:pPr>
            <w:r>
              <w:rPr>
                <w:rFonts w:ascii="Calibri" w:cs="Calibri" w:eastAsia="Calibri" w:hAnsi="Calibri"/>
                <w:sz w:val="12"/>
                <w:szCs w:val="12"/>
                <w:color w:val="auto"/>
              </w:rPr>
              <w:t>705</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Calibri" w:cs="Calibri" w:eastAsia="Calibri" w:hAnsi="Calibri"/>
                <w:sz w:val="12"/>
                <w:szCs w:val="12"/>
                <w:color w:val="auto"/>
              </w:rPr>
              <w:t>0.05</w:t>
            </w:r>
          </w:p>
        </w:tc>
        <w:tc>
          <w:tcPr>
            <w:tcW w:w="280" w:type="dxa"/>
            <w:vAlign w:val="bottom"/>
            <w:shd w:val="clear" w:color="auto" w:fill="CCEEFF"/>
          </w:tcPr>
          <w:p>
            <w:pPr>
              <w:spacing w:after="0"/>
              <w:rPr>
                <w:sz w:val="16"/>
                <w:szCs w:val="16"/>
                <w:color w:val="auto"/>
              </w:rPr>
            </w:pPr>
          </w:p>
        </w:tc>
      </w:tr>
      <w:tr>
        <w:trPr>
          <w:trHeight w:val="169"/>
        </w:trPr>
        <w:tc>
          <w:tcPr>
            <w:tcW w:w="3180" w:type="dxa"/>
            <w:vAlign w:val="bottom"/>
          </w:tcPr>
          <w:p>
            <w:pPr>
              <w:ind w:left="20"/>
              <w:spacing w:after="0" w:line="139" w:lineRule="exact"/>
              <w:rPr>
                <w:sz w:val="20"/>
                <w:szCs w:val="20"/>
                <w:color w:val="auto"/>
              </w:rPr>
            </w:pPr>
            <w:r>
              <w:rPr>
                <w:rFonts w:ascii="Calibri" w:cs="Calibri" w:eastAsia="Calibri" w:hAnsi="Calibri"/>
                <w:sz w:val="12"/>
                <w:szCs w:val="12"/>
                <w:color w:val="auto"/>
              </w:rPr>
              <w:t>Foreign currency translaton loss / (gain)</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2"/>
                <w:szCs w:val="12"/>
                <w:color w:val="auto"/>
              </w:rPr>
              <w:t>(40)</w:t>
            </w:r>
          </w:p>
        </w:tc>
        <w:tc>
          <w:tcPr>
            <w:tcW w:w="320" w:type="dxa"/>
            <w:vAlign w:val="bottom"/>
          </w:tcPr>
          <w:p>
            <w:pPr>
              <w:spacing w:after="0"/>
              <w:rPr>
                <w:sz w:val="14"/>
                <w:szCs w:val="14"/>
                <w:color w:val="auto"/>
              </w:rPr>
            </w:pPr>
          </w:p>
        </w:tc>
        <w:tc>
          <w:tcPr>
            <w:tcW w:w="620" w:type="dxa"/>
            <w:vAlign w:val="bottom"/>
          </w:tcPr>
          <w:p>
            <w:pPr>
              <w:jc w:val="right"/>
              <w:ind w:right="21"/>
              <w:spacing w:after="0"/>
              <w:rPr>
                <w:sz w:val="20"/>
                <w:szCs w:val="20"/>
                <w:color w:val="auto"/>
              </w:rPr>
            </w:pPr>
            <w:r>
              <w:rPr>
                <w:rFonts w:ascii="Calibri" w:cs="Calibri" w:eastAsia="Calibri" w:hAnsi="Calibri"/>
                <w:sz w:val="12"/>
                <w:szCs w:val="12"/>
                <w:color w:val="auto"/>
              </w:rPr>
              <w:t>(0.00)</w:t>
            </w:r>
          </w:p>
        </w:tc>
        <w:tc>
          <w:tcPr>
            <w:tcW w:w="260" w:type="dxa"/>
            <w:vAlign w:val="bottom"/>
          </w:tcPr>
          <w:p>
            <w:pPr>
              <w:spacing w:after="0"/>
              <w:rPr>
                <w:sz w:val="14"/>
                <w:szCs w:val="14"/>
                <w:color w:val="auto"/>
              </w:rPr>
            </w:pPr>
          </w:p>
        </w:tc>
        <w:tc>
          <w:tcPr>
            <w:tcW w:w="720" w:type="dxa"/>
            <w:vAlign w:val="bottom"/>
          </w:tcPr>
          <w:p>
            <w:pPr>
              <w:jc w:val="right"/>
              <w:ind w:right="21"/>
              <w:spacing w:after="0"/>
              <w:rPr>
                <w:sz w:val="20"/>
                <w:szCs w:val="20"/>
                <w:color w:val="auto"/>
              </w:rPr>
            </w:pPr>
            <w:r>
              <w:rPr>
                <w:rFonts w:ascii="Calibri" w:cs="Calibri" w:eastAsia="Calibri" w:hAnsi="Calibri"/>
                <w:sz w:val="12"/>
                <w:szCs w:val="12"/>
                <w:color w:val="auto"/>
              </w:rPr>
              <w:t>198</w:t>
            </w:r>
          </w:p>
        </w:tc>
        <w:tc>
          <w:tcPr>
            <w:tcW w:w="160" w:type="dxa"/>
            <w:vAlign w:val="bottom"/>
          </w:tcPr>
          <w:p>
            <w:pPr>
              <w:spacing w:after="0"/>
              <w:rPr>
                <w:sz w:val="14"/>
                <w:szCs w:val="14"/>
                <w:color w:val="auto"/>
              </w:rPr>
            </w:pPr>
          </w:p>
        </w:tc>
        <w:tc>
          <w:tcPr>
            <w:tcW w:w="840" w:type="dxa"/>
            <w:vAlign w:val="bottom"/>
          </w:tcPr>
          <w:p>
            <w:pPr>
              <w:jc w:val="right"/>
              <w:ind w:right="221"/>
              <w:spacing w:after="0"/>
              <w:rPr>
                <w:sz w:val="20"/>
                <w:szCs w:val="20"/>
                <w:color w:val="auto"/>
              </w:rPr>
            </w:pPr>
            <w:r>
              <w:rPr>
                <w:rFonts w:ascii="Calibri" w:cs="Calibri" w:eastAsia="Calibri" w:hAnsi="Calibri"/>
                <w:sz w:val="12"/>
                <w:szCs w:val="12"/>
                <w:color w:val="auto"/>
              </w:rPr>
              <w:t>0.01</w:t>
            </w:r>
          </w:p>
        </w:tc>
        <w:tc>
          <w:tcPr>
            <w:tcW w:w="800" w:type="dxa"/>
            <w:vAlign w:val="bottom"/>
          </w:tcPr>
          <w:p>
            <w:pPr>
              <w:jc w:val="right"/>
              <w:ind w:right="1"/>
              <w:spacing w:after="0"/>
              <w:rPr>
                <w:sz w:val="20"/>
                <w:szCs w:val="20"/>
                <w:color w:val="auto"/>
              </w:rPr>
            </w:pPr>
            <w:r>
              <w:rPr>
                <w:rFonts w:ascii="Calibri" w:cs="Calibri" w:eastAsia="Calibri" w:hAnsi="Calibri"/>
                <w:sz w:val="12"/>
                <w:szCs w:val="12"/>
                <w:color w:val="auto"/>
              </w:rPr>
              <w:t>(195)</w:t>
            </w:r>
          </w:p>
        </w:tc>
        <w:tc>
          <w:tcPr>
            <w:tcW w:w="180" w:type="dxa"/>
            <w:vAlign w:val="bottom"/>
          </w:tcPr>
          <w:p>
            <w:pPr>
              <w:spacing w:after="0"/>
              <w:rPr>
                <w:sz w:val="14"/>
                <w:szCs w:val="14"/>
                <w:color w:val="auto"/>
              </w:rPr>
            </w:pPr>
          </w:p>
        </w:tc>
        <w:tc>
          <w:tcPr>
            <w:tcW w:w="700" w:type="dxa"/>
            <w:vAlign w:val="bottom"/>
          </w:tcPr>
          <w:p>
            <w:pPr>
              <w:jc w:val="right"/>
              <w:ind w:right="21"/>
              <w:spacing w:after="0"/>
              <w:rPr>
                <w:sz w:val="20"/>
                <w:szCs w:val="20"/>
                <w:color w:val="auto"/>
              </w:rPr>
            </w:pPr>
            <w:r>
              <w:rPr>
                <w:rFonts w:ascii="Calibri" w:cs="Calibri" w:eastAsia="Calibri" w:hAnsi="Calibri"/>
                <w:sz w:val="12"/>
                <w:szCs w:val="12"/>
                <w:color w:val="auto"/>
              </w:rPr>
              <w:t>(0.02)</w:t>
            </w:r>
          </w:p>
        </w:tc>
        <w:tc>
          <w:tcPr>
            <w:tcW w:w="280" w:type="dxa"/>
            <w:vAlign w:val="bottom"/>
          </w:tcPr>
          <w:p>
            <w:pPr>
              <w:spacing w:after="0"/>
              <w:rPr>
                <w:sz w:val="14"/>
                <w:szCs w:val="14"/>
                <w:color w:val="auto"/>
              </w:rPr>
            </w:pPr>
          </w:p>
        </w:tc>
      </w:tr>
      <w:tr>
        <w:trPr>
          <w:trHeight w:val="185"/>
        </w:trPr>
        <w:tc>
          <w:tcPr>
            <w:tcW w:w="3180" w:type="dxa"/>
            <w:vAlign w:val="bottom"/>
            <w:shd w:val="clear" w:color="auto" w:fill="CCEEFF"/>
          </w:tcPr>
          <w:p>
            <w:pPr>
              <w:ind w:left="20"/>
              <w:spacing w:after="0"/>
              <w:rPr>
                <w:sz w:val="20"/>
                <w:szCs w:val="20"/>
                <w:color w:val="auto"/>
              </w:rPr>
            </w:pPr>
            <w:r>
              <w:rPr>
                <w:rFonts w:ascii="Calibri" w:cs="Calibri" w:eastAsia="Calibri" w:hAnsi="Calibri"/>
                <w:sz w:val="12"/>
                <w:szCs w:val="12"/>
                <w:color w:val="auto"/>
              </w:rPr>
              <w:t>Fair value measurement of share warrants</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Calibri" w:cs="Calibri" w:eastAsia="Calibri" w:hAnsi="Calibri"/>
                <w:sz w:val="12"/>
                <w:szCs w:val="12"/>
                <w:color w:val="auto"/>
              </w:rPr>
              <w:t>(2,310)</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1"/>
              <w:spacing w:after="0"/>
              <w:rPr>
                <w:sz w:val="20"/>
                <w:szCs w:val="20"/>
                <w:color w:val="auto"/>
              </w:rPr>
            </w:pPr>
            <w:r>
              <w:rPr>
                <w:rFonts w:ascii="Calibri" w:cs="Calibri" w:eastAsia="Calibri" w:hAnsi="Calibri"/>
                <w:sz w:val="12"/>
                <w:szCs w:val="12"/>
                <w:color w:val="auto"/>
              </w:rPr>
              <w:t>(0.13)</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1"/>
              <w:spacing w:after="0"/>
              <w:rPr>
                <w:sz w:val="20"/>
                <w:szCs w:val="20"/>
                <w:color w:val="auto"/>
              </w:rPr>
            </w:pPr>
            <w:r>
              <w:rPr>
                <w:rFonts w:ascii="Calibri" w:cs="Calibri" w:eastAsia="Calibri" w:hAnsi="Calibri"/>
                <w:sz w:val="12"/>
                <w:szCs w:val="12"/>
                <w:color w:val="auto"/>
              </w:rPr>
              <w:t>9,732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21"/>
              <w:spacing w:after="0"/>
              <w:rPr>
                <w:sz w:val="20"/>
                <w:szCs w:val="20"/>
                <w:color w:val="auto"/>
              </w:rPr>
            </w:pPr>
            <w:r>
              <w:rPr>
                <w:rFonts w:ascii="Calibri" w:cs="Calibri" w:eastAsia="Calibri" w:hAnsi="Calibri"/>
                <w:sz w:val="12"/>
                <w:szCs w:val="12"/>
                <w:color w:val="auto"/>
              </w:rPr>
              <w:t>0.55</w:t>
            </w:r>
          </w:p>
        </w:tc>
        <w:tc>
          <w:tcPr>
            <w:tcW w:w="800" w:type="dxa"/>
            <w:vAlign w:val="bottom"/>
            <w:shd w:val="clear" w:color="auto" w:fill="CCEEFF"/>
          </w:tcPr>
          <w:p>
            <w:pPr>
              <w:jc w:val="right"/>
              <w:ind w:right="41"/>
              <w:spacing w:after="0"/>
              <w:rPr>
                <w:sz w:val="20"/>
                <w:szCs w:val="20"/>
                <w:color w:val="auto"/>
              </w:rPr>
            </w:pPr>
            <w:r>
              <w:rPr>
                <w:rFonts w:ascii="Calibri" w:cs="Calibri" w:eastAsia="Calibri" w:hAnsi="Calibri"/>
                <w:sz w:val="12"/>
                <w:szCs w:val="12"/>
                <w:color w:val="auto"/>
              </w:rPr>
              <w:t>3,138</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Calibri" w:cs="Calibri" w:eastAsia="Calibri" w:hAnsi="Calibri"/>
                <w:sz w:val="12"/>
                <w:szCs w:val="12"/>
                <w:color w:val="auto"/>
              </w:rPr>
              <w:t>0.24</w:t>
            </w:r>
          </w:p>
        </w:tc>
        <w:tc>
          <w:tcPr>
            <w:tcW w:w="280" w:type="dxa"/>
            <w:vAlign w:val="bottom"/>
            <w:shd w:val="clear" w:color="auto" w:fill="CCEEFF"/>
          </w:tcPr>
          <w:p>
            <w:pPr>
              <w:spacing w:after="0"/>
              <w:rPr>
                <w:sz w:val="16"/>
                <w:szCs w:val="16"/>
                <w:color w:val="auto"/>
              </w:rPr>
            </w:pPr>
          </w:p>
        </w:tc>
      </w:tr>
      <w:tr>
        <w:trPr>
          <w:trHeight w:val="177"/>
        </w:trPr>
        <w:tc>
          <w:tcPr>
            <w:tcW w:w="3180" w:type="dxa"/>
            <w:vAlign w:val="bottom"/>
          </w:tcPr>
          <w:p>
            <w:pPr>
              <w:ind w:left="20"/>
              <w:spacing w:after="0" w:line="177" w:lineRule="exact"/>
              <w:rPr>
                <w:sz w:val="20"/>
                <w:szCs w:val="20"/>
                <w:color w:val="auto"/>
              </w:rPr>
            </w:pPr>
            <w:r>
              <w:rPr>
                <w:rFonts w:ascii="Calibri" w:cs="Calibri" w:eastAsia="Calibri" w:hAnsi="Calibri"/>
                <w:sz w:val="11"/>
                <w:szCs w:val="11"/>
                <w:color w:val="auto"/>
              </w:rPr>
              <w:t>Share-based payments</w:t>
            </w:r>
            <w:r>
              <w:rPr>
                <w:rFonts w:ascii="Calibri" w:cs="Calibri" w:eastAsia="Calibri" w:hAnsi="Calibri"/>
                <w:sz w:val="19"/>
                <w:szCs w:val="19"/>
                <w:color w:val="auto"/>
                <w:vertAlign w:val="superscript"/>
              </w:rPr>
              <w:t>(a)</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alibri" w:cs="Calibri" w:eastAsia="Calibri" w:hAnsi="Calibri"/>
                <w:sz w:val="12"/>
                <w:szCs w:val="12"/>
                <w:color w:val="auto"/>
              </w:rPr>
              <w:t>1,851</w:t>
            </w:r>
          </w:p>
        </w:tc>
        <w:tc>
          <w:tcPr>
            <w:tcW w:w="32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Calibri" w:cs="Calibri" w:eastAsia="Calibri" w:hAnsi="Calibri"/>
                <w:sz w:val="12"/>
                <w:szCs w:val="12"/>
                <w:color w:val="auto"/>
              </w:rPr>
              <w:t>0.10</w:t>
            </w:r>
          </w:p>
        </w:tc>
        <w:tc>
          <w:tcPr>
            <w:tcW w:w="26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Calibri" w:cs="Calibri" w:eastAsia="Calibri" w:hAnsi="Calibri"/>
                <w:sz w:val="12"/>
                <w:szCs w:val="12"/>
                <w:color w:val="auto"/>
              </w:rPr>
              <w:t>4,521</w:t>
            </w:r>
          </w:p>
        </w:tc>
        <w:tc>
          <w:tcPr>
            <w:tcW w:w="160" w:type="dxa"/>
            <w:vAlign w:val="bottom"/>
          </w:tcPr>
          <w:p>
            <w:pPr>
              <w:spacing w:after="0"/>
              <w:rPr>
                <w:sz w:val="15"/>
                <w:szCs w:val="15"/>
                <w:color w:val="auto"/>
              </w:rPr>
            </w:pPr>
          </w:p>
        </w:tc>
        <w:tc>
          <w:tcPr>
            <w:tcW w:w="840" w:type="dxa"/>
            <w:vAlign w:val="bottom"/>
          </w:tcPr>
          <w:p>
            <w:pPr>
              <w:jc w:val="right"/>
              <w:ind w:right="221"/>
              <w:spacing w:after="0"/>
              <w:rPr>
                <w:sz w:val="20"/>
                <w:szCs w:val="20"/>
                <w:color w:val="auto"/>
              </w:rPr>
            </w:pPr>
            <w:r>
              <w:rPr>
                <w:rFonts w:ascii="Calibri" w:cs="Calibri" w:eastAsia="Calibri" w:hAnsi="Calibri"/>
                <w:sz w:val="12"/>
                <w:szCs w:val="12"/>
                <w:color w:val="auto"/>
              </w:rPr>
              <w:t>0.26</w:t>
            </w:r>
          </w:p>
        </w:tc>
        <w:tc>
          <w:tcPr>
            <w:tcW w:w="800" w:type="dxa"/>
            <w:vAlign w:val="bottom"/>
          </w:tcPr>
          <w:p>
            <w:pPr>
              <w:jc w:val="right"/>
              <w:ind w:right="41"/>
              <w:spacing w:after="0"/>
              <w:rPr>
                <w:sz w:val="20"/>
                <w:szCs w:val="20"/>
                <w:color w:val="auto"/>
              </w:rPr>
            </w:pPr>
            <w:r>
              <w:rPr>
                <w:rFonts w:ascii="Calibri" w:cs="Calibri" w:eastAsia="Calibri" w:hAnsi="Calibri"/>
                <w:sz w:val="12"/>
                <w:szCs w:val="12"/>
                <w:color w:val="auto"/>
              </w:rPr>
              <w:t>359</w:t>
            </w:r>
          </w:p>
        </w:tc>
        <w:tc>
          <w:tcPr>
            <w:tcW w:w="1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alibri" w:cs="Calibri" w:eastAsia="Calibri" w:hAnsi="Calibri"/>
                <w:sz w:val="12"/>
                <w:szCs w:val="12"/>
                <w:color w:val="auto"/>
              </w:rPr>
              <w:t>0.03</w:t>
            </w:r>
          </w:p>
        </w:tc>
        <w:tc>
          <w:tcPr>
            <w:tcW w:w="280" w:type="dxa"/>
            <w:vAlign w:val="bottom"/>
          </w:tcPr>
          <w:p>
            <w:pPr>
              <w:spacing w:after="0"/>
              <w:rPr>
                <w:sz w:val="15"/>
                <w:szCs w:val="15"/>
                <w:color w:val="auto"/>
              </w:rPr>
            </w:pPr>
          </w:p>
        </w:tc>
      </w:tr>
      <w:tr>
        <w:trPr>
          <w:trHeight w:val="177"/>
        </w:trPr>
        <w:tc>
          <w:tcPr>
            <w:tcW w:w="3180" w:type="dxa"/>
            <w:vAlign w:val="bottom"/>
            <w:shd w:val="clear" w:color="auto" w:fill="CCEEFF"/>
          </w:tcPr>
          <w:p>
            <w:pPr>
              <w:ind w:left="20"/>
              <w:spacing w:after="0" w:line="139" w:lineRule="exact"/>
              <w:rPr>
                <w:sz w:val="20"/>
                <w:szCs w:val="20"/>
                <w:color w:val="auto"/>
              </w:rPr>
            </w:pPr>
            <w:r>
              <w:rPr>
                <w:rFonts w:ascii="Calibri" w:cs="Calibri" w:eastAsia="Calibri" w:hAnsi="Calibri"/>
                <w:sz w:val="12"/>
                <w:szCs w:val="12"/>
                <w:color w:val="auto"/>
              </w:rPr>
              <w:t>Gain on disposal of fxed assets</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Calibri" w:cs="Calibri" w:eastAsia="Calibri" w:hAnsi="Calibri"/>
                <w:sz w:val="12"/>
                <w:szCs w:val="12"/>
                <w:color w:val="auto"/>
              </w:rPr>
              <w:t>-</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1"/>
              <w:spacing w:after="0"/>
              <w:rPr>
                <w:sz w:val="20"/>
                <w:szCs w:val="20"/>
                <w:color w:val="auto"/>
              </w:rPr>
            </w:pPr>
            <w:r>
              <w:rPr>
                <w:rFonts w:ascii="Calibri" w:cs="Calibri" w:eastAsia="Calibri" w:hAnsi="Calibri"/>
                <w:sz w:val="12"/>
                <w:szCs w:val="12"/>
                <w:color w:val="auto"/>
              </w:rPr>
              <w: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1"/>
              <w:spacing w:after="0"/>
              <w:rPr>
                <w:sz w:val="20"/>
                <w:szCs w:val="20"/>
                <w:color w:val="auto"/>
              </w:rPr>
            </w:pPr>
            <w:r>
              <w:rPr>
                <w:rFonts w:ascii="Calibri" w:cs="Calibri" w:eastAsia="Calibri" w:hAnsi="Calibri"/>
                <w:sz w:val="12"/>
                <w:szCs w:val="12"/>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1"/>
              <w:spacing w:after="0"/>
              <w:rPr>
                <w:sz w:val="20"/>
                <w:szCs w:val="20"/>
                <w:color w:val="auto"/>
              </w:rPr>
            </w:pPr>
            <w:r>
              <w:rPr>
                <w:rFonts w:ascii="Calibri" w:cs="Calibri" w:eastAsia="Calibri" w:hAnsi="Calibri"/>
                <w:sz w:val="12"/>
                <w:szCs w:val="12"/>
                <w:color w:val="auto"/>
              </w:rPr>
              <w:t>-</w:t>
            </w:r>
          </w:p>
        </w:tc>
        <w:tc>
          <w:tcPr>
            <w:tcW w:w="800" w:type="dxa"/>
            <w:vAlign w:val="bottom"/>
            <w:shd w:val="clear" w:color="auto" w:fill="CCEEFF"/>
          </w:tcPr>
          <w:p>
            <w:pPr>
              <w:jc w:val="right"/>
              <w:ind w:right="1"/>
              <w:spacing w:after="0"/>
              <w:rPr>
                <w:sz w:val="20"/>
                <w:szCs w:val="20"/>
                <w:color w:val="auto"/>
              </w:rPr>
            </w:pPr>
            <w:r>
              <w:rPr>
                <w:rFonts w:ascii="Calibri" w:cs="Calibri" w:eastAsia="Calibri" w:hAnsi="Calibri"/>
                <w:sz w:val="12"/>
                <w:szCs w:val="12"/>
                <w:color w:val="auto"/>
              </w:rPr>
              <w:t>(10)</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1"/>
              <w:spacing w:after="0"/>
              <w:rPr>
                <w:sz w:val="20"/>
                <w:szCs w:val="20"/>
                <w:color w:val="auto"/>
              </w:rPr>
            </w:pPr>
            <w:r>
              <w:rPr>
                <w:rFonts w:ascii="Calibri" w:cs="Calibri" w:eastAsia="Calibri" w:hAnsi="Calibri"/>
                <w:sz w:val="12"/>
                <w:szCs w:val="12"/>
                <w:color w:val="auto"/>
              </w:rPr>
              <w:t>(0.00)</w:t>
            </w:r>
          </w:p>
        </w:tc>
        <w:tc>
          <w:tcPr>
            <w:tcW w:w="280" w:type="dxa"/>
            <w:vAlign w:val="bottom"/>
            <w:shd w:val="clear" w:color="auto" w:fill="CCEEFF"/>
          </w:tcPr>
          <w:p>
            <w:pPr>
              <w:spacing w:after="0"/>
              <w:rPr>
                <w:sz w:val="15"/>
                <w:szCs w:val="15"/>
                <w:color w:val="auto"/>
              </w:rPr>
            </w:pPr>
          </w:p>
        </w:tc>
      </w:tr>
      <w:tr>
        <w:trPr>
          <w:trHeight w:val="169"/>
        </w:trPr>
        <w:tc>
          <w:tcPr>
            <w:tcW w:w="3180" w:type="dxa"/>
            <w:vAlign w:val="bottom"/>
          </w:tcPr>
          <w:p>
            <w:pPr>
              <w:ind w:left="20"/>
              <w:spacing w:after="0" w:line="139" w:lineRule="exact"/>
              <w:rPr>
                <w:sz w:val="20"/>
                <w:szCs w:val="20"/>
                <w:color w:val="auto"/>
              </w:rPr>
            </w:pPr>
            <w:r>
              <w:rPr>
                <w:rFonts w:ascii="Calibri" w:cs="Calibri" w:eastAsia="Calibri" w:hAnsi="Calibri"/>
                <w:sz w:val="12"/>
                <w:szCs w:val="12"/>
                <w:color w:val="auto"/>
              </w:rPr>
              <w:t>Gain on lease terminatons</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2"/>
                <w:szCs w:val="12"/>
                <w:color w:val="auto"/>
              </w:rPr>
              <w:t>(150)</w:t>
            </w:r>
          </w:p>
        </w:tc>
        <w:tc>
          <w:tcPr>
            <w:tcW w:w="320" w:type="dxa"/>
            <w:vAlign w:val="bottom"/>
          </w:tcPr>
          <w:p>
            <w:pPr>
              <w:spacing w:after="0"/>
              <w:rPr>
                <w:sz w:val="14"/>
                <w:szCs w:val="14"/>
                <w:color w:val="auto"/>
              </w:rPr>
            </w:pPr>
          </w:p>
        </w:tc>
        <w:tc>
          <w:tcPr>
            <w:tcW w:w="620" w:type="dxa"/>
            <w:vAlign w:val="bottom"/>
          </w:tcPr>
          <w:p>
            <w:pPr>
              <w:jc w:val="right"/>
              <w:ind w:right="21"/>
              <w:spacing w:after="0"/>
              <w:rPr>
                <w:sz w:val="20"/>
                <w:szCs w:val="20"/>
                <w:color w:val="auto"/>
              </w:rPr>
            </w:pPr>
            <w:r>
              <w:rPr>
                <w:rFonts w:ascii="Calibri" w:cs="Calibri" w:eastAsia="Calibri" w:hAnsi="Calibri"/>
                <w:sz w:val="12"/>
                <w:szCs w:val="12"/>
                <w:color w:val="auto"/>
              </w:rPr>
              <w:t>(0.01)</w:t>
            </w:r>
          </w:p>
        </w:tc>
        <w:tc>
          <w:tcPr>
            <w:tcW w:w="260" w:type="dxa"/>
            <w:vAlign w:val="bottom"/>
          </w:tcPr>
          <w:p>
            <w:pPr>
              <w:spacing w:after="0"/>
              <w:rPr>
                <w:sz w:val="14"/>
                <w:szCs w:val="14"/>
                <w:color w:val="auto"/>
              </w:rPr>
            </w:pPr>
          </w:p>
        </w:tc>
        <w:tc>
          <w:tcPr>
            <w:tcW w:w="720" w:type="dxa"/>
            <w:vAlign w:val="bottom"/>
          </w:tcPr>
          <w:p>
            <w:pPr>
              <w:jc w:val="right"/>
              <w:ind w:right="1"/>
              <w:spacing w:after="0"/>
              <w:rPr>
                <w:sz w:val="20"/>
                <w:szCs w:val="20"/>
                <w:color w:val="auto"/>
              </w:rPr>
            </w:pPr>
            <w:r>
              <w:rPr>
                <w:rFonts w:ascii="Calibri" w:cs="Calibri" w:eastAsia="Calibri" w:hAnsi="Calibri"/>
                <w:sz w:val="12"/>
                <w:szCs w:val="12"/>
                <w:color w:val="auto"/>
              </w:rPr>
              <w:t>(923)</w:t>
            </w:r>
          </w:p>
        </w:tc>
        <w:tc>
          <w:tcPr>
            <w:tcW w:w="160" w:type="dxa"/>
            <w:vAlign w:val="bottom"/>
          </w:tcPr>
          <w:p>
            <w:pPr>
              <w:spacing w:after="0"/>
              <w:rPr>
                <w:sz w:val="14"/>
                <w:szCs w:val="14"/>
                <w:color w:val="auto"/>
              </w:rPr>
            </w:pPr>
          </w:p>
        </w:tc>
        <w:tc>
          <w:tcPr>
            <w:tcW w:w="840" w:type="dxa"/>
            <w:vAlign w:val="bottom"/>
          </w:tcPr>
          <w:p>
            <w:pPr>
              <w:jc w:val="right"/>
              <w:ind w:right="181"/>
              <w:spacing w:after="0"/>
              <w:rPr>
                <w:sz w:val="20"/>
                <w:szCs w:val="20"/>
                <w:color w:val="auto"/>
              </w:rPr>
            </w:pPr>
            <w:r>
              <w:rPr>
                <w:rFonts w:ascii="Calibri" w:cs="Calibri" w:eastAsia="Calibri" w:hAnsi="Calibri"/>
                <w:sz w:val="12"/>
                <w:szCs w:val="12"/>
                <w:color w:val="auto"/>
              </w:rPr>
              <w:t>(0.05)</w:t>
            </w:r>
          </w:p>
        </w:tc>
        <w:tc>
          <w:tcPr>
            <w:tcW w:w="800" w:type="dxa"/>
            <w:vAlign w:val="bottom"/>
          </w:tcPr>
          <w:p>
            <w:pPr>
              <w:jc w:val="right"/>
              <w:ind w:right="41"/>
              <w:spacing w:after="0"/>
              <w:rPr>
                <w:sz w:val="20"/>
                <w:szCs w:val="20"/>
                <w:color w:val="auto"/>
              </w:rPr>
            </w:pPr>
            <w:r>
              <w:rPr>
                <w:rFonts w:ascii="Calibri" w:cs="Calibri" w:eastAsia="Calibri" w:hAnsi="Calibri"/>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Calibri" w:cs="Calibri" w:eastAsia="Calibri" w:hAnsi="Calibri"/>
                <w:sz w:val="12"/>
                <w:szCs w:val="12"/>
                <w:color w:val="auto"/>
              </w:rPr>
              <w:t>-</w:t>
            </w:r>
          </w:p>
        </w:tc>
        <w:tc>
          <w:tcPr>
            <w:tcW w:w="280" w:type="dxa"/>
            <w:vAlign w:val="bottom"/>
          </w:tcPr>
          <w:p>
            <w:pPr>
              <w:spacing w:after="0"/>
              <w:rPr>
                <w:sz w:val="14"/>
                <w:szCs w:val="14"/>
                <w:color w:val="auto"/>
              </w:rPr>
            </w:pPr>
          </w:p>
        </w:tc>
      </w:tr>
      <w:tr>
        <w:trPr>
          <w:trHeight w:val="177"/>
        </w:trPr>
        <w:tc>
          <w:tcPr>
            <w:tcW w:w="3180" w:type="dxa"/>
            <w:vAlign w:val="bottom"/>
            <w:shd w:val="clear" w:color="auto" w:fill="CCEEFF"/>
          </w:tcPr>
          <w:p>
            <w:pPr>
              <w:ind w:left="20"/>
              <w:spacing w:after="0"/>
              <w:rPr>
                <w:sz w:val="20"/>
                <w:szCs w:val="20"/>
                <w:color w:val="auto"/>
              </w:rPr>
            </w:pPr>
            <w:r>
              <w:rPr>
                <w:rFonts w:ascii="Calibri" w:cs="Calibri" w:eastAsia="Calibri" w:hAnsi="Calibri"/>
                <w:sz w:val="12"/>
                <w:szCs w:val="12"/>
                <w:color w:val="auto"/>
              </w:rPr>
              <w:t>Impairment of intangibles</w:t>
            </w: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2"/>
                <w:szCs w:val="12"/>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Calibri" w:cs="Calibri" w:eastAsia="Calibri" w:hAnsi="Calibri"/>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21"/>
              <w:spacing w:after="0"/>
              <w:rPr>
                <w:sz w:val="20"/>
                <w:szCs w:val="20"/>
                <w:color w:val="auto"/>
              </w:rPr>
            </w:pPr>
            <w:r>
              <w:rPr>
                <w:rFonts w:ascii="Calibri" w:cs="Calibri" w:eastAsia="Calibri" w:hAnsi="Calibri"/>
                <w:sz w:val="12"/>
                <w:szCs w:val="12"/>
                <w:color w:val="auto"/>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Calibri" w:cs="Calibri" w:eastAsia="Calibri" w:hAnsi="Calibri"/>
                <w:sz w:val="12"/>
                <w:szCs w:val="12"/>
                <w:color w:val="auto"/>
              </w:rPr>
              <w:t>777</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1"/>
              <w:spacing w:after="0"/>
              <w:rPr>
                <w:sz w:val="20"/>
                <w:szCs w:val="20"/>
                <w:color w:val="auto"/>
              </w:rPr>
            </w:pPr>
            <w:r>
              <w:rPr>
                <w:rFonts w:ascii="Calibri" w:cs="Calibri" w:eastAsia="Calibri" w:hAnsi="Calibri"/>
                <w:sz w:val="12"/>
                <w:szCs w:val="12"/>
                <w:color w:val="auto"/>
              </w:rPr>
              <w:t>0.06</w:t>
            </w:r>
          </w:p>
        </w:tc>
        <w:tc>
          <w:tcPr>
            <w:tcW w:w="280" w:type="dxa"/>
            <w:vAlign w:val="bottom"/>
            <w:tcBorders>
              <w:bottom w:val="single" w:sz="8" w:color="auto"/>
            </w:tcBorders>
            <w:shd w:val="clear" w:color="auto" w:fill="CCEEFF"/>
          </w:tcPr>
          <w:p>
            <w:pPr>
              <w:spacing w:after="0"/>
              <w:rPr>
                <w:sz w:val="15"/>
                <w:szCs w:val="15"/>
                <w:color w:val="auto"/>
              </w:rPr>
            </w:pPr>
          </w:p>
        </w:tc>
      </w:tr>
      <w:tr>
        <w:trPr>
          <w:trHeight w:val="168"/>
        </w:trPr>
        <w:tc>
          <w:tcPr>
            <w:tcW w:w="3180" w:type="dxa"/>
            <w:vAlign w:val="bottom"/>
          </w:tcPr>
          <w:p>
            <w:pPr>
              <w:ind w:left="20"/>
              <w:spacing w:after="0"/>
              <w:rPr>
                <w:sz w:val="20"/>
                <w:szCs w:val="20"/>
                <w:color w:val="auto"/>
              </w:rPr>
            </w:pPr>
            <w:r>
              <w:rPr>
                <w:rFonts w:ascii="Calibri" w:cs="Calibri" w:eastAsia="Calibri" w:hAnsi="Calibri"/>
                <w:sz w:val="12"/>
                <w:szCs w:val="12"/>
                <w:b w:val="1"/>
                <w:bCs w:val="1"/>
                <w:color w:val="auto"/>
              </w:rPr>
              <w:t>Total adjustments</w:t>
            </w:r>
          </w:p>
        </w:tc>
        <w:tc>
          <w:tcPr>
            <w:tcW w:w="200" w:type="dxa"/>
            <w:vAlign w:val="bottom"/>
          </w:tcPr>
          <w:p>
            <w:pPr>
              <w:jc w:val="right"/>
              <w:ind w:right="87"/>
              <w:spacing w:after="0"/>
              <w:rPr>
                <w:sz w:val="20"/>
                <w:szCs w:val="20"/>
                <w:color w:val="auto"/>
              </w:rPr>
            </w:pPr>
            <w:r>
              <w:rPr>
                <w:rFonts w:ascii="Calibri" w:cs="Calibri" w:eastAsia="Calibri" w:hAnsi="Calibri"/>
                <w:sz w:val="11"/>
                <w:szCs w:val="11"/>
                <w:b w:val="1"/>
                <w:bCs w:val="1"/>
                <w:color w:val="auto"/>
                <w:w w:val="70"/>
              </w:rPr>
              <w:t>$</w:t>
            </w:r>
          </w:p>
        </w:tc>
        <w:tc>
          <w:tcPr>
            <w:tcW w:w="640" w:type="dxa"/>
            <w:vAlign w:val="bottom"/>
          </w:tcPr>
          <w:p>
            <w:pPr>
              <w:jc w:val="right"/>
              <w:spacing w:after="0"/>
              <w:rPr>
                <w:sz w:val="20"/>
                <w:szCs w:val="20"/>
                <w:color w:val="auto"/>
              </w:rPr>
            </w:pPr>
            <w:r>
              <w:rPr>
                <w:rFonts w:ascii="Calibri" w:cs="Calibri" w:eastAsia="Calibri" w:hAnsi="Calibri"/>
                <w:sz w:val="12"/>
                <w:szCs w:val="12"/>
                <w:b w:val="1"/>
                <w:bCs w:val="1"/>
                <w:color w:val="auto"/>
              </w:rPr>
              <w:t>2,857</w:t>
            </w:r>
          </w:p>
        </w:tc>
        <w:tc>
          <w:tcPr>
            <w:tcW w:w="320" w:type="dxa"/>
            <w:vAlign w:val="bottom"/>
          </w:tcPr>
          <w:p>
            <w:pPr>
              <w:jc w:val="right"/>
              <w:ind w:right="41"/>
              <w:spacing w:after="0"/>
              <w:rPr>
                <w:sz w:val="20"/>
                <w:szCs w:val="20"/>
                <w:color w:val="auto"/>
              </w:rPr>
            </w:pPr>
            <w:r>
              <w:rPr>
                <w:rFonts w:ascii="Calibri" w:cs="Calibri" w:eastAsia="Calibri" w:hAnsi="Calibri"/>
                <w:sz w:val="12"/>
                <w:szCs w:val="12"/>
                <w:b w:val="1"/>
                <w:bCs w:val="1"/>
                <w:color w:val="auto"/>
              </w:rPr>
              <w:t>$</w:t>
            </w:r>
          </w:p>
        </w:tc>
        <w:tc>
          <w:tcPr>
            <w:tcW w:w="620" w:type="dxa"/>
            <w:vAlign w:val="bottom"/>
          </w:tcPr>
          <w:p>
            <w:pPr>
              <w:jc w:val="right"/>
              <w:ind w:right="61"/>
              <w:spacing w:after="0"/>
              <w:rPr>
                <w:sz w:val="20"/>
                <w:szCs w:val="20"/>
                <w:color w:val="auto"/>
              </w:rPr>
            </w:pPr>
            <w:r>
              <w:rPr>
                <w:rFonts w:ascii="Calibri" w:cs="Calibri" w:eastAsia="Calibri" w:hAnsi="Calibri"/>
                <w:sz w:val="12"/>
                <w:szCs w:val="12"/>
                <w:b w:val="1"/>
                <w:bCs w:val="1"/>
                <w:color w:val="auto"/>
              </w:rPr>
              <w:t>0.16</w:t>
            </w:r>
          </w:p>
        </w:tc>
        <w:tc>
          <w:tcPr>
            <w:tcW w:w="260" w:type="dxa"/>
            <w:vAlign w:val="bottom"/>
          </w:tcPr>
          <w:p>
            <w:pPr>
              <w:jc w:val="right"/>
              <w:ind w:right="61"/>
              <w:spacing w:after="0"/>
              <w:rPr>
                <w:sz w:val="20"/>
                <w:szCs w:val="20"/>
                <w:color w:val="auto"/>
              </w:rPr>
            </w:pPr>
            <w:r>
              <w:rPr>
                <w:rFonts w:ascii="Calibri" w:cs="Calibri" w:eastAsia="Calibri" w:hAnsi="Calibri"/>
                <w:sz w:val="12"/>
                <w:szCs w:val="12"/>
                <w:b w:val="1"/>
                <w:bCs w:val="1"/>
                <w:color w:val="auto"/>
              </w:rPr>
              <w:t>$</w:t>
            </w:r>
          </w:p>
        </w:tc>
        <w:tc>
          <w:tcPr>
            <w:tcW w:w="720" w:type="dxa"/>
            <w:vAlign w:val="bottom"/>
          </w:tcPr>
          <w:p>
            <w:pPr>
              <w:jc w:val="right"/>
              <w:ind w:right="21"/>
              <w:spacing w:after="0"/>
              <w:rPr>
                <w:sz w:val="20"/>
                <w:szCs w:val="20"/>
                <w:color w:val="auto"/>
              </w:rPr>
            </w:pPr>
            <w:r>
              <w:rPr>
                <w:rFonts w:ascii="Calibri" w:cs="Calibri" w:eastAsia="Calibri" w:hAnsi="Calibri"/>
                <w:sz w:val="12"/>
                <w:szCs w:val="12"/>
                <w:b w:val="1"/>
                <w:bCs w:val="1"/>
                <w:color w:val="auto"/>
              </w:rPr>
              <w:t>24,248</w:t>
            </w:r>
          </w:p>
        </w:tc>
        <w:tc>
          <w:tcPr>
            <w:tcW w:w="160" w:type="dxa"/>
            <w:vAlign w:val="bottom"/>
          </w:tcPr>
          <w:p>
            <w:pPr>
              <w:jc w:val="right"/>
              <w:ind w:right="1"/>
              <w:spacing w:after="0"/>
              <w:rPr>
                <w:sz w:val="20"/>
                <w:szCs w:val="20"/>
                <w:color w:val="auto"/>
              </w:rPr>
            </w:pPr>
            <w:r>
              <w:rPr>
                <w:rFonts w:ascii="Calibri" w:cs="Calibri" w:eastAsia="Calibri" w:hAnsi="Calibri"/>
                <w:sz w:val="12"/>
                <w:szCs w:val="12"/>
                <w:b w:val="1"/>
                <w:bCs w:val="1"/>
                <w:color w:val="auto"/>
              </w:rPr>
              <w:t>$</w:t>
            </w:r>
          </w:p>
        </w:tc>
        <w:tc>
          <w:tcPr>
            <w:tcW w:w="840" w:type="dxa"/>
            <w:vAlign w:val="bottom"/>
          </w:tcPr>
          <w:p>
            <w:pPr>
              <w:jc w:val="right"/>
              <w:ind w:right="221"/>
              <w:spacing w:after="0"/>
              <w:rPr>
                <w:sz w:val="20"/>
                <w:szCs w:val="20"/>
                <w:color w:val="auto"/>
              </w:rPr>
            </w:pPr>
            <w:r>
              <w:rPr>
                <w:rFonts w:ascii="Calibri" w:cs="Calibri" w:eastAsia="Calibri" w:hAnsi="Calibri"/>
                <w:sz w:val="12"/>
                <w:szCs w:val="12"/>
                <w:b w:val="1"/>
                <w:bCs w:val="1"/>
                <w:color w:val="auto"/>
              </w:rPr>
              <w:t>1.37</w:t>
            </w:r>
          </w:p>
        </w:tc>
        <w:tc>
          <w:tcPr>
            <w:tcW w:w="800" w:type="dxa"/>
            <w:vAlign w:val="bottom"/>
          </w:tcPr>
          <w:p>
            <w:pPr>
              <w:jc w:val="right"/>
              <w:ind w:right="41"/>
              <w:spacing w:after="0"/>
              <w:rPr>
                <w:sz w:val="20"/>
                <w:szCs w:val="20"/>
                <w:color w:val="auto"/>
              </w:rPr>
            </w:pPr>
            <w:r>
              <w:rPr>
                <w:rFonts w:ascii="Calibri" w:cs="Calibri" w:eastAsia="Calibri" w:hAnsi="Calibri"/>
                <w:sz w:val="12"/>
                <w:szCs w:val="12"/>
                <w:b w:val="1"/>
                <w:bCs w:val="1"/>
                <w:color w:val="auto"/>
              </w:rPr>
              <w:t>11,256</w:t>
            </w:r>
          </w:p>
        </w:tc>
        <w:tc>
          <w:tcPr>
            <w:tcW w:w="180" w:type="dxa"/>
            <w:vAlign w:val="bottom"/>
          </w:tcPr>
          <w:p>
            <w:pPr>
              <w:jc w:val="right"/>
              <w:spacing w:after="0"/>
              <w:rPr>
                <w:sz w:val="20"/>
                <w:szCs w:val="20"/>
                <w:color w:val="auto"/>
              </w:rPr>
            </w:pPr>
            <w:r>
              <w:rPr>
                <w:rFonts w:ascii="Calibri" w:cs="Calibri" w:eastAsia="Calibri" w:hAnsi="Calibri"/>
                <w:sz w:val="12"/>
                <w:szCs w:val="12"/>
                <w:b w:val="1"/>
                <w:bCs w:val="1"/>
                <w:color w:val="auto"/>
              </w:rPr>
              <w:t>$</w:t>
            </w:r>
          </w:p>
        </w:tc>
        <w:tc>
          <w:tcPr>
            <w:tcW w:w="700" w:type="dxa"/>
            <w:vAlign w:val="bottom"/>
          </w:tcPr>
          <w:p>
            <w:pPr>
              <w:jc w:val="right"/>
              <w:ind w:right="61"/>
              <w:spacing w:after="0"/>
              <w:rPr>
                <w:sz w:val="20"/>
                <w:szCs w:val="20"/>
                <w:color w:val="auto"/>
              </w:rPr>
            </w:pPr>
            <w:r>
              <w:rPr>
                <w:rFonts w:ascii="Calibri" w:cs="Calibri" w:eastAsia="Calibri" w:hAnsi="Calibri"/>
                <w:sz w:val="12"/>
                <w:szCs w:val="12"/>
                <w:b w:val="1"/>
                <w:bCs w:val="1"/>
                <w:color w:val="auto"/>
              </w:rPr>
              <w:t>0.87</w:t>
            </w:r>
          </w:p>
        </w:tc>
        <w:tc>
          <w:tcPr>
            <w:tcW w:w="280" w:type="dxa"/>
            <w:vAlign w:val="bottom"/>
          </w:tcPr>
          <w:p>
            <w:pPr>
              <w:spacing w:after="0"/>
              <w:rPr>
                <w:sz w:val="14"/>
                <w:szCs w:val="14"/>
                <w:color w:val="auto"/>
              </w:rPr>
            </w:pPr>
          </w:p>
        </w:tc>
      </w:tr>
      <w:tr>
        <w:trPr>
          <w:trHeight w:val="185"/>
        </w:trPr>
        <w:tc>
          <w:tcPr>
            <w:tcW w:w="3180" w:type="dxa"/>
            <w:vAlign w:val="bottom"/>
            <w:shd w:val="clear" w:color="auto" w:fill="CCEEFF"/>
          </w:tcPr>
          <w:p>
            <w:pPr>
              <w:ind w:left="20"/>
              <w:spacing w:after="0" w:line="185" w:lineRule="exact"/>
              <w:rPr>
                <w:sz w:val="20"/>
                <w:szCs w:val="20"/>
                <w:color w:val="auto"/>
              </w:rPr>
            </w:pPr>
            <w:r>
              <w:rPr>
                <w:rFonts w:ascii="Calibri" w:cs="Calibri" w:eastAsia="Calibri" w:hAnsi="Calibri"/>
                <w:sz w:val="11"/>
                <w:szCs w:val="11"/>
                <w:color w:val="auto"/>
              </w:rPr>
              <w:t>Tax impact of adjustments</w:t>
            </w:r>
            <w:r>
              <w:rPr>
                <w:rFonts w:ascii="Calibri" w:cs="Calibri" w:eastAsia="Calibri" w:hAnsi="Calibri"/>
                <w:sz w:val="20"/>
                <w:szCs w:val="20"/>
                <w:color w:val="auto"/>
                <w:vertAlign w:val="superscript"/>
              </w:rPr>
              <w:t>(b)</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2"/>
                <w:szCs w:val="12"/>
                <w:color w:val="auto"/>
              </w:rPr>
              <w:t>(1,226)</w:t>
            </w:r>
          </w:p>
        </w:tc>
        <w:tc>
          <w:tcPr>
            <w:tcW w:w="3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1"/>
              <w:spacing w:after="0"/>
              <w:rPr>
                <w:sz w:val="20"/>
                <w:szCs w:val="20"/>
                <w:color w:val="auto"/>
              </w:rPr>
            </w:pPr>
            <w:r>
              <w:rPr>
                <w:rFonts w:ascii="Calibri" w:cs="Calibri" w:eastAsia="Calibri" w:hAnsi="Calibri"/>
                <w:sz w:val="12"/>
                <w:szCs w:val="12"/>
                <w:color w:val="auto"/>
              </w:rPr>
              <w:t>(0.07)</w:t>
            </w: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Calibri" w:cs="Calibri" w:eastAsia="Calibri" w:hAnsi="Calibri"/>
                <w:sz w:val="12"/>
                <w:szCs w:val="12"/>
                <w:color w:val="auto"/>
              </w:rPr>
              <w:t>(3,519)</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81"/>
              <w:spacing w:after="0"/>
              <w:rPr>
                <w:sz w:val="20"/>
                <w:szCs w:val="20"/>
                <w:color w:val="auto"/>
              </w:rPr>
            </w:pPr>
            <w:r>
              <w:rPr>
                <w:rFonts w:ascii="Calibri" w:cs="Calibri" w:eastAsia="Calibri" w:hAnsi="Calibri"/>
                <w:sz w:val="12"/>
                <w:szCs w:val="12"/>
                <w:color w:val="auto"/>
              </w:rPr>
              <w:t>(0.20)</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Calibri" w:cs="Calibri" w:eastAsia="Calibri" w:hAnsi="Calibri"/>
                <w:sz w:val="12"/>
                <w:szCs w:val="12"/>
                <w:color w:val="auto"/>
              </w:rPr>
              <w:t>(1,977)</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Calibri" w:cs="Calibri" w:eastAsia="Calibri" w:hAnsi="Calibri"/>
                <w:sz w:val="12"/>
                <w:szCs w:val="12"/>
                <w:color w:val="auto"/>
              </w:rPr>
              <w:t>(0.15)</w:t>
            </w:r>
          </w:p>
        </w:tc>
        <w:tc>
          <w:tcPr>
            <w:tcW w:w="280" w:type="dxa"/>
            <w:vAlign w:val="bottom"/>
            <w:tcBorders>
              <w:bottom w:val="single" w:sz="8" w:color="auto"/>
            </w:tcBorders>
            <w:shd w:val="clear" w:color="auto" w:fill="CCEEFF"/>
          </w:tcPr>
          <w:p>
            <w:pPr>
              <w:spacing w:after="0"/>
              <w:rPr>
                <w:sz w:val="16"/>
                <w:szCs w:val="16"/>
                <w:color w:val="auto"/>
              </w:rPr>
            </w:pPr>
          </w:p>
        </w:tc>
      </w:tr>
      <w:tr>
        <w:trPr>
          <w:trHeight w:val="205"/>
        </w:trPr>
        <w:tc>
          <w:tcPr>
            <w:tcW w:w="3180" w:type="dxa"/>
            <w:vAlign w:val="bottom"/>
            <w:tcBorders>
              <w:bottom w:val="single" w:sz="8" w:color="CCEEFF"/>
            </w:tcBorders>
          </w:tcPr>
          <w:p>
            <w:pPr>
              <w:ind w:left="20"/>
              <w:spacing w:after="0"/>
              <w:rPr>
                <w:sz w:val="20"/>
                <w:szCs w:val="20"/>
                <w:color w:val="auto"/>
              </w:rPr>
            </w:pPr>
            <w:r>
              <w:rPr>
                <w:rFonts w:ascii="Calibri" w:cs="Calibri" w:eastAsia="Calibri" w:hAnsi="Calibri"/>
                <w:sz w:val="12"/>
                <w:szCs w:val="12"/>
                <w:b w:val="1"/>
                <w:bCs w:val="1"/>
                <w:color w:val="auto"/>
              </w:rPr>
              <w:t>Adjusted net income and adjusted earnings per share</w:t>
            </w:r>
          </w:p>
        </w:tc>
        <w:tc>
          <w:tcPr>
            <w:tcW w:w="200" w:type="dxa"/>
            <w:vAlign w:val="bottom"/>
            <w:tcBorders>
              <w:bottom w:val="single" w:sz="8" w:color="auto"/>
            </w:tcBorders>
          </w:tcPr>
          <w:p>
            <w:pPr>
              <w:jc w:val="right"/>
              <w:ind w:right="87"/>
              <w:spacing w:after="0"/>
              <w:rPr>
                <w:sz w:val="20"/>
                <w:szCs w:val="20"/>
                <w:color w:val="auto"/>
              </w:rPr>
            </w:pPr>
            <w:r>
              <w:rPr>
                <w:rFonts w:ascii="Calibri" w:cs="Calibri" w:eastAsia="Calibri" w:hAnsi="Calibri"/>
                <w:sz w:val="11"/>
                <w:szCs w:val="11"/>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b w:val="1"/>
                <w:bCs w:val="1"/>
                <w:color w:val="auto"/>
              </w:rPr>
              <w:t>24,621</w:t>
            </w:r>
          </w:p>
        </w:tc>
        <w:tc>
          <w:tcPr>
            <w:tcW w:w="32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12"/>
                <w:szCs w:val="12"/>
                <w:b w:val="1"/>
                <w:bCs w:val="1"/>
                <w:color w:val="auto"/>
              </w:rPr>
              <w:t>$</w:t>
            </w:r>
          </w:p>
        </w:tc>
        <w:tc>
          <w:tcPr>
            <w:tcW w:w="620" w:type="dxa"/>
            <w:vAlign w:val="bottom"/>
            <w:tcBorders>
              <w:bottom w:val="single" w:sz="8" w:color="auto"/>
            </w:tcBorders>
          </w:tcPr>
          <w:p>
            <w:pPr>
              <w:jc w:val="right"/>
              <w:ind w:right="61"/>
              <w:spacing w:after="0"/>
              <w:rPr>
                <w:sz w:val="20"/>
                <w:szCs w:val="20"/>
                <w:color w:val="auto"/>
              </w:rPr>
            </w:pPr>
            <w:r>
              <w:rPr>
                <w:rFonts w:ascii="Calibri" w:cs="Calibri" w:eastAsia="Calibri" w:hAnsi="Calibri"/>
                <w:sz w:val="12"/>
                <w:szCs w:val="12"/>
                <w:b w:val="1"/>
                <w:bCs w:val="1"/>
                <w:color w:val="auto"/>
              </w:rPr>
              <w:t>1.35</w:t>
            </w:r>
          </w:p>
        </w:tc>
        <w:tc>
          <w:tcPr>
            <w:tcW w:w="260" w:type="dxa"/>
            <w:vAlign w:val="bottom"/>
            <w:tcBorders>
              <w:bottom w:val="single" w:sz="8" w:color="auto"/>
            </w:tcBorders>
          </w:tcPr>
          <w:p>
            <w:pPr>
              <w:jc w:val="right"/>
              <w:ind w:right="61"/>
              <w:spacing w:after="0"/>
              <w:rPr>
                <w:sz w:val="20"/>
                <w:szCs w:val="20"/>
                <w:color w:val="auto"/>
              </w:rPr>
            </w:pPr>
            <w:r>
              <w:rPr>
                <w:rFonts w:ascii="Calibri" w:cs="Calibri" w:eastAsia="Calibri" w:hAnsi="Calibri"/>
                <w:sz w:val="12"/>
                <w:szCs w:val="12"/>
                <w:b w:val="1"/>
                <w:bCs w:val="1"/>
                <w:color w:val="auto"/>
              </w:rPr>
              <w:t>$</w:t>
            </w:r>
          </w:p>
        </w:tc>
        <w:tc>
          <w:tcPr>
            <w:tcW w:w="720" w:type="dxa"/>
            <w:vAlign w:val="bottom"/>
            <w:tcBorders>
              <w:bottom w:val="single" w:sz="8" w:color="auto"/>
            </w:tcBorders>
          </w:tcPr>
          <w:p>
            <w:pPr>
              <w:jc w:val="right"/>
              <w:ind w:right="21"/>
              <w:spacing w:after="0"/>
              <w:rPr>
                <w:sz w:val="20"/>
                <w:szCs w:val="20"/>
                <w:color w:val="auto"/>
              </w:rPr>
            </w:pPr>
            <w:r>
              <w:rPr>
                <w:rFonts w:ascii="Calibri" w:cs="Calibri" w:eastAsia="Calibri" w:hAnsi="Calibri"/>
                <w:sz w:val="12"/>
                <w:szCs w:val="12"/>
                <w:b w:val="1"/>
                <w:bCs w:val="1"/>
                <w:color w:val="auto"/>
              </w:rPr>
              <w:t>23,576</w:t>
            </w:r>
          </w:p>
        </w:tc>
        <w:tc>
          <w:tcPr>
            <w:tcW w:w="160" w:type="dxa"/>
            <w:vAlign w:val="bottom"/>
            <w:tcBorders>
              <w:bottom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rPr>
              <w:t>$</w:t>
            </w:r>
          </w:p>
        </w:tc>
        <w:tc>
          <w:tcPr>
            <w:tcW w:w="840" w:type="dxa"/>
            <w:vAlign w:val="bottom"/>
            <w:tcBorders>
              <w:bottom w:val="single" w:sz="8" w:color="auto"/>
            </w:tcBorders>
          </w:tcPr>
          <w:p>
            <w:pPr>
              <w:jc w:val="right"/>
              <w:ind w:right="221"/>
              <w:spacing w:after="0"/>
              <w:rPr>
                <w:sz w:val="20"/>
                <w:szCs w:val="20"/>
                <w:color w:val="auto"/>
              </w:rPr>
            </w:pPr>
            <w:r>
              <w:rPr>
                <w:rFonts w:ascii="Calibri" w:cs="Calibri" w:eastAsia="Calibri" w:hAnsi="Calibri"/>
                <w:sz w:val="12"/>
                <w:szCs w:val="12"/>
                <w:b w:val="1"/>
                <w:bCs w:val="1"/>
                <w:color w:val="auto"/>
              </w:rPr>
              <w:t>1.34</w:t>
            </w:r>
          </w:p>
        </w:tc>
        <w:tc>
          <w:tcPr>
            <w:tcW w:w="80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12"/>
                <w:szCs w:val="12"/>
                <w:b w:val="1"/>
                <w:bCs w:val="1"/>
                <w:color w:val="auto"/>
              </w:rPr>
              <w:t>17,049</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b w:val="1"/>
                <w:bCs w:val="1"/>
                <w:color w:val="auto"/>
              </w:rPr>
              <w:t>$</w:t>
            </w:r>
          </w:p>
        </w:tc>
        <w:tc>
          <w:tcPr>
            <w:tcW w:w="700" w:type="dxa"/>
            <w:vAlign w:val="bottom"/>
            <w:tcBorders>
              <w:bottom w:val="single" w:sz="8" w:color="auto"/>
            </w:tcBorders>
          </w:tcPr>
          <w:p>
            <w:pPr>
              <w:jc w:val="right"/>
              <w:ind w:right="61"/>
              <w:spacing w:after="0"/>
              <w:rPr>
                <w:sz w:val="20"/>
                <w:szCs w:val="20"/>
                <w:color w:val="auto"/>
              </w:rPr>
            </w:pPr>
            <w:r>
              <w:rPr>
                <w:rFonts w:ascii="Calibri" w:cs="Calibri" w:eastAsia="Calibri" w:hAnsi="Calibri"/>
                <w:sz w:val="12"/>
                <w:szCs w:val="12"/>
                <w:b w:val="1"/>
                <w:bCs w:val="1"/>
                <w:color w:val="auto"/>
              </w:rPr>
              <w:t>1.32</w:t>
            </w:r>
          </w:p>
        </w:tc>
        <w:tc>
          <w:tcPr>
            <w:tcW w:w="280" w:type="dxa"/>
            <w:vAlign w:val="bottom"/>
            <w:tcBorders>
              <w:bottom w:val="single" w:sz="8" w:color="auto"/>
            </w:tcBorders>
          </w:tcPr>
          <w:p>
            <w:pPr>
              <w:spacing w:after="0"/>
              <w:rPr>
                <w:sz w:val="17"/>
                <w:szCs w:val="17"/>
                <w:color w:val="auto"/>
              </w:rPr>
            </w:pPr>
          </w:p>
        </w:tc>
      </w:tr>
      <w:tr>
        <w:trPr>
          <w:trHeight w:val="153"/>
        </w:trPr>
        <w:tc>
          <w:tcPr>
            <w:tcW w:w="3180" w:type="dxa"/>
            <w:vAlign w:val="bottom"/>
            <w:shd w:val="clear" w:color="auto" w:fill="CCEEFF"/>
          </w:tcPr>
          <w:p>
            <w:pPr>
              <w:ind w:left="20"/>
              <w:spacing w:after="0" w:line="138" w:lineRule="exact"/>
              <w:rPr>
                <w:sz w:val="20"/>
                <w:szCs w:val="20"/>
                <w:color w:val="auto"/>
              </w:rPr>
            </w:pPr>
            <w:r>
              <w:rPr>
                <w:rFonts w:ascii="Calibri" w:cs="Calibri" w:eastAsia="Calibri" w:hAnsi="Calibri"/>
                <w:sz w:val="12"/>
                <w:szCs w:val="12"/>
                <w:b w:val="1"/>
                <w:bCs w:val="1"/>
                <w:color w:val="auto"/>
              </w:rPr>
              <w:t>Adjusted net income margin</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38" w:lineRule="exact"/>
              <w:rPr>
                <w:sz w:val="20"/>
                <w:szCs w:val="20"/>
                <w:color w:val="auto"/>
              </w:rPr>
            </w:pPr>
            <w:r>
              <w:rPr>
                <w:rFonts w:ascii="Calibri" w:cs="Calibri" w:eastAsia="Calibri" w:hAnsi="Calibri"/>
                <w:sz w:val="12"/>
                <w:szCs w:val="12"/>
                <w:b w:val="1"/>
                <w:bCs w:val="1"/>
                <w:color w:val="auto"/>
              </w:rPr>
              <w:t>5.0%</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1"/>
              <w:spacing w:after="0" w:line="138" w:lineRule="exact"/>
              <w:rPr>
                <w:sz w:val="20"/>
                <w:szCs w:val="20"/>
                <w:color w:val="auto"/>
              </w:rPr>
            </w:pPr>
            <w:r>
              <w:rPr>
                <w:rFonts w:ascii="Calibri" w:cs="Calibri" w:eastAsia="Calibri" w:hAnsi="Calibri"/>
                <w:sz w:val="12"/>
                <w:szCs w:val="12"/>
                <w:b w:val="1"/>
                <w:bCs w:val="1"/>
                <w:color w:val="auto"/>
              </w:rPr>
              <w:t>5.3%</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1"/>
              <w:spacing w:after="0" w:line="138" w:lineRule="exact"/>
              <w:rPr>
                <w:sz w:val="20"/>
                <w:szCs w:val="20"/>
                <w:color w:val="auto"/>
              </w:rPr>
            </w:pPr>
            <w:r>
              <w:rPr>
                <w:rFonts w:ascii="Calibri" w:cs="Calibri" w:eastAsia="Calibri" w:hAnsi="Calibri"/>
                <w:sz w:val="12"/>
                <w:szCs w:val="12"/>
                <w:b w:val="1"/>
                <w:bCs w:val="1"/>
                <w:color w:val="auto"/>
              </w:rPr>
              <w:t>4.2%</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112395</wp:posOffset>
            </wp:positionV>
            <wp:extent cx="5647055" cy="112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47055" cy="11239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p>
      <w:pPr>
        <w:spacing w:after="0" w:line="80" w:lineRule="exact"/>
        <w:rPr>
          <w:sz w:val="20"/>
          <w:szCs w:val="20"/>
          <w:color w:val="auto"/>
        </w:rPr>
      </w:pPr>
    </w:p>
    <w:p>
      <w:pPr>
        <w:ind w:left="40"/>
        <w:spacing w:after="0"/>
        <w:rPr>
          <w:sz w:val="20"/>
          <w:szCs w:val="20"/>
          <w:color w:val="auto"/>
        </w:rPr>
      </w:pPr>
      <w:r>
        <w:rPr>
          <w:rFonts w:ascii="Calibri" w:cs="Calibri" w:eastAsia="Calibri" w:hAnsi="Calibri"/>
          <w:sz w:val="12"/>
          <w:szCs w:val="12"/>
          <w:b w:val="1"/>
          <w:bCs w:val="1"/>
          <w:color w:val="auto"/>
        </w:rPr>
        <w:t>Weighted average shares outstanding</w:t>
      </w:r>
      <w:r>
        <w:rPr>
          <w:rFonts w:ascii="Calibri" w:cs="Calibri" w:eastAsia="Calibri" w:hAnsi="Calibri"/>
          <w:sz w:val="22"/>
          <w:szCs w:val="22"/>
          <w:b w:val="1"/>
          <w:bCs w:val="1"/>
          <w:color w:val="auto"/>
          <w:vertAlign w:val="superscript"/>
        </w:rPr>
        <w:t>(c)</w:t>
      </w:r>
    </w:p>
    <w:p>
      <w:pPr>
        <w:ind w:left="40"/>
        <w:spacing w:after="0" w:line="181" w:lineRule="auto"/>
        <w:rPr>
          <w:sz w:val="20"/>
          <w:szCs w:val="20"/>
          <w:color w:val="auto"/>
        </w:rPr>
      </w:pPr>
      <w:r>
        <w:rPr>
          <w:rFonts w:ascii="Calibri" w:cs="Calibri" w:eastAsia="Calibri" w:hAnsi="Calibri"/>
          <w:sz w:val="11"/>
          <w:szCs w:val="11"/>
          <w:color w:val="auto"/>
        </w:rPr>
        <w:t>Dilutve impact of shares issued on August 7, 2020</w:t>
      </w:r>
      <w:r>
        <w:rPr>
          <w:rFonts w:ascii="Calibri" w:cs="Calibri" w:eastAsia="Calibri" w:hAnsi="Calibri"/>
          <w:sz w:val="21"/>
          <w:szCs w:val="21"/>
          <w:color w:val="auto"/>
          <w:vertAlign w:val="superscript"/>
        </w:rPr>
        <w:t>(d)</w:t>
      </w:r>
    </w:p>
    <w:p>
      <w:pPr>
        <w:ind w:left="40" w:right="180"/>
        <w:spacing w:after="0" w:line="182" w:lineRule="auto"/>
        <w:rPr>
          <w:sz w:val="20"/>
          <w:szCs w:val="20"/>
          <w:color w:val="auto"/>
        </w:rPr>
      </w:pPr>
      <w:r>
        <w:rPr>
          <w:rFonts w:ascii="Calibri" w:cs="Calibri" w:eastAsia="Calibri" w:hAnsi="Calibri"/>
          <w:sz w:val="11"/>
          <w:szCs w:val="11"/>
          <w:color w:val="auto"/>
        </w:rPr>
        <w:t>Dilutve impact of preferred share conversion on August 7, 2020</w:t>
      </w:r>
      <w:r>
        <w:rPr>
          <w:rFonts w:ascii="Calibri" w:cs="Calibri" w:eastAsia="Calibri" w:hAnsi="Calibri"/>
          <w:sz w:val="20"/>
          <w:szCs w:val="20"/>
          <w:color w:val="auto"/>
          <w:vertAlign w:val="superscript"/>
        </w:rPr>
        <w:t>(d)</w:t>
      </w:r>
    </w:p>
    <w:p>
      <w:pPr>
        <w:spacing w:after="0" w:line="1" w:lineRule="exact"/>
        <w:rPr>
          <w:sz w:val="20"/>
          <w:szCs w:val="20"/>
          <w:color w:val="auto"/>
        </w:rPr>
      </w:pPr>
    </w:p>
    <w:p>
      <w:pPr>
        <w:ind w:left="40"/>
        <w:spacing w:after="0" w:line="182" w:lineRule="auto"/>
        <w:rPr>
          <w:sz w:val="20"/>
          <w:szCs w:val="20"/>
          <w:color w:val="auto"/>
        </w:rPr>
      </w:pPr>
      <w:r>
        <w:rPr>
          <w:rFonts w:ascii="Calibri" w:cs="Calibri" w:eastAsia="Calibri" w:hAnsi="Calibri"/>
          <w:sz w:val="11"/>
          <w:szCs w:val="11"/>
          <w:color w:val="auto"/>
        </w:rPr>
        <w:t>Dilutve impact of share-based compensaton and the Amazon warrant</w:t>
      </w:r>
      <w:r>
        <w:rPr>
          <w:rFonts w:ascii="Calibri" w:cs="Calibri" w:eastAsia="Calibri" w:hAnsi="Calibri"/>
          <w:sz w:val="20"/>
          <w:szCs w:val="20"/>
          <w:color w:val="auto"/>
          <w:vertAlign w:val="superscript"/>
        </w:rPr>
        <w:t>(d)</w:t>
      </w:r>
    </w:p>
    <w:p>
      <w:pPr>
        <w:spacing w:after="0" w:line="1" w:lineRule="exact"/>
        <w:rPr>
          <w:sz w:val="20"/>
          <w:szCs w:val="20"/>
          <w:color w:val="auto"/>
        </w:rPr>
      </w:pPr>
    </w:p>
    <w:p>
      <w:pPr>
        <w:ind w:left="40" w:right="40"/>
        <w:spacing w:after="0" w:line="232" w:lineRule="auto"/>
        <w:rPr>
          <w:sz w:val="20"/>
          <w:szCs w:val="20"/>
          <w:color w:val="auto"/>
        </w:rPr>
      </w:pPr>
      <w:r>
        <w:rPr>
          <w:rFonts w:ascii="Calibri" w:cs="Calibri" w:eastAsia="Calibri" w:hAnsi="Calibri"/>
          <w:sz w:val="11"/>
          <w:szCs w:val="11"/>
          <w:b w:val="1"/>
          <w:bCs w:val="1"/>
          <w:color w:val="auto"/>
        </w:rPr>
        <w:t>Pro forma adjusted weighted average shares outstanding - diluted and pro forma adjusted earnings per share - diluted</w:t>
      </w:r>
    </w:p>
    <w:p>
      <w:pPr>
        <w:spacing w:after="0" w:line="28" w:lineRule="exact"/>
        <w:rPr>
          <w:sz w:val="20"/>
          <w:szCs w:val="20"/>
          <w:color w:val="auto"/>
        </w:rPr>
      </w:pPr>
    </w:p>
    <w:p>
      <w:pPr>
        <w:ind w:left="300" w:hanging="265"/>
        <w:spacing w:after="0"/>
        <w:tabs>
          <w:tab w:leader="none" w:pos="3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Includes phantom stock expense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900" w:type="dxa"/>
            <w:vAlign w:val="bottom"/>
          </w:tcPr>
          <w:p>
            <w:pPr>
              <w:jc w:val="right"/>
              <w:ind w:right="41"/>
              <w:spacing w:after="0"/>
              <w:rPr>
                <w:sz w:val="20"/>
                <w:szCs w:val="20"/>
                <w:color w:val="auto"/>
              </w:rPr>
            </w:pPr>
            <w:r>
              <w:rPr>
                <w:rFonts w:ascii="Calibri" w:cs="Calibri" w:eastAsia="Calibri" w:hAnsi="Calibri"/>
                <w:sz w:val="12"/>
                <w:szCs w:val="12"/>
                <w:b w:val="1"/>
                <w:bCs w:val="1"/>
                <w:color w:val="auto"/>
              </w:rPr>
              <w:t>18,232,399</w:t>
            </w:r>
          </w:p>
        </w:tc>
        <w:tc>
          <w:tcPr>
            <w:tcW w:w="340" w:type="dxa"/>
            <w:vAlign w:val="bottom"/>
          </w:tcPr>
          <w:p>
            <w:pPr>
              <w:jc w:val="right"/>
              <w:ind w:right="121"/>
              <w:spacing w:after="0"/>
              <w:rPr>
                <w:sz w:val="20"/>
                <w:szCs w:val="20"/>
                <w:color w:val="auto"/>
              </w:rPr>
            </w:pPr>
            <w:r>
              <w:rPr>
                <w:rFonts w:ascii="Calibri" w:cs="Calibri" w:eastAsia="Calibri" w:hAnsi="Calibri"/>
                <w:sz w:val="12"/>
                <w:szCs w:val="12"/>
                <w:b w:val="1"/>
                <w:bCs w:val="1"/>
                <w:color w:val="auto"/>
              </w:rPr>
              <w:t>$</w:t>
            </w:r>
          </w:p>
        </w:tc>
        <w:tc>
          <w:tcPr>
            <w:tcW w:w="680" w:type="dxa"/>
            <w:vAlign w:val="bottom"/>
          </w:tcPr>
          <w:p>
            <w:pPr>
              <w:jc w:val="right"/>
              <w:ind w:right="201"/>
              <w:spacing w:after="0"/>
              <w:rPr>
                <w:sz w:val="20"/>
                <w:szCs w:val="20"/>
                <w:color w:val="auto"/>
              </w:rPr>
            </w:pPr>
            <w:r>
              <w:rPr>
                <w:rFonts w:ascii="Calibri" w:cs="Calibri" w:eastAsia="Calibri" w:hAnsi="Calibri"/>
                <w:sz w:val="12"/>
                <w:szCs w:val="12"/>
                <w:b w:val="1"/>
                <w:bCs w:val="1"/>
                <w:color w:val="auto"/>
              </w:rPr>
              <w:t>1.35</w:t>
            </w:r>
          </w:p>
        </w:tc>
        <w:tc>
          <w:tcPr>
            <w:tcW w:w="820" w:type="dxa"/>
            <w:vAlign w:val="bottom"/>
          </w:tcPr>
          <w:p>
            <w:pPr>
              <w:jc w:val="right"/>
              <w:ind w:right="1"/>
              <w:spacing w:after="0"/>
              <w:rPr>
                <w:sz w:val="20"/>
                <w:szCs w:val="20"/>
                <w:color w:val="auto"/>
              </w:rPr>
            </w:pPr>
            <w:r>
              <w:rPr>
                <w:rFonts w:ascii="Calibri" w:cs="Calibri" w:eastAsia="Calibri" w:hAnsi="Calibri"/>
                <w:sz w:val="12"/>
                <w:szCs w:val="12"/>
                <w:b w:val="1"/>
                <w:bCs w:val="1"/>
                <w:color w:val="auto"/>
              </w:rPr>
              <w:t>17,649,446</w:t>
            </w:r>
          </w:p>
        </w:tc>
        <w:tc>
          <w:tcPr>
            <w:tcW w:w="300" w:type="dxa"/>
            <w:vAlign w:val="bottom"/>
          </w:tcPr>
          <w:p>
            <w:pPr>
              <w:jc w:val="right"/>
              <w:ind w:right="121"/>
              <w:spacing w:after="0"/>
              <w:rPr>
                <w:sz w:val="20"/>
                <w:szCs w:val="20"/>
                <w:color w:val="auto"/>
              </w:rPr>
            </w:pPr>
            <w:r>
              <w:rPr>
                <w:rFonts w:ascii="Calibri" w:cs="Calibri" w:eastAsia="Calibri" w:hAnsi="Calibri"/>
                <w:sz w:val="12"/>
                <w:szCs w:val="12"/>
                <w:b w:val="1"/>
                <w:bCs w:val="1"/>
                <w:color w:val="auto"/>
              </w:rPr>
              <w:t>$</w:t>
            </w:r>
          </w:p>
        </w:tc>
        <w:tc>
          <w:tcPr>
            <w:tcW w:w="680" w:type="dxa"/>
            <w:vAlign w:val="bottom"/>
          </w:tcPr>
          <w:p>
            <w:pPr>
              <w:jc w:val="right"/>
              <w:ind w:right="181"/>
              <w:spacing w:after="0"/>
              <w:rPr>
                <w:sz w:val="20"/>
                <w:szCs w:val="20"/>
                <w:color w:val="auto"/>
              </w:rPr>
            </w:pPr>
            <w:r>
              <w:rPr>
                <w:rFonts w:ascii="Calibri" w:cs="Calibri" w:eastAsia="Calibri" w:hAnsi="Calibri"/>
                <w:sz w:val="12"/>
                <w:szCs w:val="12"/>
                <w:b w:val="1"/>
                <w:bCs w:val="1"/>
                <w:color w:val="auto"/>
              </w:rPr>
              <w:t>1.34</w:t>
            </w:r>
          </w:p>
        </w:tc>
        <w:tc>
          <w:tcPr>
            <w:tcW w:w="760" w:type="dxa"/>
            <w:vAlign w:val="bottom"/>
          </w:tcPr>
          <w:p>
            <w:pPr>
              <w:jc w:val="right"/>
              <w:spacing w:after="0"/>
              <w:rPr>
                <w:sz w:val="20"/>
                <w:szCs w:val="20"/>
                <w:color w:val="auto"/>
              </w:rPr>
            </w:pPr>
            <w:r>
              <w:rPr>
                <w:rFonts w:ascii="Calibri" w:cs="Calibri" w:eastAsia="Calibri" w:hAnsi="Calibri"/>
                <w:sz w:val="12"/>
                <w:szCs w:val="12"/>
                <w:b w:val="1"/>
                <w:bCs w:val="1"/>
                <w:color w:val="auto"/>
              </w:rPr>
              <w:t>12,936,962</w:t>
            </w:r>
          </w:p>
        </w:tc>
        <w:tc>
          <w:tcPr>
            <w:tcW w:w="400" w:type="dxa"/>
            <w:vAlign w:val="bottom"/>
          </w:tcPr>
          <w:p>
            <w:pPr>
              <w:jc w:val="right"/>
              <w:ind w:right="122"/>
              <w:spacing w:after="0"/>
              <w:rPr>
                <w:sz w:val="20"/>
                <w:szCs w:val="20"/>
                <w:color w:val="auto"/>
              </w:rPr>
            </w:pPr>
            <w:r>
              <w:rPr>
                <w:rFonts w:ascii="Calibri" w:cs="Calibri" w:eastAsia="Calibri" w:hAnsi="Calibri"/>
                <w:sz w:val="12"/>
                <w:szCs w:val="12"/>
                <w:b w:val="1"/>
                <w:bCs w:val="1"/>
                <w:color w:val="auto"/>
              </w:rPr>
              <w:t>$</w:t>
            </w:r>
          </w:p>
        </w:tc>
        <w:tc>
          <w:tcPr>
            <w:tcW w:w="580" w:type="dxa"/>
            <w:vAlign w:val="bottom"/>
          </w:tcPr>
          <w:p>
            <w:pPr>
              <w:jc w:val="right"/>
              <w:ind w:right="81"/>
              <w:spacing w:after="0"/>
              <w:rPr>
                <w:sz w:val="20"/>
                <w:szCs w:val="20"/>
                <w:color w:val="auto"/>
              </w:rPr>
            </w:pPr>
            <w:r>
              <w:rPr>
                <w:rFonts w:ascii="Calibri" w:cs="Calibri" w:eastAsia="Calibri" w:hAnsi="Calibri"/>
                <w:sz w:val="12"/>
                <w:szCs w:val="12"/>
                <w:b w:val="1"/>
                <w:bCs w:val="1"/>
                <w:color w:val="auto"/>
              </w:rPr>
              <w:t>1.32</w:t>
            </w:r>
          </w:p>
        </w:tc>
        <w:tc>
          <w:tcPr>
            <w:tcW w:w="260" w:type="dxa"/>
            <w:vAlign w:val="bottom"/>
          </w:tcPr>
          <w:p>
            <w:pPr>
              <w:spacing w:after="0"/>
              <w:rPr>
                <w:sz w:val="12"/>
                <w:szCs w:val="12"/>
                <w:color w:val="auto"/>
              </w:rPr>
            </w:pPr>
          </w:p>
        </w:tc>
      </w:tr>
      <w:tr>
        <w:trPr>
          <w:trHeight w:val="177"/>
        </w:trPr>
        <w:tc>
          <w:tcPr>
            <w:tcW w:w="900" w:type="dxa"/>
            <w:vAlign w:val="bottom"/>
          </w:tcPr>
          <w:p>
            <w:pPr>
              <w:jc w:val="right"/>
              <w:ind w:right="41"/>
              <w:spacing w:after="0"/>
              <w:rPr>
                <w:sz w:val="20"/>
                <w:szCs w:val="20"/>
                <w:color w:val="auto"/>
              </w:rPr>
            </w:pPr>
            <w:r>
              <w:rPr>
                <w:rFonts w:ascii="Calibri" w:cs="Calibri" w:eastAsia="Calibri" w:hAnsi="Calibri"/>
                <w:sz w:val="12"/>
                <w:szCs w:val="12"/>
                <w:color w:val="auto"/>
              </w:rPr>
              <w:t>-</w:t>
            </w:r>
          </w:p>
        </w:tc>
        <w:tc>
          <w:tcPr>
            <w:tcW w:w="340" w:type="dxa"/>
            <w:vAlign w:val="bottom"/>
          </w:tcPr>
          <w:p>
            <w:pPr>
              <w:jc w:val="right"/>
              <w:ind w:right="121"/>
              <w:spacing w:after="0"/>
              <w:rPr>
                <w:sz w:val="20"/>
                <w:szCs w:val="20"/>
                <w:color w:val="auto"/>
              </w:rPr>
            </w:pPr>
            <w:r>
              <w:rPr>
                <w:rFonts w:ascii="Calibri" w:cs="Calibri" w:eastAsia="Calibri" w:hAnsi="Calibri"/>
                <w:sz w:val="12"/>
                <w:szCs w:val="12"/>
                <w:color w:val="auto"/>
              </w:rPr>
              <w:t>$</w:t>
            </w:r>
          </w:p>
        </w:tc>
        <w:tc>
          <w:tcPr>
            <w:tcW w:w="680" w:type="dxa"/>
            <w:vAlign w:val="bottom"/>
          </w:tcPr>
          <w:p>
            <w:pPr>
              <w:jc w:val="right"/>
              <w:ind w:right="201"/>
              <w:spacing w:after="0"/>
              <w:rPr>
                <w:sz w:val="20"/>
                <w:szCs w:val="20"/>
                <w:color w:val="auto"/>
              </w:rPr>
            </w:pPr>
            <w:r>
              <w:rPr>
                <w:rFonts w:ascii="Calibri" w:cs="Calibri" w:eastAsia="Calibri" w:hAnsi="Calibri"/>
                <w:sz w:val="12"/>
                <w:szCs w:val="12"/>
                <w:color w:val="auto"/>
              </w:rPr>
              <w:t>-</w:t>
            </w:r>
          </w:p>
        </w:tc>
        <w:tc>
          <w:tcPr>
            <w:tcW w:w="820" w:type="dxa"/>
            <w:vAlign w:val="bottom"/>
          </w:tcPr>
          <w:p>
            <w:pPr>
              <w:jc w:val="right"/>
              <w:ind w:right="1"/>
              <w:spacing w:after="0"/>
              <w:rPr>
                <w:sz w:val="20"/>
                <w:szCs w:val="20"/>
                <w:color w:val="auto"/>
              </w:rPr>
            </w:pPr>
            <w:r>
              <w:rPr>
                <w:rFonts w:ascii="Calibri" w:cs="Calibri" w:eastAsia="Calibri" w:hAnsi="Calibri"/>
                <w:sz w:val="12"/>
                <w:szCs w:val="12"/>
                <w:color w:val="auto"/>
              </w:rPr>
              <w:t>-</w:t>
            </w:r>
          </w:p>
        </w:tc>
        <w:tc>
          <w:tcPr>
            <w:tcW w:w="300" w:type="dxa"/>
            <w:vAlign w:val="bottom"/>
          </w:tcPr>
          <w:p>
            <w:pPr>
              <w:jc w:val="right"/>
              <w:ind w:right="121"/>
              <w:spacing w:after="0"/>
              <w:rPr>
                <w:sz w:val="20"/>
                <w:szCs w:val="20"/>
                <w:color w:val="auto"/>
              </w:rPr>
            </w:pPr>
            <w:r>
              <w:rPr>
                <w:rFonts w:ascii="Calibri" w:cs="Calibri" w:eastAsia="Calibri" w:hAnsi="Calibri"/>
                <w:sz w:val="12"/>
                <w:szCs w:val="12"/>
                <w:color w:val="auto"/>
              </w:rPr>
              <w:t>$</w:t>
            </w:r>
          </w:p>
        </w:tc>
        <w:tc>
          <w:tcPr>
            <w:tcW w:w="680" w:type="dxa"/>
            <w:vAlign w:val="bottom"/>
          </w:tcPr>
          <w:p>
            <w:pPr>
              <w:jc w:val="right"/>
              <w:ind w:right="181"/>
              <w:spacing w:after="0"/>
              <w:rPr>
                <w:sz w:val="20"/>
                <w:szCs w:val="20"/>
                <w:color w:val="auto"/>
              </w:rPr>
            </w:pPr>
            <w:r>
              <w:rPr>
                <w:rFonts w:ascii="Calibri" w:cs="Calibri" w:eastAsia="Calibri" w:hAnsi="Calibri"/>
                <w:sz w:val="12"/>
                <w:szCs w:val="12"/>
                <w:color w:val="auto"/>
              </w:rPr>
              <w:t>-</w:t>
            </w:r>
          </w:p>
        </w:tc>
        <w:tc>
          <w:tcPr>
            <w:tcW w:w="760" w:type="dxa"/>
            <w:vAlign w:val="bottom"/>
          </w:tcPr>
          <w:p>
            <w:pPr>
              <w:jc w:val="right"/>
              <w:spacing w:after="0"/>
              <w:rPr>
                <w:sz w:val="20"/>
                <w:szCs w:val="20"/>
                <w:color w:val="auto"/>
              </w:rPr>
            </w:pPr>
            <w:r>
              <w:rPr>
                <w:rFonts w:ascii="Calibri" w:cs="Calibri" w:eastAsia="Calibri" w:hAnsi="Calibri"/>
                <w:sz w:val="12"/>
                <w:szCs w:val="12"/>
                <w:color w:val="auto"/>
              </w:rPr>
              <w:t>3,199,609</w:t>
            </w:r>
          </w:p>
        </w:tc>
        <w:tc>
          <w:tcPr>
            <w:tcW w:w="400" w:type="dxa"/>
            <w:vAlign w:val="bottom"/>
          </w:tcPr>
          <w:p>
            <w:pPr>
              <w:jc w:val="right"/>
              <w:ind w:right="122"/>
              <w:spacing w:after="0"/>
              <w:rPr>
                <w:sz w:val="20"/>
                <w:szCs w:val="20"/>
                <w:color w:val="auto"/>
              </w:rPr>
            </w:pPr>
            <w:r>
              <w:rPr>
                <w:rFonts w:ascii="Calibri" w:cs="Calibri" w:eastAsia="Calibri" w:hAnsi="Calibri"/>
                <w:sz w:val="12"/>
                <w:szCs w:val="12"/>
                <w:color w:val="auto"/>
              </w:rPr>
              <w:t>$</w:t>
            </w:r>
          </w:p>
        </w:tc>
        <w:tc>
          <w:tcPr>
            <w:tcW w:w="580" w:type="dxa"/>
            <w:vAlign w:val="bottom"/>
          </w:tcPr>
          <w:p>
            <w:pPr>
              <w:jc w:val="right"/>
              <w:ind w:right="41"/>
              <w:spacing w:after="0"/>
              <w:rPr>
                <w:sz w:val="20"/>
                <w:szCs w:val="20"/>
                <w:color w:val="auto"/>
              </w:rPr>
            </w:pPr>
            <w:r>
              <w:rPr>
                <w:rFonts w:ascii="Calibri" w:cs="Calibri" w:eastAsia="Calibri" w:hAnsi="Calibri"/>
                <w:sz w:val="12"/>
                <w:szCs w:val="12"/>
                <w:color w:val="auto"/>
              </w:rPr>
              <w:t>(0.23)</w:t>
            </w:r>
          </w:p>
        </w:tc>
        <w:tc>
          <w:tcPr>
            <w:tcW w:w="260" w:type="dxa"/>
            <w:vAlign w:val="bottom"/>
          </w:tcPr>
          <w:p>
            <w:pPr>
              <w:spacing w:after="0"/>
              <w:rPr>
                <w:sz w:val="15"/>
                <w:szCs w:val="15"/>
                <w:color w:val="auto"/>
              </w:rPr>
            </w:pPr>
          </w:p>
        </w:tc>
      </w:tr>
      <w:tr>
        <w:trPr>
          <w:trHeight w:val="288"/>
        </w:trPr>
        <w:tc>
          <w:tcPr>
            <w:tcW w:w="900" w:type="dxa"/>
            <w:vAlign w:val="bottom"/>
          </w:tcPr>
          <w:p>
            <w:pPr>
              <w:jc w:val="right"/>
              <w:ind w:right="41"/>
              <w:spacing w:after="0"/>
              <w:rPr>
                <w:sz w:val="20"/>
                <w:szCs w:val="20"/>
                <w:color w:val="auto"/>
              </w:rPr>
            </w:pPr>
            <w:r>
              <w:rPr>
                <w:rFonts w:ascii="Calibri" w:cs="Calibri" w:eastAsia="Calibri" w:hAnsi="Calibri"/>
                <w:sz w:val="12"/>
                <w:szCs w:val="12"/>
                <w:color w:val="auto"/>
              </w:rPr>
              <w:t>-</w:t>
            </w:r>
          </w:p>
        </w:tc>
        <w:tc>
          <w:tcPr>
            <w:tcW w:w="340" w:type="dxa"/>
            <w:vAlign w:val="bottom"/>
          </w:tcPr>
          <w:p>
            <w:pPr>
              <w:jc w:val="right"/>
              <w:ind w:right="121"/>
              <w:spacing w:after="0"/>
              <w:rPr>
                <w:sz w:val="20"/>
                <w:szCs w:val="20"/>
                <w:color w:val="auto"/>
              </w:rPr>
            </w:pPr>
            <w:r>
              <w:rPr>
                <w:rFonts w:ascii="Calibri" w:cs="Calibri" w:eastAsia="Calibri" w:hAnsi="Calibri"/>
                <w:sz w:val="12"/>
                <w:szCs w:val="12"/>
                <w:color w:val="auto"/>
              </w:rPr>
              <w:t>$</w:t>
            </w:r>
          </w:p>
        </w:tc>
        <w:tc>
          <w:tcPr>
            <w:tcW w:w="680" w:type="dxa"/>
            <w:vAlign w:val="bottom"/>
          </w:tcPr>
          <w:p>
            <w:pPr>
              <w:jc w:val="right"/>
              <w:ind w:right="201"/>
              <w:spacing w:after="0"/>
              <w:rPr>
                <w:sz w:val="20"/>
                <w:szCs w:val="20"/>
                <w:color w:val="auto"/>
              </w:rPr>
            </w:pPr>
            <w:r>
              <w:rPr>
                <w:rFonts w:ascii="Calibri" w:cs="Calibri" w:eastAsia="Calibri" w:hAnsi="Calibri"/>
                <w:sz w:val="12"/>
                <w:szCs w:val="12"/>
                <w:color w:val="auto"/>
              </w:rPr>
              <w:t>-</w:t>
            </w:r>
          </w:p>
        </w:tc>
        <w:tc>
          <w:tcPr>
            <w:tcW w:w="820" w:type="dxa"/>
            <w:vAlign w:val="bottom"/>
          </w:tcPr>
          <w:p>
            <w:pPr>
              <w:jc w:val="right"/>
              <w:ind w:right="1"/>
              <w:spacing w:after="0"/>
              <w:rPr>
                <w:sz w:val="20"/>
                <w:szCs w:val="20"/>
                <w:color w:val="auto"/>
              </w:rPr>
            </w:pPr>
            <w:r>
              <w:rPr>
                <w:rFonts w:ascii="Calibri" w:cs="Calibri" w:eastAsia="Calibri" w:hAnsi="Calibri"/>
                <w:sz w:val="12"/>
                <w:szCs w:val="12"/>
                <w:color w:val="auto"/>
              </w:rPr>
              <w:t>-</w:t>
            </w:r>
          </w:p>
        </w:tc>
        <w:tc>
          <w:tcPr>
            <w:tcW w:w="300" w:type="dxa"/>
            <w:vAlign w:val="bottom"/>
          </w:tcPr>
          <w:p>
            <w:pPr>
              <w:jc w:val="right"/>
              <w:ind w:right="121"/>
              <w:spacing w:after="0"/>
              <w:rPr>
                <w:sz w:val="20"/>
                <w:szCs w:val="20"/>
                <w:color w:val="auto"/>
              </w:rPr>
            </w:pPr>
            <w:r>
              <w:rPr>
                <w:rFonts w:ascii="Calibri" w:cs="Calibri" w:eastAsia="Calibri" w:hAnsi="Calibri"/>
                <w:sz w:val="12"/>
                <w:szCs w:val="12"/>
                <w:color w:val="auto"/>
              </w:rPr>
              <w:t>$</w:t>
            </w:r>
          </w:p>
        </w:tc>
        <w:tc>
          <w:tcPr>
            <w:tcW w:w="680" w:type="dxa"/>
            <w:vAlign w:val="bottom"/>
          </w:tcPr>
          <w:p>
            <w:pPr>
              <w:jc w:val="right"/>
              <w:ind w:right="181"/>
              <w:spacing w:after="0"/>
              <w:rPr>
                <w:sz w:val="20"/>
                <w:szCs w:val="20"/>
                <w:color w:val="auto"/>
              </w:rPr>
            </w:pPr>
            <w:r>
              <w:rPr>
                <w:rFonts w:ascii="Calibri" w:cs="Calibri" w:eastAsia="Calibri" w:hAnsi="Calibri"/>
                <w:sz w:val="12"/>
                <w:szCs w:val="12"/>
                <w:color w:val="auto"/>
              </w:rPr>
              <w:t>-</w:t>
            </w:r>
          </w:p>
        </w:tc>
        <w:tc>
          <w:tcPr>
            <w:tcW w:w="760" w:type="dxa"/>
            <w:vAlign w:val="bottom"/>
          </w:tcPr>
          <w:p>
            <w:pPr>
              <w:jc w:val="right"/>
              <w:spacing w:after="0"/>
              <w:rPr>
                <w:sz w:val="20"/>
                <w:szCs w:val="20"/>
                <w:color w:val="auto"/>
              </w:rPr>
            </w:pPr>
            <w:r>
              <w:rPr>
                <w:rFonts w:ascii="Calibri" w:cs="Calibri" w:eastAsia="Calibri" w:hAnsi="Calibri"/>
                <w:sz w:val="12"/>
                <w:szCs w:val="12"/>
                <w:color w:val="auto"/>
              </w:rPr>
              <w:t>1,785,565</w:t>
            </w:r>
          </w:p>
        </w:tc>
        <w:tc>
          <w:tcPr>
            <w:tcW w:w="400" w:type="dxa"/>
            <w:vAlign w:val="bottom"/>
          </w:tcPr>
          <w:p>
            <w:pPr>
              <w:jc w:val="right"/>
              <w:ind w:right="122"/>
              <w:spacing w:after="0"/>
              <w:rPr>
                <w:sz w:val="20"/>
                <w:szCs w:val="20"/>
                <w:color w:val="auto"/>
              </w:rPr>
            </w:pPr>
            <w:r>
              <w:rPr>
                <w:rFonts w:ascii="Calibri" w:cs="Calibri" w:eastAsia="Calibri" w:hAnsi="Calibri"/>
                <w:sz w:val="12"/>
                <w:szCs w:val="12"/>
                <w:color w:val="auto"/>
              </w:rPr>
              <w:t>$</w:t>
            </w:r>
          </w:p>
        </w:tc>
        <w:tc>
          <w:tcPr>
            <w:tcW w:w="580" w:type="dxa"/>
            <w:vAlign w:val="bottom"/>
          </w:tcPr>
          <w:p>
            <w:pPr>
              <w:jc w:val="right"/>
              <w:ind w:right="41"/>
              <w:spacing w:after="0"/>
              <w:rPr>
                <w:sz w:val="20"/>
                <w:szCs w:val="20"/>
                <w:color w:val="auto"/>
              </w:rPr>
            </w:pPr>
            <w:r>
              <w:rPr>
                <w:rFonts w:ascii="Calibri" w:cs="Calibri" w:eastAsia="Calibri" w:hAnsi="Calibri"/>
                <w:sz w:val="12"/>
                <w:szCs w:val="12"/>
                <w:color w:val="auto"/>
              </w:rPr>
              <w:t>(0.13)</w:t>
            </w:r>
          </w:p>
        </w:tc>
        <w:tc>
          <w:tcPr>
            <w:tcW w:w="260" w:type="dxa"/>
            <w:vAlign w:val="bottom"/>
          </w:tcPr>
          <w:p>
            <w:pPr>
              <w:spacing w:after="0"/>
              <w:rPr>
                <w:sz w:val="24"/>
                <w:szCs w:val="24"/>
                <w:color w:val="auto"/>
              </w:rPr>
            </w:pPr>
          </w:p>
        </w:tc>
      </w:tr>
      <w:tr>
        <w:trPr>
          <w:trHeight w:val="296"/>
        </w:trPr>
        <w:tc>
          <w:tcPr>
            <w:tcW w:w="90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12"/>
                <w:szCs w:val="12"/>
                <w:color w:val="auto"/>
              </w:rPr>
              <w:t>468,669</w:t>
            </w:r>
          </w:p>
        </w:tc>
        <w:tc>
          <w:tcPr>
            <w:tcW w:w="340" w:type="dxa"/>
            <w:vAlign w:val="bottom"/>
            <w:tcBorders>
              <w:bottom w:val="single" w:sz="8" w:color="auto"/>
            </w:tcBorders>
          </w:tcPr>
          <w:p>
            <w:pPr>
              <w:jc w:val="right"/>
              <w:ind w:right="121"/>
              <w:spacing w:after="0"/>
              <w:rPr>
                <w:sz w:val="20"/>
                <w:szCs w:val="20"/>
                <w:color w:val="auto"/>
              </w:rPr>
            </w:pPr>
            <w:r>
              <w:rPr>
                <w:rFonts w:ascii="Calibri" w:cs="Calibri" w:eastAsia="Calibri" w:hAnsi="Calibri"/>
                <w:sz w:val="12"/>
                <w:szCs w:val="12"/>
                <w:color w:val="auto"/>
              </w:rPr>
              <w:t>$</w:t>
            </w:r>
          </w:p>
        </w:tc>
        <w:tc>
          <w:tcPr>
            <w:tcW w:w="680" w:type="dxa"/>
            <w:vAlign w:val="bottom"/>
            <w:tcBorders>
              <w:bottom w:val="single" w:sz="8" w:color="auto"/>
            </w:tcBorders>
          </w:tcPr>
          <w:p>
            <w:pPr>
              <w:jc w:val="right"/>
              <w:ind w:right="161"/>
              <w:spacing w:after="0"/>
              <w:rPr>
                <w:sz w:val="20"/>
                <w:szCs w:val="20"/>
                <w:color w:val="auto"/>
              </w:rPr>
            </w:pPr>
            <w:r>
              <w:rPr>
                <w:rFonts w:ascii="Calibri" w:cs="Calibri" w:eastAsia="Calibri" w:hAnsi="Calibri"/>
                <w:sz w:val="12"/>
                <w:szCs w:val="12"/>
                <w:color w:val="auto"/>
              </w:rPr>
              <w:t>(0.03)</w:t>
            </w:r>
          </w:p>
        </w:tc>
        <w:tc>
          <w:tcPr>
            <w:tcW w:w="820" w:type="dxa"/>
            <w:vAlign w:val="bottom"/>
            <w:tcBorders>
              <w:bottom w:val="single" w:sz="8" w:color="auto"/>
            </w:tcBorders>
          </w:tcPr>
          <w:p>
            <w:pPr>
              <w:jc w:val="right"/>
              <w:ind w:right="1"/>
              <w:spacing w:after="0"/>
              <w:rPr>
                <w:sz w:val="20"/>
                <w:szCs w:val="20"/>
                <w:color w:val="auto"/>
              </w:rPr>
            </w:pPr>
            <w:r>
              <w:rPr>
                <w:rFonts w:ascii="Calibri" w:cs="Calibri" w:eastAsia="Calibri" w:hAnsi="Calibri"/>
                <w:sz w:val="12"/>
                <w:szCs w:val="12"/>
                <w:color w:val="auto"/>
              </w:rPr>
              <w:t>735,475</w:t>
            </w:r>
          </w:p>
        </w:tc>
        <w:tc>
          <w:tcPr>
            <w:tcW w:w="300" w:type="dxa"/>
            <w:vAlign w:val="bottom"/>
            <w:tcBorders>
              <w:bottom w:val="single" w:sz="8" w:color="auto"/>
            </w:tcBorders>
          </w:tcPr>
          <w:p>
            <w:pPr>
              <w:jc w:val="right"/>
              <w:ind w:right="121"/>
              <w:spacing w:after="0"/>
              <w:rPr>
                <w:sz w:val="20"/>
                <w:szCs w:val="20"/>
                <w:color w:val="auto"/>
              </w:rPr>
            </w:pPr>
            <w:r>
              <w:rPr>
                <w:rFonts w:ascii="Calibri" w:cs="Calibri" w:eastAsia="Calibri" w:hAnsi="Calibri"/>
                <w:sz w:val="12"/>
                <w:szCs w:val="12"/>
                <w:color w:val="auto"/>
              </w:rPr>
              <w:t>$</w:t>
            </w:r>
          </w:p>
        </w:tc>
        <w:tc>
          <w:tcPr>
            <w:tcW w:w="680" w:type="dxa"/>
            <w:vAlign w:val="bottom"/>
            <w:tcBorders>
              <w:bottom w:val="single" w:sz="8" w:color="auto"/>
            </w:tcBorders>
          </w:tcPr>
          <w:p>
            <w:pPr>
              <w:jc w:val="right"/>
              <w:ind w:right="141"/>
              <w:spacing w:after="0"/>
              <w:rPr>
                <w:sz w:val="20"/>
                <w:szCs w:val="20"/>
                <w:color w:val="auto"/>
              </w:rPr>
            </w:pPr>
            <w:r>
              <w:rPr>
                <w:rFonts w:ascii="Calibri" w:cs="Calibri" w:eastAsia="Calibri" w:hAnsi="Calibri"/>
                <w:sz w:val="12"/>
                <w:szCs w:val="12"/>
                <w:color w:val="auto"/>
              </w:rPr>
              <w:t>(0.06)</w:t>
            </w: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color w:val="auto"/>
              </w:rPr>
              <w:t>462,785</w:t>
            </w:r>
          </w:p>
        </w:tc>
        <w:tc>
          <w:tcPr>
            <w:tcW w:w="400" w:type="dxa"/>
            <w:vAlign w:val="bottom"/>
            <w:tcBorders>
              <w:bottom w:val="single" w:sz="8" w:color="auto"/>
            </w:tcBorders>
          </w:tcPr>
          <w:p>
            <w:pPr>
              <w:jc w:val="right"/>
              <w:ind w:right="122"/>
              <w:spacing w:after="0"/>
              <w:rPr>
                <w:sz w:val="20"/>
                <w:szCs w:val="20"/>
                <w:color w:val="auto"/>
              </w:rPr>
            </w:pPr>
            <w:r>
              <w:rPr>
                <w:rFonts w:ascii="Calibri" w:cs="Calibri" w:eastAsia="Calibri" w:hAnsi="Calibri"/>
                <w:sz w:val="12"/>
                <w:szCs w:val="12"/>
                <w:color w:val="auto"/>
              </w:rPr>
              <w:t>$</w:t>
            </w:r>
          </w:p>
        </w:tc>
        <w:tc>
          <w:tcPr>
            <w:tcW w:w="58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12"/>
                <w:szCs w:val="12"/>
                <w:color w:val="auto"/>
              </w:rPr>
              <w:t>(0.02)</w:t>
            </w:r>
          </w:p>
        </w:tc>
        <w:tc>
          <w:tcPr>
            <w:tcW w:w="260" w:type="dxa"/>
            <w:vAlign w:val="bottom"/>
            <w:tcBorders>
              <w:bottom w:val="single" w:sz="8" w:color="auto"/>
            </w:tcBorders>
          </w:tcPr>
          <w:p>
            <w:pPr>
              <w:spacing w:after="0"/>
              <w:rPr>
                <w:sz w:val="24"/>
                <w:szCs w:val="24"/>
                <w:color w:val="auto"/>
              </w:rPr>
            </w:pPr>
          </w:p>
        </w:tc>
      </w:tr>
      <w:tr>
        <w:trPr>
          <w:trHeight w:val="265"/>
        </w:trPr>
        <w:tc>
          <w:tcPr>
            <w:tcW w:w="90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12"/>
                <w:szCs w:val="12"/>
                <w:b w:val="1"/>
                <w:bCs w:val="1"/>
                <w:color w:val="auto"/>
              </w:rPr>
              <w:t>18,701,068</w:t>
            </w:r>
          </w:p>
        </w:tc>
        <w:tc>
          <w:tcPr>
            <w:tcW w:w="340" w:type="dxa"/>
            <w:vAlign w:val="bottom"/>
            <w:tcBorders>
              <w:bottom w:val="single" w:sz="8" w:color="auto"/>
            </w:tcBorders>
          </w:tcPr>
          <w:p>
            <w:pPr>
              <w:jc w:val="right"/>
              <w:ind w:right="121"/>
              <w:spacing w:after="0"/>
              <w:rPr>
                <w:sz w:val="20"/>
                <w:szCs w:val="20"/>
                <w:color w:val="auto"/>
              </w:rPr>
            </w:pPr>
            <w:r>
              <w:rPr>
                <w:rFonts w:ascii="Calibri" w:cs="Calibri" w:eastAsia="Calibri" w:hAnsi="Calibri"/>
                <w:sz w:val="12"/>
                <w:szCs w:val="12"/>
                <w:b w:val="1"/>
                <w:bCs w:val="1"/>
                <w:color w:val="auto"/>
              </w:rPr>
              <w:t>$</w:t>
            </w:r>
          </w:p>
        </w:tc>
        <w:tc>
          <w:tcPr>
            <w:tcW w:w="680" w:type="dxa"/>
            <w:vAlign w:val="bottom"/>
            <w:tcBorders>
              <w:bottom w:val="single" w:sz="8" w:color="auto"/>
            </w:tcBorders>
          </w:tcPr>
          <w:p>
            <w:pPr>
              <w:jc w:val="right"/>
              <w:ind w:right="201"/>
              <w:spacing w:after="0"/>
              <w:rPr>
                <w:sz w:val="20"/>
                <w:szCs w:val="20"/>
                <w:color w:val="auto"/>
              </w:rPr>
            </w:pPr>
            <w:r>
              <w:rPr>
                <w:rFonts w:ascii="Calibri" w:cs="Calibri" w:eastAsia="Calibri" w:hAnsi="Calibri"/>
                <w:sz w:val="12"/>
                <w:szCs w:val="12"/>
                <w:b w:val="1"/>
                <w:bCs w:val="1"/>
                <w:color w:val="auto"/>
              </w:rPr>
              <w:t>1.32</w:t>
            </w:r>
          </w:p>
        </w:tc>
        <w:tc>
          <w:tcPr>
            <w:tcW w:w="820" w:type="dxa"/>
            <w:vAlign w:val="bottom"/>
            <w:tcBorders>
              <w:bottom w:val="single" w:sz="8" w:color="auto"/>
            </w:tcBorders>
          </w:tcPr>
          <w:p>
            <w:pPr>
              <w:jc w:val="right"/>
              <w:ind w:right="1"/>
              <w:spacing w:after="0"/>
              <w:rPr>
                <w:sz w:val="20"/>
                <w:szCs w:val="20"/>
                <w:color w:val="auto"/>
              </w:rPr>
            </w:pPr>
            <w:r>
              <w:rPr>
                <w:rFonts w:ascii="Calibri" w:cs="Calibri" w:eastAsia="Calibri" w:hAnsi="Calibri"/>
                <w:sz w:val="12"/>
                <w:szCs w:val="12"/>
                <w:b w:val="1"/>
                <w:bCs w:val="1"/>
                <w:color w:val="auto"/>
              </w:rPr>
              <w:t>18,384,921</w:t>
            </w:r>
          </w:p>
        </w:tc>
        <w:tc>
          <w:tcPr>
            <w:tcW w:w="300" w:type="dxa"/>
            <w:vAlign w:val="bottom"/>
            <w:tcBorders>
              <w:bottom w:val="single" w:sz="8" w:color="auto"/>
            </w:tcBorders>
          </w:tcPr>
          <w:p>
            <w:pPr>
              <w:jc w:val="right"/>
              <w:ind w:right="121"/>
              <w:spacing w:after="0"/>
              <w:rPr>
                <w:sz w:val="20"/>
                <w:szCs w:val="20"/>
                <w:color w:val="auto"/>
              </w:rPr>
            </w:pPr>
            <w:r>
              <w:rPr>
                <w:rFonts w:ascii="Calibri" w:cs="Calibri" w:eastAsia="Calibri" w:hAnsi="Calibri"/>
                <w:sz w:val="12"/>
                <w:szCs w:val="12"/>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Calibri" w:cs="Calibri" w:eastAsia="Calibri" w:hAnsi="Calibri"/>
                <w:sz w:val="12"/>
                <w:szCs w:val="12"/>
                <w:b w:val="1"/>
                <w:bCs w:val="1"/>
                <w:color w:val="auto"/>
              </w:rPr>
              <w:t>1.28</w:t>
            </w: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b w:val="1"/>
                <w:bCs w:val="1"/>
                <w:color w:val="auto"/>
              </w:rPr>
              <w:t>18,384,921</w:t>
            </w:r>
          </w:p>
        </w:tc>
        <w:tc>
          <w:tcPr>
            <w:tcW w:w="400" w:type="dxa"/>
            <w:vAlign w:val="bottom"/>
            <w:tcBorders>
              <w:bottom w:val="single" w:sz="8" w:color="auto"/>
            </w:tcBorders>
          </w:tcPr>
          <w:p>
            <w:pPr>
              <w:jc w:val="right"/>
              <w:ind w:right="122"/>
              <w:spacing w:after="0" w:line="265" w:lineRule="exact"/>
              <w:rPr>
                <w:sz w:val="20"/>
                <w:szCs w:val="20"/>
                <w:color w:val="auto"/>
              </w:rPr>
            </w:pPr>
            <w:r>
              <w:rPr>
                <w:rFonts w:ascii="Calibri" w:cs="Calibri" w:eastAsia="Calibri" w:hAnsi="Calibri"/>
                <w:sz w:val="11"/>
                <w:szCs w:val="11"/>
                <w:b w:val="1"/>
                <w:bCs w:val="1"/>
                <w:color w:val="auto"/>
                <w:w w:val="98"/>
              </w:rPr>
              <w:t>(e)</w:t>
            </w:r>
            <w:r>
              <w:rPr>
                <w:rFonts w:ascii="Calibri" w:cs="Calibri" w:eastAsia="Calibri" w:hAnsi="Calibri"/>
                <w:sz w:val="23"/>
                <w:szCs w:val="23"/>
                <w:b w:val="1"/>
                <w:bCs w:val="1"/>
                <w:color w:val="auto"/>
                <w:w w:val="98"/>
                <w:vertAlign w:val="subscript"/>
              </w:rPr>
              <w:t>$</w:t>
            </w:r>
          </w:p>
        </w:tc>
        <w:tc>
          <w:tcPr>
            <w:tcW w:w="580" w:type="dxa"/>
            <w:vAlign w:val="bottom"/>
            <w:tcBorders>
              <w:bottom w:val="single" w:sz="8" w:color="auto"/>
            </w:tcBorders>
          </w:tcPr>
          <w:p>
            <w:pPr>
              <w:jc w:val="right"/>
              <w:ind w:right="81"/>
              <w:spacing w:after="0"/>
              <w:rPr>
                <w:sz w:val="20"/>
                <w:szCs w:val="20"/>
                <w:color w:val="auto"/>
              </w:rPr>
            </w:pPr>
            <w:r>
              <w:rPr>
                <w:rFonts w:ascii="Calibri" w:cs="Calibri" w:eastAsia="Calibri" w:hAnsi="Calibri"/>
                <w:sz w:val="12"/>
                <w:szCs w:val="12"/>
                <w:b w:val="1"/>
                <w:bCs w:val="1"/>
                <w:color w:val="auto"/>
              </w:rPr>
              <w:t>0.93</w:t>
            </w:r>
          </w:p>
        </w:tc>
        <w:tc>
          <w:tcPr>
            <w:tcW w:w="260" w:type="dxa"/>
            <w:vAlign w:val="bottom"/>
            <w:tcBorders>
              <w:bottom w:val="single" w:sz="8" w:color="auto"/>
            </w:tcBorders>
          </w:tcPr>
          <w:p>
            <w:pPr>
              <w:ind w:left="100"/>
              <w:spacing w:after="0"/>
              <w:rPr>
                <w:sz w:val="20"/>
                <w:szCs w:val="20"/>
                <w:color w:val="auto"/>
              </w:rPr>
            </w:pPr>
            <w:r>
              <w:rPr>
                <w:rFonts w:ascii="Calibri" w:cs="Calibri" w:eastAsia="Calibri" w:hAnsi="Calibri"/>
                <w:sz w:val="11"/>
                <w:szCs w:val="11"/>
                <w:b w:val="1"/>
                <w:bCs w:val="1"/>
                <w:color w:val="auto"/>
              </w:rPr>
              <w:t>(e)</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-561340</wp:posOffset>
            </wp:positionV>
            <wp:extent cx="5647055" cy="182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47055" cy="182880"/>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-196215</wp:posOffset>
            </wp:positionV>
            <wp:extent cx="5647055" cy="182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7055" cy="18288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3000" w:space="200"/>
            <w:col w:w="5819"/>
          </w:cols>
          <w:pgMar w:left="1440" w:top="446" w:right="1440" w:bottom="1440" w:gutter="0" w:footer="0" w:header="0"/>
          <w:type w:val="continuous"/>
        </w:sectPr>
      </w:pPr>
    </w:p>
    <w:p>
      <w:pPr>
        <w:ind w:left="300" w:hanging="265"/>
        <w:spacing w:after="0"/>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tax impact of each adjustment is calculated using the effective tax rate in the relevant jurisdiction.</w:t>
      </w:r>
    </w:p>
    <w:p>
      <w:pPr>
        <w:ind w:left="300" w:right="59" w:hanging="265"/>
        <w:spacing w:after="0" w:line="230" w:lineRule="auto"/>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For fiscal years ended June 30, 2022, and 2021, this represents the weighted average shares outstanding – basic, and for the fiscal year ended June 30, 2020, this represents weighted average shares outstanding – diluted.</w:t>
      </w:r>
    </w:p>
    <w:p>
      <w:pPr>
        <w:ind w:left="300" w:hanging="265"/>
        <w:spacing w:after="0" w:line="230" w:lineRule="auto"/>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Represents the dilutive impact of:</w:t>
      </w:r>
    </w:p>
    <w:p>
      <w:pPr>
        <w:ind w:left="1120" w:right="59" w:hanging="532"/>
        <w:spacing w:after="0" w:line="230" w:lineRule="auto"/>
        <w:tabs>
          <w:tab w:leader="none" w:pos="1120" w:val="left"/>
        </w:tabs>
        <w:numPr>
          <w:ilvl w:val="1"/>
          <w:numId w:val="34"/>
        </w:numPr>
        <w:rPr>
          <w:rFonts w:ascii="Arial" w:cs="Arial" w:eastAsia="Arial" w:hAnsi="Arial"/>
          <w:sz w:val="11"/>
          <w:szCs w:val="11"/>
          <w:color w:val="auto"/>
        </w:rPr>
      </w:pPr>
      <w:r>
        <w:rPr>
          <w:rFonts w:ascii="Arial" w:cs="Arial" w:eastAsia="Arial" w:hAnsi="Arial"/>
          <w:sz w:val="11"/>
          <w:szCs w:val="11"/>
          <w:color w:val="auto"/>
        </w:rPr>
        <w:t>an incremental 3,199,609 weighted average shares outstanding for the year ended June 30, 2021, as a result of our initial public offering completed on August 7, 2020,</w:t>
      </w:r>
    </w:p>
    <w:p>
      <w:pPr>
        <w:ind w:left="1120" w:right="59" w:hanging="532"/>
        <w:spacing w:after="0" w:line="230" w:lineRule="auto"/>
        <w:tabs>
          <w:tab w:leader="none" w:pos="1120" w:val="left"/>
        </w:tabs>
        <w:numPr>
          <w:ilvl w:val="1"/>
          <w:numId w:val="34"/>
        </w:numPr>
        <w:rPr>
          <w:rFonts w:ascii="Arial" w:cs="Arial" w:eastAsia="Arial" w:hAnsi="Arial"/>
          <w:sz w:val="11"/>
          <w:szCs w:val="11"/>
          <w:color w:val="auto"/>
        </w:rPr>
      </w:pPr>
      <w:r>
        <w:rPr>
          <w:rFonts w:ascii="Arial" w:cs="Arial" w:eastAsia="Arial" w:hAnsi="Arial"/>
          <w:sz w:val="11"/>
          <w:szCs w:val="11"/>
          <w:color w:val="auto"/>
        </w:rPr>
        <w:t>an incremental 1,785,565 shares outstanding due to the conversion of preferred shares to common shares in connection with our initial public offering on August 7, 2020 and</w:t>
      </w:r>
    </w:p>
    <w:p>
      <w:pPr>
        <w:ind w:left="1120" w:right="59" w:hanging="532"/>
        <w:spacing w:after="0" w:line="230" w:lineRule="auto"/>
        <w:tabs>
          <w:tab w:leader="none" w:pos="1120" w:val="left"/>
        </w:tabs>
        <w:numPr>
          <w:ilvl w:val="1"/>
          <w:numId w:val="34"/>
        </w:numPr>
        <w:rPr>
          <w:rFonts w:ascii="Arial" w:cs="Arial" w:eastAsia="Arial" w:hAnsi="Arial"/>
          <w:sz w:val="11"/>
          <w:szCs w:val="11"/>
          <w:color w:val="auto"/>
        </w:rPr>
      </w:pPr>
      <w:r>
        <w:rPr>
          <w:rFonts w:ascii="Arial" w:cs="Arial" w:eastAsia="Arial" w:hAnsi="Arial"/>
          <w:sz w:val="11"/>
          <w:szCs w:val="11"/>
          <w:color w:val="auto"/>
        </w:rPr>
        <w:t>incremental weighted average shares outstanding resulting from vesting of awards under share-based compensation plans and vesting of the Amazon warrant, using the treasury stock method (as applicable) during the periods presented.</w:t>
      </w:r>
    </w:p>
    <w:p>
      <w:pPr>
        <w:jc w:val="both"/>
        <w:ind w:left="300" w:right="39" w:hanging="265"/>
        <w:spacing w:after="0" w:line="230" w:lineRule="auto"/>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For the fiscal year ended June 30, 2020, we are providing “pro forma adjusted earnings per share – diluted” to illustrate the impact on the calculation of adjusted earnings per share of taking into account the dilutive impact of the shares issued in our initial public offering on August 7, 2020, the dilutive impact of the preferred share conversion on August 7, 2020, and the dilutive impact related to vesting of awards under share-based compensation plans and the Amazon warrant on the calculation of weighted average shares outstanding – diluted, resulting in pro forma adjusted weighted average shares outstanding – diluted. We have used 18,384,921 shares, the pro forma adjusted weighted average shares outstanding – diluted for year ended June 30, 2021, to calculate pro forma adjusted earnings per share– diluted for the year ended June 30, 2020. We believe that pro forma adjusted earnings per share – diluted presented for June 30, 2020, is useful information for investors because it enhances comparability between the pre- and post-IPO periods. This non-GAAP measure may not be comparable to other similarly titled measures of other companies, has limitations as an analytical tool and should not be considered in isolation or as a substitute for analysis of our operating results as reported under IFRS as issued by the IASB.</w:t>
      </w:r>
    </w:p>
    <w:p>
      <w:pPr>
        <w:spacing w:after="0" w:line="3" w:lineRule="exact"/>
        <w:rPr>
          <w:rFonts w:ascii="Arial" w:cs="Arial" w:eastAsia="Arial" w:hAnsi="Arial"/>
          <w:sz w:val="11"/>
          <w:szCs w:val="11"/>
          <w:color w:val="auto"/>
        </w:rPr>
      </w:pPr>
    </w:p>
    <w:p>
      <w:pPr>
        <w:jc w:val="both"/>
        <w:ind w:left="300" w:right="59" w:hanging="265"/>
        <w:spacing w:after="0" w:line="238" w:lineRule="auto"/>
        <w:tabs>
          <w:tab w:leader="none" w:pos="3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See Note 20 to our audited consolidated financial statements included in elsewhere in this annual report for additional information regarding the calculation of basic and diluted earnings / (loss) per share attributable to equity holders of the parent and weighted average shares outstanding – basic and diluted. For the periods noted, the amount represents net income divided by the weighted average shares outstanding – diluted for the period presented.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type w:val="continuous"/>
        </w:sectPr>
      </w:pPr>
    </w:p>
    <w:bookmarkStart w:id="72" w:name="page73"/>
    <w:bookmarkEnd w:id="7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Adjusted EBITDA</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define “EBITDA” as net income before the effect of the following items: finance expenses (including finance expense related to right-of-use lease liabilities), income tax expense, and depreciation and amortization (including depreciation on right-of-use assets). We define “Adjusted EBITDA” as EBITDA before the effect of the following items: non-recurring expenses (including severance expense, litigation and settlement expenses, costs related to COVID-19, and listing costs), amortization of warrant asset, foreign currency translation gains or losses, fair value measurement of share warrants, share-based payments, gain or loss on disposal of fixed assets and/or lease terminations, and impairment of intangibles, as applicable.</w:t>
      </w:r>
    </w:p>
    <w:p>
      <w:pPr>
        <w:spacing w:after="0" w:line="184"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use Adjusted EBITDA internally to establish forecasts, budgets and operational goals to manage and monitor our business, as well as evaluate our underlying historical performance. We believe that Adjusted EBITDA is a meaningful indicator of the health of our business as it reflects our ability to generate cash that can be used to fund capital expenditures and growth. Adjusted EBITDA also disregards non-cash or non-recurring charges that we believe are not reflective of our long-term performance. We also believe that Adjusted EBITDA is widely used by investors, securities analysts and other interested parties as a supplemental measure of performance and liquidity.</w:t>
      </w:r>
    </w:p>
    <w:p>
      <w:pPr>
        <w:spacing w:after="0" w:line="184"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Adjusted EBITDA may not be comparable to other similarly titled measures of other companies and has limitations as an analytical tool and should not be considered in isolation or as a substitute for analysis of our operating results as reported under IFRS as issued by the IASB. Some of these limitations are as follows:</w:t>
      </w:r>
    </w:p>
    <w:p>
      <w:pPr>
        <w:spacing w:after="0" w:line="146" w:lineRule="exact"/>
        <w:rPr>
          <w:sz w:val="20"/>
          <w:szCs w:val="20"/>
          <w:color w:val="auto"/>
        </w:rPr>
      </w:pPr>
    </w:p>
    <w:p>
      <w:pPr>
        <w:jc w:val="both"/>
        <w:ind w:left="580" w:right="59" w:hanging="258"/>
        <w:spacing w:after="0" w:line="237" w:lineRule="auto"/>
        <w:tabs>
          <w:tab w:leader="none" w:pos="58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although depreciation and amortization expense is a non-cash charge, the assets being depreciated and amortized may have to be replaced in the future. Adjusted EBITDA does not reflect cash capital expenditure requirements for such replacements or for new capital expenditure requirements;</w:t>
      </w:r>
    </w:p>
    <w:p>
      <w:pPr>
        <w:jc w:val="both"/>
        <w:ind w:left="580" w:right="59" w:hanging="258"/>
        <w:spacing w:after="0" w:line="230" w:lineRule="auto"/>
        <w:tabs>
          <w:tab w:leader="none" w:pos="58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Adjusted EBITDA is not intended to be a measure of free cash flow for our discretionary use, as it does not reflect: (i) changes in, or cash requirements for, our working capital needs; (ii) debt service requirements; (iii) tax payments that may represent a reduction in cash available to us; and (iv) other cash costs that may recur in the future;</w:t>
      </w:r>
    </w:p>
    <w:p>
      <w:pPr>
        <w:spacing w:after="0" w:line="1" w:lineRule="exact"/>
        <w:rPr>
          <w:rFonts w:ascii="Times New Roman" w:cs="Times New Roman" w:eastAsia="Times New Roman" w:hAnsi="Times New Roman"/>
          <w:sz w:val="15"/>
          <w:szCs w:val="15"/>
          <w:color w:val="auto"/>
        </w:rPr>
      </w:pPr>
    </w:p>
    <w:p>
      <w:pPr>
        <w:ind w:left="580" w:right="59" w:hanging="258"/>
        <w:spacing w:after="0" w:line="239" w:lineRule="auto"/>
        <w:tabs>
          <w:tab w:leader="none" w:pos="58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other companies, including companies in our industry, may calculate Adjusted EBITDA for similarly titled measures differently, which reduces its usefulness as a comparative measure.</w:t>
      </w:r>
    </w:p>
    <w:p>
      <w:pPr>
        <w:spacing w:after="0" w:line="15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Because of these and other limitations, you should consider Adjusted EBITDA in conjunction with other IFRS-based financial performance measures, including cash flows from operating activities, investing activities and financing activities, net income and our other IFRS financial results.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provides a reconciliation of net income to adjusted EBITDA for the years presented:</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530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gridSpan w:val="4"/>
          </w:tcPr>
          <w:p>
            <w:pPr>
              <w:jc w:val="right"/>
              <w:ind w:right="180"/>
              <w:spacing w:after="0" w:line="124" w:lineRule="exact"/>
              <w:rPr>
                <w:sz w:val="20"/>
                <w:szCs w:val="20"/>
                <w:color w:val="auto"/>
              </w:rPr>
            </w:pPr>
            <w:r>
              <w:rPr>
                <w:rFonts w:ascii="Arial" w:cs="Arial" w:eastAsia="Arial" w:hAnsi="Arial"/>
                <w:sz w:val="12"/>
                <w:szCs w:val="12"/>
                <w:b w:val="1"/>
                <w:bCs w:val="1"/>
                <w:color w:val="auto"/>
                <w:w w:val="96"/>
              </w:rPr>
              <w:t>Year ended June 30,</w:t>
            </w:r>
          </w:p>
        </w:tc>
        <w:tc>
          <w:tcPr>
            <w:tcW w:w="22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r>
      <w:tr>
        <w:trPr>
          <w:trHeight w:val="124"/>
        </w:trPr>
        <w:tc>
          <w:tcPr>
            <w:tcW w:w="5300" w:type="dxa"/>
            <w:vAlign w:val="bottom"/>
            <w:tcBorders>
              <w:bottom w:val="single" w:sz="8" w:color="auto"/>
            </w:tcBorders>
          </w:tcPr>
          <w:p>
            <w:pPr>
              <w:ind w:left="20"/>
              <w:spacing w:after="0" w:line="124" w:lineRule="exact"/>
              <w:rPr>
                <w:sz w:val="20"/>
                <w:szCs w:val="20"/>
                <w:color w:val="auto"/>
              </w:rPr>
            </w:pPr>
            <w:r>
              <w:rPr>
                <w:rFonts w:ascii="Arial" w:cs="Arial" w:eastAsia="Arial" w:hAnsi="Arial"/>
                <w:sz w:val="12"/>
                <w:szCs w:val="12"/>
                <w:i w:val="1"/>
                <w:iCs w:val="1"/>
                <w:color w:val="auto"/>
              </w:rPr>
              <w:t>US$ in thousands</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67"/>
              <w:spacing w:after="0" w:line="124" w:lineRule="exact"/>
              <w:rPr>
                <w:sz w:val="20"/>
                <w:szCs w:val="20"/>
                <w:color w:val="auto"/>
              </w:rPr>
            </w:pPr>
            <w:r>
              <w:rPr>
                <w:rFonts w:ascii="Arial" w:cs="Arial" w:eastAsia="Arial" w:hAnsi="Arial"/>
                <w:sz w:val="12"/>
                <w:szCs w:val="12"/>
                <w:b w:val="1"/>
                <w:bCs w:val="1"/>
                <w:color w:val="auto"/>
              </w:rPr>
              <w:t>2022</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7"/>
              <w:spacing w:after="0" w:line="124" w:lineRule="exact"/>
              <w:rPr>
                <w:sz w:val="20"/>
                <w:szCs w:val="20"/>
                <w:color w:val="auto"/>
              </w:rPr>
            </w:pPr>
            <w:r>
              <w:rPr>
                <w:rFonts w:ascii="Arial" w:cs="Arial" w:eastAsia="Arial" w:hAnsi="Arial"/>
                <w:sz w:val="12"/>
                <w:szCs w:val="12"/>
                <w:b w:val="1"/>
                <w:bCs w:val="1"/>
                <w:color w:val="auto"/>
              </w:rPr>
              <w:t>2021</w:t>
            </w: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7"/>
              <w:spacing w:after="0" w:line="124" w:lineRule="exact"/>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0"/>
                <w:szCs w:val="10"/>
                <w:color w:val="auto"/>
              </w:rPr>
            </w:pPr>
          </w:p>
        </w:tc>
      </w:tr>
      <w:tr>
        <w:trPr>
          <w:trHeight w:val="157"/>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6"/>
        </w:trPr>
        <w:tc>
          <w:tcPr>
            <w:tcW w:w="530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Net income for the year</w:t>
            </w:r>
          </w:p>
        </w:tc>
        <w:tc>
          <w:tcPr>
            <w:tcW w:w="220" w:type="dxa"/>
            <w:vAlign w:val="bottom"/>
            <w:shd w:val="clear" w:color="auto" w:fill="CCEEFF"/>
          </w:tcPr>
          <w:p>
            <w:pPr>
              <w:jc w:val="right"/>
              <w:ind w:right="66"/>
              <w:spacing w:after="0" w:line="166"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22,990</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6"/>
              <w:spacing w:after="0" w:line="166"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2,847</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6"/>
              <w:spacing w:after="0" w:line="166"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7,770</w:t>
            </w:r>
          </w:p>
        </w:tc>
        <w:tc>
          <w:tcPr>
            <w:tcW w:w="260" w:type="dxa"/>
            <w:vAlign w:val="bottom"/>
            <w:shd w:val="clear" w:color="auto" w:fill="CCEEFF"/>
          </w:tcPr>
          <w:p>
            <w:pPr>
              <w:spacing w:after="0"/>
              <w:rPr>
                <w:sz w:val="14"/>
                <w:szCs w:val="14"/>
                <w:color w:val="auto"/>
              </w:rPr>
            </w:pPr>
          </w:p>
        </w:tc>
      </w:tr>
      <w:tr>
        <w:trPr>
          <w:trHeight w:val="166"/>
        </w:trPr>
        <w:tc>
          <w:tcPr>
            <w:tcW w:w="5300" w:type="dxa"/>
            <w:vAlign w:val="bottom"/>
          </w:tcPr>
          <w:p>
            <w:pPr>
              <w:ind w:left="20"/>
              <w:spacing w:after="0" w:line="166" w:lineRule="exact"/>
              <w:rPr>
                <w:sz w:val="20"/>
                <w:szCs w:val="20"/>
                <w:color w:val="auto"/>
              </w:rPr>
            </w:pPr>
            <w:r>
              <w:rPr>
                <w:rFonts w:ascii="Arial" w:cs="Arial" w:eastAsia="Arial" w:hAnsi="Arial"/>
                <w:sz w:val="15"/>
                <w:szCs w:val="15"/>
                <w:b w:val="1"/>
                <w:bCs w:val="1"/>
                <w:color w:val="auto"/>
              </w:rPr>
              <w:t>Net income margin</w:t>
            </w:r>
          </w:p>
        </w:tc>
        <w:tc>
          <w:tcPr>
            <w:tcW w:w="22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0.6%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1.9%</w:t>
            </w:r>
          </w:p>
        </w:tc>
        <w:tc>
          <w:tcPr>
            <w:tcW w:w="260" w:type="dxa"/>
            <w:vAlign w:val="bottom"/>
          </w:tcPr>
          <w:p>
            <w:pPr>
              <w:spacing w:after="0"/>
              <w:rPr>
                <w:sz w:val="14"/>
                <w:szCs w:val="14"/>
                <w:color w:val="auto"/>
              </w:rPr>
            </w:pPr>
          </w:p>
        </w:tc>
      </w:tr>
      <w:tr>
        <w:trPr>
          <w:trHeight w:val="166"/>
        </w:trPr>
        <w:tc>
          <w:tcPr>
            <w:tcW w:w="5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6"/>
        </w:trPr>
        <w:tc>
          <w:tcPr>
            <w:tcW w:w="5300" w:type="dxa"/>
            <w:vAlign w:val="bottom"/>
          </w:tcPr>
          <w:p>
            <w:pPr>
              <w:ind w:left="20"/>
              <w:spacing w:after="0" w:line="166" w:lineRule="exact"/>
              <w:rPr>
                <w:sz w:val="20"/>
                <w:szCs w:val="20"/>
                <w:color w:val="auto"/>
              </w:rPr>
            </w:pPr>
            <w:r>
              <w:rPr>
                <w:rFonts w:ascii="Arial" w:cs="Arial" w:eastAsia="Arial" w:hAnsi="Arial"/>
                <w:sz w:val="15"/>
                <w:szCs w:val="15"/>
                <w:color w:val="auto"/>
              </w:rPr>
              <w:t>Finance expenses</w:t>
            </w:r>
          </w:p>
        </w:tc>
        <w:tc>
          <w:tcPr>
            <w:tcW w:w="22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8,797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9,034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9,428</w:t>
            </w:r>
          </w:p>
        </w:tc>
        <w:tc>
          <w:tcPr>
            <w:tcW w:w="260" w:type="dxa"/>
            <w:vAlign w:val="bottom"/>
          </w:tcPr>
          <w:p>
            <w:pPr>
              <w:spacing w:after="0"/>
              <w:rPr>
                <w:sz w:val="14"/>
                <w:szCs w:val="14"/>
                <w:color w:val="auto"/>
              </w:rPr>
            </w:pPr>
          </w:p>
        </w:tc>
      </w:tr>
      <w:tr>
        <w:trPr>
          <w:trHeight w:val="166"/>
        </w:trPr>
        <w:tc>
          <w:tcPr>
            <w:tcW w:w="530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Income tax (benefit) / expense</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(1,987)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1,918</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2,315</w:t>
            </w:r>
          </w:p>
        </w:tc>
        <w:tc>
          <w:tcPr>
            <w:tcW w:w="260" w:type="dxa"/>
            <w:vAlign w:val="bottom"/>
            <w:shd w:val="clear" w:color="auto" w:fill="CCEEFF"/>
          </w:tcPr>
          <w:p>
            <w:pPr>
              <w:spacing w:after="0"/>
              <w:rPr>
                <w:sz w:val="14"/>
                <w:szCs w:val="14"/>
                <w:color w:val="auto"/>
              </w:rPr>
            </w:pPr>
          </w:p>
        </w:tc>
      </w:tr>
      <w:tr>
        <w:trPr>
          <w:trHeight w:val="166"/>
        </w:trPr>
        <w:tc>
          <w:tcPr>
            <w:tcW w:w="5300" w:type="dxa"/>
            <w:vAlign w:val="bottom"/>
            <w:tcBorders>
              <w:bottom w:val="single" w:sz="8" w:color="CCEEFF"/>
            </w:tcBorders>
          </w:tcPr>
          <w:p>
            <w:pPr>
              <w:ind w:left="20"/>
              <w:spacing w:after="0" w:line="166" w:lineRule="exact"/>
              <w:rPr>
                <w:sz w:val="20"/>
                <w:szCs w:val="20"/>
                <w:color w:val="auto"/>
              </w:rPr>
            </w:pPr>
            <w:r>
              <w:rPr>
                <w:rFonts w:ascii="Arial" w:cs="Arial" w:eastAsia="Arial" w:hAnsi="Arial"/>
                <w:sz w:val="15"/>
                <w:szCs w:val="15"/>
                <w:color w:val="auto"/>
              </w:rPr>
              <w:t>Depreciation and amortization</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34,179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28,197</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24,472</w:t>
            </w:r>
          </w:p>
        </w:tc>
        <w:tc>
          <w:tcPr>
            <w:tcW w:w="260" w:type="dxa"/>
            <w:vAlign w:val="bottom"/>
            <w:tcBorders>
              <w:bottom w:val="single" w:sz="8" w:color="CCEEFF"/>
            </w:tcBorders>
          </w:tcPr>
          <w:p>
            <w:pPr>
              <w:spacing w:after="0"/>
              <w:rPr>
                <w:sz w:val="14"/>
                <w:szCs w:val="14"/>
                <w:color w:val="auto"/>
              </w:rPr>
            </w:pPr>
          </w:p>
        </w:tc>
      </w:tr>
      <w:tr>
        <w:trPr>
          <w:trHeight w:val="157"/>
        </w:trPr>
        <w:tc>
          <w:tcPr>
            <w:tcW w:w="530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EBITDA</w:t>
            </w:r>
          </w:p>
        </w:tc>
        <w:tc>
          <w:tcPr>
            <w:tcW w:w="220" w:type="dxa"/>
            <w:vAlign w:val="bottom"/>
            <w:tcBorders>
              <w:bottom w:val="single" w:sz="8" w:color="auto"/>
            </w:tcBorders>
            <w:shd w:val="clear" w:color="auto" w:fill="CCEEFF"/>
          </w:tcPr>
          <w:p>
            <w:pPr>
              <w:jc w:val="right"/>
              <w:ind w:right="66"/>
              <w:spacing w:after="0" w:line="157"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63,979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6"/>
              <w:spacing w:after="0" w:line="157"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41,996</w:t>
            </w:r>
          </w:p>
        </w:tc>
        <w:tc>
          <w:tcPr>
            <w:tcW w:w="2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6"/>
              <w:spacing w:after="0" w:line="157"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43,985</w:t>
            </w:r>
          </w:p>
        </w:tc>
        <w:tc>
          <w:tcPr>
            <w:tcW w:w="260" w:type="dxa"/>
            <w:vAlign w:val="bottom"/>
            <w:shd w:val="clear" w:color="auto" w:fill="CCEEFF"/>
          </w:tcPr>
          <w:p>
            <w:pPr>
              <w:spacing w:after="0"/>
              <w:rPr>
                <w:sz w:val="13"/>
                <w:szCs w:val="13"/>
                <w:color w:val="auto"/>
              </w:rPr>
            </w:pPr>
          </w:p>
        </w:tc>
      </w:tr>
      <w:tr>
        <w:trPr>
          <w:trHeight w:val="157"/>
        </w:trPr>
        <w:tc>
          <w:tcPr>
            <w:tcW w:w="5300" w:type="dxa"/>
            <w:vAlign w:val="bottom"/>
          </w:tcPr>
          <w:p>
            <w:pPr>
              <w:ind w:left="20"/>
              <w:spacing w:after="0" w:line="157" w:lineRule="exact"/>
              <w:rPr>
                <w:sz w:val="20"/>
                <w:szCs w:val="20"/>
                <w:color w:val="auto"/>
              </w:rPr>
            </w:pPr>
            <w:r>
              <w:rPr>
                <w:rFonts w:ascii="Arial" w:cs="Arial" w:eastAsia="Arial" w:hAnsi="Arial"/>
                <w:sz w:val="15"/>
                <w:szCs w:val="15"/>
                <w:color w:val="auto"/>
              </w:rPr>
              <w:t>Non-recurring expenses</w:t>
            </w:r>
          </w:p>
        </w:tc>
        <w:tc>
          <w:tcPr>
            <w:tcW w:w="2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5"/>
                <w:szCs w:val="15"/>
                <w:color w:val="auto"/>
              </w:rPr>
              <w:t>3,256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5"/>
                <w:szCs w:val="15"/>
                <w:color w:val="auto"/>
              </w:rPr>
              <w:t>10,203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5"/>
                <w:szCs w:val="15"/>
                <w:color w:val="auto"/>
              </w:rPr>
              <w:t>6,482</w:t>
            </w:r>
          </w:p>
        </w:tc>
        <w:tc>
          <w:tcPr>
            <w:tcW w:w="260" w:type="dxa"/>
            <w:vAlign w:val="bottom"/>
          </w:tcPr>
          <w:p>
            <w:pPr>
              <w:spacing w:after="0"/>
              <w:rPr>
                <w:sz w:val="13"/>
                <w:szCs w:val="13"/>
                <w:color w:val="auto"/>
              </w:rPr>
            </w:pPr>
          </w:p>
        </w:tc>
      </w:tr>
      <w:tr>
        <w:trPr>
          <w:trHeight w:val="166"/>
        </w:trPr>
        <w:tc>
          <w:tcPr>
            <w:tcW w:w="530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Amortization of warrant asset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250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517</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705</w:t>
            </w:r>
          </w:p>
        </w:tc>
        <w:tc>
          <w:tcPr>
            <w:tcW w:w="260" w:type="dxa"/>
            <w:vAlign w:val="bottom"/>
            <w:shd w:val="clear" w:color="auto" w:fill="CCEEFF"/>
          </w:tcPr>
          <w:p>
            <w:pPr>
              <w:spacing w:after="0"/>
              <w:rPr>
                <w:sz w:val="14"/>
                <w:szCs w:val="14"/>
                <w:color w:val="auto"/>
              </w:rPr>
            </w:pPr>
          </w:p>
        </w:tc>
      </w:tr>
      <w:tr>
        <w:trPr>
          <w:trHeight w:val="166"/>
        </w:trPr>
        <w:tc>
          <w:tcPr>
            <w:tcW w:w="5300" w:type="dxa"/>
            <w:vAlign w:val="bottom"/>
          </w:tcPr>
          <w:p>
            <w:pPr>
              <w:ind w:left="20"/>
              <w:spacing w:after="0" w:line="166" w:lineRule="exact"/>
              <w:rPr>
                <w:sz w:val="20"/>
                <w:szCs w:val="20"/>
                <w:color w:val="auto"/>
              </w:rPr>
            </w:pPr>
            <w:r>
              <w:rPr>
                <w:rFonts w:ascii="Arial" w:cs="Arial" w:eastAsia="Arial" w:hAnsi="Arial"/>
                <w:sz w:val="15"/>
                <w:szCs w:val="15"/>
                <w:color w:val="auto"/>
              </w:rPr>
              <w:t>Foreign currency translation loss / (gain)</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198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60"/>
              <w:spacing w:after="0" w:line="166" w:lineRule="exact"/>
              <w:rPr>
                <w:sz w:val="20"/>
                <w:szCs w:val="20"/>
                <w:color w:val="auto"/>
              </w:rPr>
            </w:pPr>
            <w:r>
              <w:rPr>
                <w:rFonts w:ascii="Arial" w:cs="Arial" w:eastAsia="Arial" w:hAnsi="Arial"/>
                <w:sz w:val="15"/>
                <w:szCs w:val="15"/>
                <w:color w:val="auto"/>
              </w:rPr>
              <w:t>(195)</w:t>
            </w:r>
          </w:p>
        </w:tc>
      </w:tr>
      <w:tr>
        <w:trPr>
          <w:trHeight w:val="166"/>
        </w:trPr>
        <w:tc>
          <w:tcPr>
            <w:tcW w:w="530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Fair value measurement of share warrants</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(2,310)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9,732</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3,138</w:t>
            </w:r>
          </w:p>
        </w:tc>
        <w:tc>
          <w:tcPr>
            <w:tcW w:w="260" w:type="dxa"/>
            <w:vAlign w:val="bottom"/>
            <w:shd w:val="clear" w:color="auto" w:fill="CCEEFF"/>
          </w:tcPr>
          <w:p>
            <w:pPr>
              <w:spacing w:after="0"/>
              <w:rPr>
                <w:sz w:val="14"/>
                <w:szCs w:val="14"/>
                <w:color w:val="auto"/>
              </w:rPr>
            </w:pPr>
          </w:p>
        </w:tc>
      </w:tr>
      <w:tr>
        <w:trPr>
          <w:trHeight w:val="166"/>
        </w:trPr>
        <w:tc>
          <w:tcPr>
            <w:tcW w:w="5300" w:type="dxa"/>
            <w:vAlign w:val="bottom"/>
          </w:tcPr>
          <w:p>
            <w:pPr>
              <w:ind w:left="20"/>
              <w:spacing w:after="0" w:line="166" w:lineRule="exact"/>
              <w:rPr>
                <w:sz w:val="20"/>
                <w:szCs w:val="20"/>
                <w:color w:val="auto"/>
              </w:rPr>
            </w:pPr>
            <w:r>
              <w:rPr>
                <w:rFonts w:ascii="Arial" w:cs="Arial" w:eastAsia="Arial" w:hAnsi="Arial"/>
                <w:sz w:val="13"/>
                <w:szCs w:val="13"/>
                <w:color w:val="auto"/>
              </w:rPr>
              <w:t>Share-based payments</w:t>
            </w:r>
            <w:r>
              <w:rPr>
                <w:rFonts w:ascii="Arial" w:cs="Arial" w:eastAsia="Arial" w:hAnsi="Arial"/>
                <w:sz w:val="19"/>
                <w:szCs w:val="19"/>
                <w:color w:val="auto"/>
                <w:vertAlign w:val="superscript"/>
              </w:rPr>
              <w:t>(a)</w:t>
            </w:r>
          </w:p>
        </w:tc>
        <w:tc>
          <w:tcPr>
            <w:tcW w:w="22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1,851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4,521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359</w:t>
            </w:r>
          </w:p>
        </w:tc>
        <w:tc>
          <w:tcPr>
            <w:tcW w:w="260" w:type="dxa"/>
            <w:vAlign w:val="bottom"/>
          </w:tcPr>
          <w:p>
            <w:pPr>
              <w:spacing w:after="0"/>
              <w:rPr>
                <w:sz w:val="14"/>
                <w:szCs w:val="14"/>
                <w:color w:val="auto"/>
              </w:rPr>
            </w:pPr>
          </w:p>
        </w:tc>
      </w:tr>
      <w:tr>
        <w:trPr>
          <w:trHeight w:val="199"/>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on disposal of fixed assets</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w:t>
            </w:r>
          </w:p>
        </w:tc>
      </w:tr>
      <w:tr>
        <w:trPr>
          <w:trHeight w:val="199"/>
        </w:trPr>
        <w:tc>
          <w:tcPr>
            <w:tcW w:w="5300" w:type="dxa"/>
            <w:vAlign w:val="bottom"/>
          </w:tcPr>
          <w:p>
            <w:pPr>
              <w:ind w:left="20"/>
              <w:spacing w:after="0"/>
              <w:rPr>
                <w:sz w:val="20"/>
                <w:szCs w:val="20"/>
                <w:color w:val="auto"/>
              </w:rPr>
            </w:pPr>
            <w:r>
              <w:rPr>
                <w:rFonts w:ascii="Arial" w:cs="Arial" w:eastAsia="Arial" w:hAnsi="Arial"/>
                <w:sz w:val="15"/>
                <w:szCs w:val="15"/>
                <w:color w:val="auto"/>
              </w:rPr>
              <w:t>Gain on lease terminations</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(923)</w:t>
            </w:r>
          </w:p>
        </w:tc>
        <w:tc>
          <w:tcPr>
            <w:tcW w:w="22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r>
      <w:tr>
        <w:trPr>
          <w:trHeight w:val="166"/>
        </w:trPr>
        <w:tc>
          <w:tcPr>
            <w:tcW w:w="530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Impairment of intangibles</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20"/>
              <w:spacing w:after="0" w:line="166"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777</w:t>
            </w:r>
          </w:p>
        </w:tc>
        <w:tc>
          <w:tcPr>
            <w:tcW w:w="260" w:type="dxa"/>
            <w:vAlign w:val="bottom"/>
            <w:shd w:val="clear" w:color="auto" w:fill="CCEEFF"/>
          </w:tcPr>
          <w:p>
            <w:pPr>
              <w:spacing w:after="0"/>
              <w:rPr>
                <w:sz w:val="14"/>
                <w:szCs w:val="14"/>
                <w:color w:val="auto"/>
              </w:rPr>
            </w:pPr>
          </w:p>
        </w:tc>
      </w:tr>
      <w:tr>
        <w:trPr>
          <w:trHeight w:val="197"/>
        </w:trPr>
        <w:tc>
          <w:tcPr>
            <w:tcW w:w="5300" w:type="dxa"/>
            <w:vAlign w:val="bottom"/>
            <w:tcBorders>
              <w:bottom w:val="single" w:sz="8" w:color="CCEEFF"/>
            </w:tcBorders>
          </w:tcPr>
          <w:p>
            <w:pPr>
              <w:ind w:left="20"/>
              <w:spacing w:after="0" w:line="157" w:lineRule="exact"/>
              <w:rPr>
                <w:sz w:val="20"/>
                <w:szCs w:val="20"/>
                <w:color w:val="auto"/>
              </w:rPr>
            </w:pPr>
            <w:r>
              <w:rPr>
                <w:rFonts w:ascii="Arial" w:cs="Arial" w:eastAsia="Arial" w:hAnsi="Arial"/>
                <w:sz w:val="15"/>
                <w:szCs w:val="15"/>
                <w:b w:val="1"/>
                <w:bCs w:val="1"/>
                <w:color w:val="auto"/>
              </w:rPr>
              <w:t>Adjusted EBITDA</w:t>
            </w:r>
          </w:p>
        </w:tc>
        <w:tc>
          <w:tcPr>
            <w:tcW w:w="220" w:type="dxa"/>
            <w:vAlign w:val="bottom"/>
            <w:tcBorders>
              <w:top w:val="single" w:sz="8" w:color="auto"/>
              <w:bottom w:val="single" w:sz="8" w:color="auto"/>
            </w:tcBorders>
          </w:tcPr>
          <w:p>
            <w:pPr>
              <w:jc w:val="right"/>
              <w:ind w:right="66"/>
              <w:spacing w:after="0" w:line="157"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66,836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6"/>
              <w:spacing w:after="0" w:line="157" w:lineRule="exact"/>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66,244</w:t>
            </w:r>
          </w:p>
        </w:tc>
        <w:tc>
          <w:tcPr>
            <w:tcW w:w="2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6"/>
              <w:spacing w:after="0" w:line="157" w:lineRule="exact"/>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55,241</w:t>
            </w:r>
          </w:p>
        </w:tc>
        <w:tc>
          <w:tcPr>
            <w:tcW w:w="260" w:type="dxa"/>
            <w:vAlign w:val="bottom"/>
            <w:tcBorders>
              <w:bottom w:val="single" w:sz="8" w:color="CCEEFF"/>
            </w:tcBorders>
          </w:tcPr>
          <w:p>
            <w:pPr>
              <w:spacing w:after="0"/>
              <w:rPr>
                <w:sz w:val="17"/>
                <w:szCs w:val="17"/>
                <w:color w:val="auto"/>
              </w:rPr>
            </w:pPr>
          </w:p>
        </w:tc>
      </w:tr>
      <w:tr>
        <w:trPr>
          <w:trHeight w:val="139"/>
        </w:trPr>
        <w:tc>
          <w:tcPr>
            <w:tcW w:w="5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81"/>
        </w:trPr>
        <w:tc>
          <w:tcPr>
            <w:tcW w:w="5300" w:type="dxa"/>
            <w:vAlign w:val="bottom"/>
          </w:tcPr>
          <w:p>
            <w:pPr>
              <w:ind w:left="20"/>
              <w:spacing w:after="0"/>
              <w:rPr>
                <w:sz w:val="20"/>
                <w:szCs w:val="20"/>
                <w:color w:val="auto"/>
              </w:rPr>
            </w:pPr>
            <w:r>
              <w:rPr>
                <w:rFonts w:ascii="Arial" w:cs="Arial" w:eastAsia="Arial" w:hAnsi="Arial"/>
                <w:sz w:val="15"/>
                <w:szCs w:val="15"/>
                <w:b w:val="1"/>
                <w:bCs w:val="1"/>
                <w:color w:val="auto"/>
              </w:rPr>
              <w:t>Adjusted EBITDA margin</w:t>
            </w:r>
          </w:p>
        </w:tc>
        <w:tc>
          <w:tcPr>
            <w:tcW w:w="2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13.5 %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14.9 %</w:t>
            </w:r>
          </w:p>
        </w:tc>
        <w:tc>
          <w:tcPr>
            <w:tcW w:w="2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-8890</wp:posOffset>
            </wp:positionV>
            <wp:extent cx="21494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9475" cy="6985"/>
                    </a:xfrm>
                    <a:prstGeom prst="rect">
                      <a:avLst/>
                    </a:prstGeom>
                    <a:noFill/>
                  </pic:spPr>
                </pic:pic>
              </a:graphicData>
            </a:graphic>
          </wp:anchor>
        </w:drawing>
      </w:r>
    </w:p>
    <w:p>
      <w:pPr>
        <w:ind w:left="300" w:hanging="265"/>
        <w:spacing w:after="0"/>
        <w:tabs>
          <w:tab w:leader="none" w:pos="3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phantom stock expense</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Adjusted EBITDA Margin</w:t>
      </w:r>
    </w:p>
    <w:p>
      <w:pPr>
        <w:spacing w:after="0" w:line="204"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We calculate “Adjusted EBITDA margin” as Adjusted EBITDA divided by revenue. Adjusted EBITDA margin was 13.5% for the year ended June 30, 2022 compared to 14.9% in the prior year, and decreased compared to the prior year primarily due to costs associated with ramping new business, particularly in the first and fourth quarters.</w:t>
      </w:r>
    </w:p>
    <w:p>
      <w:pPr>
        <w:spacing w:after="0" w:line="18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Adjusted EBITDA margin increased to 14.9% for the fiscal year ended June 30, 2021 compared to 13.6% in the prior year, and increased primarily due to strong revenue growth driven from digital-first clients, expanding margins due to expansion in nearshore and offshore regions, along with increasing onshore margins, and an increase in operating leverage, partially offset by higher recurring expenses related to COVID-19 and incremental ongoing costs related to our recent listing as a public company.</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Critical Accounting Estimates and Judgments</w:t>
      </w:r>
    </w:p>
    <w:p>
      <w:pPr>
        <w:spacing w:after="0" w:line="170"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4"/>
          <w:szCs w:val="14"/>
          <w:color w:val="auto"/>
        </w:rPr>
        <w:t>The preparation of financial statements in accordance with IFRS as issued by the IASB requires us to make estimates and assumptions that affect the reported amounts of assets and liabilities at the date of the consolidated financial statements and the reported amounts of revenues and expenses during the periods then-ended. Accounting estimates require the use of significant management assumptions and judgments as to future events, and the effect of those events cannot be predicted with certainty. The accounting estimates will change as new events occur, more experience is acquired and more information is obtained. We evaluate and update our assumptions and estimates on an ongoing basis and use outside experts to assist in that evaluation when we deem necessary. Our significant accounting policies, which may be affected by our estimates and assumptions, are discussed further in Note 2.5 to our audited consolidated financial statements (critical accounting estimates and judgments) included at the end of this annual report.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In the process of applying our accounting policies, we have made the following estimates and judgments which are significant to the audited consolidated financial statements: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Critical Accounting Estimates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Impairment of intangibles</w:t>
      </w:r>
    </w:p>
    <w:p>
      <w:pPr>
        <w:spacing w:after="0" w:line="16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Goodwill: The calculation for considering the impairment of the carrying amount of goodwill requires a comparison of the recoverable amount of the cash-generating units to which goodwill has been allocated, to the value of goodwill and the associated assets in the consolidated statement of financial position. The calculation of recoverable amount requires an estimate of the future cash flows expected to arise from the cash generating unit. Judgment is applied in selection of a suitable discount rate and terminal value. The key assumptions made in relation to the impairment of goodwill are set out in Note 4 to our audited consolidated financial statements included at the end of this annual report.</w:t>
      </w:r>
    </w:p>
    <w:p>
      <w:pPr>
        <w:spacing w:after="0" w:line="15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Indefinite Lived Intangibles (patent and trademarks): The indefinite lived intangibles are tested for impairment by comparing their carrying amount to the estimates of their fair value based on estimates of discounted cash flow method. In those instances where the carrying value of an asset exceeds its recoverable amount (i.e. the higher of value in use and fair value less costs to sell), the asset is written down accordingly. For more information see Note 5 to our audited consolidated financial statements included at the end of this annual report.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Impairment of financial assets</w:t>
      </w:r>
    </w:p>
    <w:p>
      <w:pPr>
        <w:spacing w:after="0" w:line="16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We apply the IFRS 9 simplified approach to measuring expected credit losses using a lifetime expected credit loss provision for trade receivables and contract assets. To measure expected credit losses on a collective basis, trade receivables and contract assets are grouped based on similar credit risk and aging. The contract assets have similar risk characteristics to the trade receivables for similar types of contracts. For more information see Note 22 to our audited consolidated financial statements included at the end of this annual report.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Depreciation and amortization</w:t>
      </w:r>
    </w:p>
    <w:p>
      <w:pPr>
        <w:spacing w:after="0" w:line="16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Estimation of useful lives of property and equipment and intangible assets: We estimate the useful lives of property and equipment and intangible assets based on the period over which the assets are expected to be available for use. The estimated useful lives of property and equipment and intangible assets are reviewed periodically and are updated if expectations differ from previous estimates due to physical wear and tear, technical or commercial obsolescence and legal or other limits on the use of the assets. For more information see Note 5 and 6 to our audited consolidated financial statements included at the end of this annual report.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Market value of common shares / fair market value of warrants</w:t>
      </w:r>
    </w:p>
    <w:p>
      <w:pPr>
        <w:spacing w:after="0" w:line="16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Company was listed on a public marketplace (NASDAQ) as of June 30, 2021 and June 30, 2022, the Company used the Black-Scholes valuation model to calculate the fair value of the share options/awards on the grant date and to calculate the fair value of warrants. The calculation of fair value includes the price per share, expected term, expected volatility, expected dividends and the risk-free interest rate.</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we were not listed on a public marketplace as of June 30, 2020, the calculation of the market value of our common shares was subject to a greater degree of estimation in determining the basis for any share awards that we may issue.</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For purposes of determining the historical share-based compensation expense, we used the Monte Carlo simulation to calculate the fair value of the restricted stock awards (the “RSAs”) on the grant date as we were not listed on a public marketplace. The determination of the grant date fair value of the RSAs using a pricing model is affected by estimates and assumptions regarding a number of complex and subjective variables.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These variables include the estimated fair value of the common shares, the expected price volatility of the common shares over the expected term of the RSAs and exercise and cancellation behaviors, each of which are estimated as follows:</w:t>
      </w:r>
    </w:p>
    <w:p>
      <w:pPr>
        <w:spacing w:after="0" w:line="146" w:lineRule="exact"/>
        <w:rPr>
          <w:sz w:val="20"/>
          <w:szCs w:val="20"/>
          <w:color w:val="auto"/>
        </w:rPr>
      </w:pPr>
    </w:p>
    <w:p>
      <w:pPr>
        <w:ind w:left="480" w:right="39" w:hanging="213"/>
        <w:spacing w:after="0" w:line="321" w:lineRule="auto"/>
        <w:tabs>
          <w:tab w:leader="none" w:pos="4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Fair value of our common shares. As our common shares were not publicly traded as of June 30, 2020, we estimated the fair value of the common shares, as discussed in “Valuations of Common Shares” below.</w:t>
      </w:r>
    </w:p>
    <w:p>
      <w:pPr>
        <w:spacing w:after="0" w:line="135" w:lineRule="exact"/>
        <w:rPr>
          <w:rFonts w:ascii="Arial" w:cs="Arial" w:eastAsia="Arial" w:hAnsi="Arial"/>
          <w:sz w:val="15"/>
          <w:szCs w:val="15"/>
          <w:color w:val="auto"/>
        </w:rPr>
      </w:pPr>
    </w:p>
    <w:p>
      <w:pPr>
        <w:ind w:left="480" w:hanging="213"/>
        <w:spacing w:after="0"/>
        <w:tabs>
          <w:tab w:leader="none" w:pos="4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Volatility. Since there was no trading history for our common shares as of June 30, 2020, the expected price volatility for the</w:t>
      </w:r>
    </w:p>
    <w:p>
      <w:pPr>
        <w:spacing w:after="0" w:line="37" w:lineRule="exact"/>
        <w:rPr>
          <w:rFonts w:ascii="Arial" w:cs="Arial" w:eastAsia="Arial" w:hAnsi="Arial"/>
          <w:sz w:val="15"/>
          <w:szCs w:val="15"/>
          <w:color w:val="auto"/>
        </w:rPr>
      </w:pPr>
    </w:p>
    <w:p>
      <w:pPr>
        <w:jc w:val="both"/>
        <w:ind w:left="480" w:right="59"/>
        <w:spacing w:after="0" w:line="305" w:lineRule="auto"/>
        <w:rPr>
          <w:rFonts w:ascii="Arial" w:cs="Arial" w:eastAsia="Arial" w:hAnsi="Arial"/>
          <w:sz w:val="15"/>
          <w:szCs w:val="15"/>
          <w:color w:val="auto"/>
        </w:rPr>
      </w:pPr>
      <w:r>
        <w:rPr>
          <w:rFonts w:ascii="Arial" w:cs="Arial" w:eastAsia="Arial" w:hAnsi="Arial"/>
          <w:sz w:val="14"/>
          <w:szCs w:val="14"/>
          <w:color w:val="auto"/>
        </w:rPr>
        <w:t>common shares was estimated using the average historical volatility of the shares of our industry peers as of the grant date of our RSAs over a period of history commensurate with the expected life of the awards. To the extent that volatility of the share price</w:t>
      </w:r>
    </w:p>
    <w:p>
      <w:pPr>
        <w:jc w:val="both"/>
        <w:ind w:left="480" w:right="59"/>
        <w:spacing w:after="0" w:line="302" w:lineRule="auto"/>
        <w:rPr>
          <w:rFonts w:ascii="Arial" w:cs="Arial" w:eastAsia="Arial" w:hAnsi="Arial"/>
          <w:sz w:val="15"/>
          <w:szCs w:val="15"/>
          <w:color w:val="auto"/>
        </w:rPr>
      </w:pPr>
      <w:r>
        <w:rPr>
          <w:rFonts w:ascii="Arial" w:cs="Arial" w:eastAsia="Arial" w:hAnsi="Arial"/>
          <w:sz w:val="14"/>
          <w:szCs w:val="14"/>
          <w:color w:val="auto"/>
        </w:rPr>
        <w:t>increases in the future, the estimates of the fair value of the awards to be granted in the future could increase, thereby increasing share-based payment expense in future periods. When making the selection of the industry peers to be used in measuring implied volatility of the RSAs, we considered the similarity of their products and business lines, as well as their stage of development, size</w:t>
      </w:r>
    </w:p>
    <w:p>
      <w:pPr>
        <w:jc w:val="both"/>
        <w:ind w:left="480" w:right="59"/>
        <w:spacing w:after="0" w:line="284" w:lineRule="auto"/>
        <w:rPr>
          <w:rFonts w:ascii="Arial" w:cs="Arial" w:eastAsia="Arial" w:hAnsi="Arial"/>
          <w:sz w:val="15"/>
          <w:szCs w:val="15"/>
          <w:color w:val="auto"/>
        </w:rPr>
      </w:pPr>
      <w:r>
        <w:rPr>
          <w:rFonts w:ascii="Arial" w:cs="Arial" w:eastAsia="Arial" w:hAnsi="Arial"/>
          <w:sz w:val="15"/>
          <w:szCs w:val="15"/>
          <w:color w:val="auto"/>
        </w:rPr>
        <w:t>and financial leverage. We intend to continue to consistently apply this process using the same or similar public companies until a sufficient amount of historical information regarding the volatility of our own share price becomes available, or unless</w:t>
      </w:r>
    </w:p>
    <w:p>
      <w:pPr>
        <w:spacing w:after="0" w:line="1" w:lineRule="exact"/>
        <w:rPr>
          <w:rFonts w:ascii="Arial" w:cs="Arial" w:eastAsia="Arial" w:hAnsi="Arial"/>
          <w:sz w:val="15"/>
          <w:szCs w:val="15"/>
          <w:color w:val="auto"/>
        </w:rPr>
      </w:pPr>
    </w:p>
    <w:p>
      <w:pPr>
        <w:ind w:left="480" w:right="39"/>
        <w:spacing w:after="0" w:line="306" w:lineRule="auto"/>
        <w:rPr>
          <w:rFonts w:ascii="Arial" w:cs="Arial" w:eastAsia="Arial" w:hAnsi="Arial"/>
          <w:sz w:val="15"/>
          <w:szCs w:val="15"/>
          <w:color w:val="auto"/>
        </w:rPr>
      </w:pPr>
      <w:r>
        <w:rPr>
          <w:rFonts w:ascii="Arial" w:cs="Arial" w:eastAsia="Arial" w:hAnsi="Arial"/>
          <w:sz w:val="15"/>
          <w:szCs w:val="15"/>
          <w:color w:val="auto"/>
        </w:rPr>
        <w:t>circumstances change such that the identified companies are no longer similar to us, in which case, more suitable companies whose share prices are publicly available would be utilized in the calculation.</w:t>
      </w:r>
    </w:p>
    <w:p>
      <w:pPr>
        <w:spacing w:after="0" w:line="135" w:lineRule="exact"/>
        <w:rPr>
          <w:rFonts w:ascii="Arial" w:cs="Arial" w:eastAsia="Arial" w:hAnsi="Arial"/>
          <w:sz w:val="15"/>
          <w:szCs w:val="15"/>
          <w:color w:val="auto"/>
        </w:rPr>
      </w:pPr>
    </w:p>
    <w:p>
      <w:pPr>
        <w:jc w:val="both"/>
        <w:ind w:left="480" w:right="59" w:hanging="213"/>
        <w:spacing w:after="0" w:line="291" w:lineRule="auto"/>
        <w:tabs>
          <w:tab w:leader="none" w:pos="4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Expected life of the RSAs. We calculated the weighted-average expected life of the RSAs to be four years based on management’s best estimates regarding the effect of vesting schedules. RSAs granted may not be sold, pledged, assigned, hypothecated, transferred or disposed of in any manner other than by will or by the laws of descent or distribution.</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Valuations of Common Shares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Given the absence of an active market for our common shares as of June 30, 2020, we were required to estimate the fair value of our common shares at the time of each grant. We considered objective and subjective factors in determining the estimated fair value of our common shares on each RSA grant date. Factors considered by us included the following:</w:t>
      </w:r>
    </w:p>
    <w:p>
      <w:pPr>
        <w:spacing w:after="0" w:line="146" w:lineRule="exact"/>
        <w:rPr>
          <w:sz w:val="20"/>
          <w:szCs w:val="20"/>
          <w:color w:val="auto"/>
        </w:rPr>
      </w:pPr>
    </w:p>
    <w:p>
      <w:pPr>
        <w:ind w:left="480" w:hanging="213"/>
        <w:spacing w:after="0"/>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third-party valuations of our common shares;</w:t>
      </w:r>
    </w:p>
    <w:p>
      <w:pPr>
        <w:spacing w:after="0" w:line="20" w:lineRule="exact"/>
        <w:rPr>
          <w:rFonts w:ascii="Arial" w:cs="Arial" w:eastAsia="Arial" w:hAnsi="Arial"/>
          <w:sz w:val="15"/>
          <w:szCs w:val="15"/>
          <w:color w:val="auto"/>
        </w:rPr>
      </w:pPr>
    </w:p>
    <w:p>
      <w:pPr>
        <w:ind w:left="480" w:hanging="213"/>
        <w:spacing w:after="0"/>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lack of marketability of our common shares;</w:t>
      </w:r>
    </w:p>
    <w:p>
      <w:pPr>
        <w:spacing w:after="0" w:line="13" w:lineRule="exact"/>
        <w:rPr>
          <w:rFonts w:ascii="Arial" w:cs="Arial" w:eastAsia="Arial" w:hAnsi="Arial"/>
          <w:sz w:val="15"/>
          <w:szCs w:val="15"/>
          <w:color w:val="auto"/>
        </w:rPr>
      </w:pPr>
    </w:p>
    <w:p>
      <w:pPr>
        <w:ind w:left="480" w:hanging="213"/>
        <w:spacing w:after="0"/>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historical and projected operating and financial performance;</w:t>
      </w:r>
    </w:p>
    <w:p>
      <w:pPr>
        <w:spacing w:after="0" w:line="4" w:lineRule="exact"/>
        <w:rPr>
          <w:rFonts w:ascii="Arial" w:cs="Arial" w:eastAsia="Arial" w:hAnsi="Arial"/>
          <w:sz w:val="15"/>
          <w:szCs w:val="15"/>
          <w:color w:val="auto"/>
        </w:rPr>
      </w:pPr>
    </w:p>
    <w:p>
      <w:pPr>
        <w:ind w:left="480" w:hanging="213"/>
        <w:spacing w:after="0" w:line="230" w:lineRule="auto"/>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introduction of new services;</w:t>
      </w:r>
    </w:p>
    <w:p>
      <w:pPr>
        <w:ind w:left="480" w:hanging="213"/>
        <w:spacing w:after="0"/>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stage of development;</w:t>
      </w:r>
    </w:p>
    <w:p>
      <w:pPr>
        <w:spacing w:after="0" w:line="4" w:lineRule="exact"/>
        <w:rPr>
          <w:rFonts w:ascii="Arial" w:cs="Arial" w:eastAsia="Arial" w:hAnsi="Arial"/>
          <w:sz w:val="15"/>
          <w:szCs w:val="15"/>
          <w:color w:val="auto"/>
        </w:rPr>
      </w:pPr>
    </w:p>
    <w:p>
      <w:pPr>
        <w:ind w:left="480" w:hanging="213"/>
        <w:spacing w:after="0"/>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global economic outlook and its expected impact on the business;</w:t>
      </w:r>
    </w:p>
    <w:p>
      <w:pPr>
        <w:spacing w:after="0" w:line="4" w:lineRule="exact"/>
        <w:rPr>
          <w:rFonts w:ascii="Arial" w:cs="Arial" w:eastAsia="Arial" w:hAnsi="Arial"/>
          <w:sz w:val="15"/>
          <w:szCs w:val="15"/>
          <w:color w:val="auto"/>
        </w:rPr>
      </w:pPr>
    </w:p>
    <w:p>
      <w:pPr>
        <w:ind w:left="480" w:hanging="213"/>
        <w:spacing w:after="0"/>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market performance of comparable companies; and</w:t>
      </w:r>
    </w:p>
    <w:p>
      <w:pPr>
        <w:spacing w:after="0" w:line="4" w:lineRule="exact"/>
        <w:rPr>
          <w:rFonts w:ascii="Arial" w:cs="Arial" w:eastAsia="Arial" w:hAnsi="Arial"/>
          <w:sz w:val="15"/>
          <w:szCs w:val="15"/>
          <w:color w:val="auto"/>
        </w:rPr>
      </w:pPr>
    </w:p>
    <w:p>
      <w:pPr>
        <w:ind w:left="480" w:right="59" w:hanging="213"/>
        <w:spacing w:after="0" w:line="302" w:lineRule="auto"/>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likelihood of achieving a liquidity event for the common shares underlying the awards, such as our initial public offering or sale, given prevailing market conditions.</w:t>
      </w:r>
    </w:p>
    <w:p>
      <w:pPr>
        <w:spacing w:after="0" w:line="13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We determined valuations of our common shares for purposes of granting awards through a two-step valuation process described below. We first estimated the value of our equity. We utilized the income and market approaches to estimate our equity value. Then, our equity value was allocated across our various equity securities to arrive at a value for the common shares. The income approach, which relies on a discounted cash flow (“DCF”) analysis, measures the value of a company as the present value of its future economic benefits by applying an appropriate risk-adjusted discount rate to expected cash flows, based on forecasts of revenue and costs.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We used two forms of the market approach to determine a fair market value for its equity: (i) the guideline public company method (the “GPCM”), and (ii) the merger and acquisition method (the “MAM”).</w:t>
      </w:r>
    </w:p>
    <w:p>
      <w:pPr>
        <w:spacing w:after="0" w:line="135"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GPCM involves the review of pricing and performance information for public companies deemed generally similar to a subject company and subject to similar industry dynamics. The MAM consists of a review of transactions involving similar companies over the last five years. The valuation conclusion was based on the income approach (using DCF analysis), GPCM, and MAM. We assigned more weight to the DCF as it better reflected our operations and placed less weight to the GPCM and MAM. More specifically, less weight was assigned to the MAM as compared to the GPCM given the limited number of transactions involving comparable companies, which made the MAM less meaningful relative to the GPCM.</w:t>
      </w:r>
    </w:p>
    <w:p>
      <w:pPr>
        <w:spacing w:after="0" w:line="15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For each valuation report, we first prepared a financial forecast to be used in the computation of the enterprise value using the income approach. The financial forecasts took into account our past experience and future expectations. Second, the risks associated with achieving these forecasts were assessed in selecting the appropriate discount rate. There is inherent uncertainty in these estimates. Third, we allocated the resulting equity value among the securities that comprise our capital structure. The aggregate value of the common shares was then divided by the number of common shares outstanding to arrive at the per share value.</w:t>
      </w:r>
    </w:p>
    <w:p>
      <w:pPr>
        <w:spacing w:after="0" w:line="151" w:lineRule="exact"/>
        <w:rPr>
          <w:sz w:val="20"/>
          <w:szCs w:val="20"/>
          <w:color w:val="auto"/>
        </w:rPr>
      </w:pPr>
    </w:p>
    <w:p>
      <w:pPr>
        <w:jc w:val="both"/>
        <w:ind w:left="40" w:right="39"/>
        <w:spacing w:after="0" w:line="263" w:lineRule="auto"/>
        <w:rPr>
          <w:sz w:val="20"/>
          <w:szCs w:val="20"/>
          <w:color w:val="auto"/>
        </w:rPr>
      </w:pPr>
      <w:r>
        <w:rPr>
          <w:rFonts w:ascii="Arial" w:cs="Arial" w:eastAsia="Arial" w:hAnsi="Arial"/>
          <w:sz w:val="14"/>
          <w:szCs w:val="14"/>
          <w:color w:val="auto"/>
        </w:rPr>
        <w:t>Since the fair value of our common shares has been determined partially by using the DCF analysis, the valuations have been heavily dependent on our estimates of revenue, costs and related cash flows. These estimates are highly subjective and may change frequently based on both new operating data as well as various macroeconomic conditions that impact our business. Each of the valuations was prepared using data that was consistent with our then-current operating plans that we were using to manage our business.</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In addition, the DCF calculations are sensitive to highly subjective assumptions that we were required to make relating to its financial forecasts and the selection of an appropriate discount rate, which was based on our estimated cost of equity.</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discount rate was determined based on the stage of development at each valuation date and was quantified based on a risk-free discount rate for government debt, capital markets risk, our sector and size.</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granted 2,373,374 restricted share awards at a fair value of $0.61 per restricted common share in December 2018. The fair value of the restricted common shares was based on a Monte Carlo simulation, which can be considered a form of the probability weighted expected return method (“PWERM”), using an equity value as determined via the income approach (present value of discounted cash flows) and the market approaches (guideline public company method and mergers and acquisition method).</w:t>
      </w:r>
    </w:p>
    <w:p>
      <w:pPr>
        <w:spacing w:after="0" w:line="151"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On December 22, 2018, the preference shares were entitled to an aggregate of $ 149.2 million in participating and non-participating preference. This amount was significantly higher than our fair value as determined by the Board of Directors as of November 30, 2018 on the basis of the independent valuation referred to in the previous paragraph. Because the common shares are not entitled to any distribution until the applicable preferences are satisfied, the fair value of the common shares was significantly lower than the fair value of the preference shares on November 30, 2018.</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Fair market value of warrants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Company accounts for the warrants to purchase its common shares in accordance with the provisions of IAS 32 − Financial Instruments: Presentation and IFRS 9 – Financial Instruments. The Company classifies as assets or liabilities any contracts that (i) require net-cash settlement (including a requirement to net-cash settle the contract if an event occurs and if that event is outside the control of the Company) or (ii) gives the counterparty a choice of net-cash settlement or settlement in shares (physical settlement or net-share settlement).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assessed the classification of the warrant as of the date it was issued and determined that such</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instruments met the criteria for liability classification. The warrant is reported on the consolidated statement of financial position as a liability at fair value using the Black-Scholes valuation method. The initial value was recorded on the consolidated statements of financial position with the common shares underlying the warrant which have vested recorded as contra revenue and the remainder recorded to long term assets.</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total fair value of the warrant liability is determined at the end of each reporting period by multiplying the fair value of a warrant by the total number of warrants that are expected to vest under the arrangement based on the satisfaction of the specified revenue milestones provided in the warrant. The total number of warrants that are expected to vest is based upon the cumulative revenues that are expected, as determined at the end of each reporting period, to be earned from Amazon during a period of 7.5 years ending on June 30, 2024.</w:t>
      </w:r>
    </w:p>
    <w:p>
      <w:pPr>
        <w:spacing w:after="0" w:line="151" w:lineRule="exact"/>
        <w:rPr>
          <w:sz w:val="20"/>
          <w:szCs w:val="20"/>
          <w:color w:val="auto"/>
        </w:rPr>
      </w:pPr>
    </w:p>
    <w:p>
      <w:pPr>
        <w:ind w:left="480" w:hanging="213"/>
        <w:spacing w:after="0"/>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share price.</w:t>
      </w:r>
    </w:p>
    <w:p>
      <w:pPr>
        <w:spacing w:after="0" w:line="7" w:lineRule="exact"/>
        <w:rPr>
          <w:rFonts w:ascii="Arial" w:cs="Arial" w:eastAsia="Arial" w:hAnsi="Arial"/>
          <w:sz w:val="15"/>
          <w:szCs w:val="15"/>
          <w:color w:val="auto"/>
        </w:rPr>
      </w:pPr>
    </w:p>
    <w:p>
      <w:pPr>
        <w:ind w:left="480" w:hanging="213"/>
        <w:spacing w:after="0" w:line="230" w:lineRule="auto"/>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strike price.</w:t>
      </w:r>
    </w:p>
    <w:p>
      <w:pPr>
        <w:ind w:left="480" w:hanging="213"/>
        <w:spacing w:after="0" w:line="230" w:lineRule="auto"/>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Volatility determined based on historical prices of our shares.</w:t>
      </w:r>
    </w:p>
    <w:p>
      <w:pPr>
        <w:ind w:left="480" w:hanging="213"/>
        <w:spacing w:after="0"/>
        <w:tabs>
          <w:tab w:leader="none" w:pos="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duration, which has been estimated as the difference between the valuation date of the warrant plans and final exercise date.</w:t>
      </w:r>
    </w:p>
    <w:p>
      <w:pPr>
        <w:spacing w:after="0" w:line="4" w:lineRule="exact"/>
        <w:rPr>
          <w:rFonts w:ascii="Arial" w:cs="Arial" w:eastAsia="Arial" w:hAnsi="Arial"/>
          <w:sz w:val="14"/>
          <w:szCs w:val="14"/>
          <w:color w:val="auto"/>
        </w:rPr>
      </w:pPr>
    </w:p>
    <w:p>
      <w:pPr>
        <w:ind w:left="480" w:hanging="213"/>
        <w:spacing w:after="0"/>
        <w:tabs>
          <w:tab w:leader="none" w:pos="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risk-free interest rate.</w:t>
      </w:r>
    </w:p>
    <w:p>
      <w:pPr>
        <w:spacing w:after="0" w:line="156"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Given the absence of an active market for the common shares as of June 30, 2020, the Company is required to estimate the fair value of its common shares at the time of each grant.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considers a variety of factors in estimating the fair value of its common shares on each measurement date, including:</w:t>
      </w:r>
    </w:p>
    <w:p>
      <w:pPr>
        <w:spacing w:after="0" w:line="170" w:lineRule="exact"/>
        <w:rPr>
          <w:sz w:val="20"/>
          <w:szCs w:val="20"/>
          <w:color w:val="auto"/>
        </w:rPr>
      </w:pPr>
    </w:p>
    <w:p>
      <w:pPr>
        <w:ind w:left="480" w:hanging="213"/>
        <w:spacing w:after="0"/>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Company’s historical and projected operating and financial performance;</w:t>
      </w:r>
    </w:p>
    <w:p>
      <w:pPr>
        <w:spacing w:after="0" w:line="7" w:lineRule="exact"/>
        <w:rPr>
          <w:rFonts w:ascii="Arial" w:cs="Arial" w:eastAsia="Arial" w:hAnsi="Arial"/>
          <w:sz w:val="15"/>
          <w:szCs w:val="15"/>
          <w:color w:val="auto"/>
        </w:rPr>
      </w:pPr>
    </w:p>
    <w:p>
      <w:pPr>
        <w:ind w:left="480" w:hanging="213"/>
        <w:spacing w:after="0" w:line="230" w:lineRule="auto"/>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Company’s introduction of new products and services;</w:t>
      </w:r>
    </w:p>
    <w:p>
      <w:pPr>
        <w:ind w:left="480" w:hanging="213"/>
        <w:spacing w:after="0" w:line="230" w:lineRule="auto"/>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Company’s completion of strategic acquisitions;</w:t>
      </w:r>
    </w:p>
    <w:p>
      <w:pPr>
        <w:ind w:left="480" w:hanging="213"/>
        <w:spacing w:after="0" w:line="230" w:lineRule="auto"/>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Company’s stage of development;</w:t>
      </w:r>
    </w:p>
    <w:p>
      <w:pPr>
        <w:ind w:left="480" w:hanging="213"/>
        <w:spacing w:after="0" w:line="230" w:lineRule="auto"/>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global economic outlook and its expected impact on the Company’s business; and</w:t>
      </w:r>
    </w:p>
    <w:p>
      <w:pPr>
        <w:ind w:left="480" w:hanging="213"/>
        <w:spacing w:after="0"/>
        <w:tabs>
          <w:tab w:leader="none" w:pos="4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market performance of comparable companies.</w:t>
      </w:r>
    </w:p>
    <w:p>
      <w:pPr>
        <w:spacing w:after="0" w:line="15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asset will be amortized on a systematic basis over the life of the arrangement as revenue is recognized for the transfer of the related goods or services. The Company will review the asset on a reporting period basis to determine whether an impairment is required. In the event that an impairment is needed, the Company will reduce the asset and offset to revenues.</w:t>
      </w:r>
    </w:p>
    <w:p>
      <w:pPr>
        <w:spacing w:after="0" w:line="14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Additionally, the Company will also require the calculation of the fair market value of the warrants associated with the Amazon transaction. For factors used in determining the fair value of the warrants refer to Note 28 to our audited consolidated financial statements included at the end of this annual report.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Legal provisions</w:t>
      </w:r>
    </w:p>
    <w:p>
      <w:pPr>
        <w:spacing w:after="0" w:line="168" w:lineRule="exact"/>
        <w:rPr>
          <w:sz w:val="20"/>
          <w:szCs w:val="20"/>
          <w:color w:val="auto"/>
        </w:rPr>
      </w:pPr>
    </w:p>
    <w:p>
      <w:pPr>
        <w:jc w:val="both"/>
        <w:ind w:left="40" w:right="39"/>
        <w:spacing w:after="0" w:line="256" w:lineRule="auto"/>
        <w:rPr>
          <w:sz w:val="20"/>
          <w:szCs w:val="20"/>
          <w:color w:val="auto"/>
        </w:rPr>
      </w:pPr>
      <w:r>
        <w:rPr>
          <w:rFonts w:ascii="Arial" w:cs="Arial" w:eastAsia="Arial" w:hAnsi="Arial"/>
          <w:sz w:val="15"/>
          <w:szCs w:val="15"/>
          <w:color w:val="auto"/>
        </w:rPr>
        <w:t>We review outstanding legal cases following developments in the legal proceedings and at each reporting date, in order to assess the need for provisions and disclosures in the audited consolidated financial statements. Among the factors considered in making decisions on provisions are the nature of litigation, claim or assessment, the legal process and potential level of damages in the jurisdiction in which the litigation, claim or assessment has been brought, the progress of the case (including the progress after the date of the audited consolidated financial statements but before those statements are issued), the opinions or views of legal advisers, experience on similar cases and any decision of our management as to how it will respond to the litigation, claim or assessment. Refer to Note 16 to our audited consolidated financial statements included at the end of this annual report.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Judgments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Leases</w:t>
      </w:r>
    </w:p>
    <w:p>
      <w:pPr>
        <w:spacing w:after="0" w:line="16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In some cases, judgment may be required in determining whether a contract contains a lease. This assessment involves the exercise of judgment about whether it depends on specific lease, whether we obtain substantially all the economic benefits from the use of that asset and whether we have the right to direct the use of that asset. In addition, determining the lease term, we consider all facts and circumstances that create an economic incentive to exercise an extension option, or not exercise a termination option. Extension options (or periods after termination options) are only included in the lease term if the lease is reasonably certain (in accordance with lease contracts) to be extended (or not terminated). The lease liability is measured at the present value of the lease payments discounted using the interest rate implicit in the lease. If the implicit rate cannot be readily determined, we use an incremental borrowing rate specific to the country, term and currency of the contract.</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Staff retirement plans</w:t>
      </w:r>
    </w:p>
    <w:p>
      <w:pPr>
        <w:spacing w:after="0" w:line="168" w:lineRule="exact"/>
        <w:rPr>
          <w:sz w:val="20"/>
          <w:szCs w:val="20"/>
          <w:color w:val="auto"/>
        </w:rPr>
      </w:pPr>
    </w:p>
    <w:p>
      <w:pPr>
        <w:jc w:val="both"/>
        <w:ind w:left="40" w:right="39"/>
        <w:spacing w:after="0" w:line="250" w:lineRule="auto"/>
        <w:rPr>
          <w:sz w:val="20"/>
          <w:szCs w:val="20"/>
          <w:color w:val="auto"/>
        </w:rPr>
      </w:pPr>
      <w:r>
        <w:rPr>
          <w:rFonts w:ascii="Arial" w:cs="Arial" w:eastAsia="Arial" w:hAnsi="Arial"/>
          <w:sz w:val="15"/>
          <w:szCs w:val="15"/>
          <w:color w:val="auto"/>
        </w:rPr>
        <w:t>The net defined benefit pension scheme assets or liabilities are recognized in our consolidated statement of financial position. The determination of the position requires assumptions to be made regarding future salary increases, mortality, discount rates and inflation. The key assumptions made in relation to the pension plans are set out in Note 14.1 to our audited consolidated financial statements included at the end of this annual report.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Share-based payments expense</w:t>
      </w:r>
    </w:p>
    <w:p>
      <w:pPr>
        <w:spacing w:after="0" w:line="168"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share-based payments expense is recognized in our consolidated statement of profit or loss and comprehensive income (loss). The key assumptions made in relation to the share-based payments are set out in Note 19 to our audited consolidated financial statements included at the end of this annual report.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Provision for taxation</w:t>
      </w:r>
    </w:p>
    <w:p>
      <w:pPr>
        <w:spacing w:after="0" w:line="168"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We are subject to income tax in several jurisdictions and significant judgment is required in determining the provision for current and deferred income taxes. During the ordinary course of business, there are transactions and calculations for which the ultimate tax determination is uncertain. As a result, we recognize tax liabilities based on estimates of whether additional taxes and interest will be due. Although we believe that our tax positions are supportable, these tax positions could still be challenged by the tax authorities upon review. We believe that our accruals for tax liabilities are adequate for all open audit years based on our assessment of many factors, including past experience and interpretations of tax law. Management evaluates the recoverability of deferred income tax assets by assessing the adequacy of future expected taxable income from all sources, including reversal of taxable temporary differences, forecasted operating earnings and available tax planning strategies, which heavily rely on estimates. This assessment relies on estimates and assumptions and may involve a series of complex judgments about future events. To the extent that the final tax outcome of these matters is different than the amounts recorded, such differences will impact current and deferred income tax expense in the period in which such determination is made.</w:t>
      </w:r>
    </w:p>
    <w:p>
      <w:pPr>
        <w:spacing w:after="0" w:line="152"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5"/>
          <w:szCs w:val="15"/>
          <w:color w:val="auto"/>
        </w:rPr>
        <w:t>The key assumptions made in relation to tax provisioning are set out in Note 18 to our audited consolidated financial statements included at the end of this annual report.</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  Liquidity and Capital Resources</w:t>
      </w:r>
    </w:p>
    <w:p>
      <w:pPr>
        <w:spacing w:after="0" w:line="18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Our principal sources of liquidity are cash and cash equivalents, cash flows from operations, and borrowings under credit facilities, described in more detail below in “Financing Arrangements.” We use these resources to finance our operations, expand current delivery centers and open new delivery centers, invest in upgrades of technology, service offerings, and for other strategic initiatives, such as acquiring or investing in complementary businesses or intellectual property rights. Our future liquidity requirements will depend on many factors,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including our growth rate and the timing and extent of spending to engage in the activities mentioned above. We believe that our existing cash balance together with cash generated from our operations, and availability under our existing revolving credit facilities and other financing arrangements will be sufficient to meet our liquidity requirements for at least the next twelve months.</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of June 30, 2022 and 2021, the unused availability under our revolving credit facilities and lines of credit was $50.5 million and $33.6 million, respectively.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Cash Flows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discussion highlights our cash flow activities during the last three fiscal years.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8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99"/>
              </w:rPr>
              <w:t>Year ended June 30,</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4"/>
        </w:trPr>
        <w:tc>
          <w:tcPr>
            <w:tcW w:w="5800" w:type="dxa"/>
            <w:vAlign w:val="bottom"/>
            <w:tcBorders>
              <w:bottom w:val="single" w:sz="8" w:color="auto"/>
            </w:tcBorders>
          </w:tcPr>
          <w:p>
            <w:pPr>
              <w:ind w:left="20"/>
              <w:spacing w:after="0" w:line="124" w:lineRule="exact"/>
              <w:rPr>
                <w:sz w:val="20"/>
                <w:szCs w:val="20"/>
                <w:color w:val="auto"/>
              </w:rPr>
            </w:pPr>
            <w:r>
              <w:rPr>
                <w:rFonts w:ascii="Arial" w:cs="Arial" w:eastAsia="Arial" w:hAnsi="Arial"/>
                <w:sz w:val="12"/>
                <w:szCs w:val="12"/>
                <w:i w:val="1"/>
                <w:iCs w:val="1"/>
                <w:color w:val="auto"/>
              </w:rPr>
              <w:t>US$ in thousands</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68"/>
              <w:spacing w:after="0" w:line="124" w:lineRule="exact"/>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68"/>
              <w:spacing w:after="0" w:line="124"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8"/>
              <w:spacing w:after="0" w:line="124" w:lineRule="exact"/>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0"/>
                <w:szCs w:val="10"/>
                <w:color w:val="auto"/>
              </w:rPr>
            </w:pPr>
          </w:p>
        </w:tc>
      </w:tr>
      <w:tr>
        <w:trPr>
          <w:trHeight w:val="157"/>
        </w:trPr>
        <w:tc>
          <w:tcPr>
            <w:tcW w:w="5800" w:type="dxa"/>
            <w:vAlign w:val="bottom"/>
          </w:tcPr>
          <w:p>
            <w:pPr>
              <w:ind w:left="20"/>
              <w:spacing w:after="0" w:line="157" w:lineRule="exact"/>
              <w:rPr>
                <w:sz w:val="20"/>
                <w:szCs w:val="20"/>
                <w:color w:val="auto"/>
              </w:rPr>
            </w:pPr>
            <w:r>
              <w:rPr>
                <w:rFonts w:ascii="Arial" w:cs="Arial" w:eastAsia="Arial" w:hAnsi="Arial"/>
                <w:sz w:val="15"/>
                <w:szCs w:val="15"/>
                <w:b w:val="1"/>
                <w:bCs w:val="1"/>
                <w:color w:val="auto"/>
              </w:rPr>
              <w:t>Net cash inflow / (outflow) from</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580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Operating activities</w:t>
            </w:r>
          </w:p>
        </w:tc>
        <w:tc>
          <w:tcPr>
            <w:tcW w:w="220" w:type="dxa"/>
            <w:vAlign w:val="bottom"/>
            <w:shd w:val="clear" w:color="auto" w:fill="CCEEFF"/>
          </w:tcPr>
          <w:p>
            <w:pPr>
              <w:jc w:val="right"/>
              <w:ind w:right="46"/>
              <w:spacing w:after="0" w:line="166"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50,129</w:t>
            </w:r>
          </w:p>
        </w:tc>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6"/>
              <w:spacing w:after="0" w:line="16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25,897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6"/>
              <w:spacing w:after="0" w:line="166"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51,719</w:t>
            </w:r>
          </w:p>
        </w:tc>
        <w:tc>
          <w:tcPr>
            <w:tcW w:w="20" w:type="dxa"/>
            <w:vAlign w:val="bottom"/>
          </w:tcPr>
          <w:p>
            <w:pPr>
              <w:spacing w:after="0"/>
              <w:rPr>
                <w:sz w:val="14"/>
                <w:szCs w:val="14"/>
                <w:color w:val="auto"/>
              </w:rPr>
            </w:pPr>
          </w:p>
        </w:tc>
      </w:tr>
      <w:tr>
        <w:trPr>
          <w:trHeight w:val="177"/>
        </w:trPr>
        <w:tc>
          <w:tcPr>
            <w:tcW w:w="5800" w:type="dxa"/>
            <w:vAlign w:val="bottom"/>
          </w:tcPr>
          <w:p>
            <w:pPr>
              <w:ind w:left="100"/>
              <w:spacing w:after="0"/>
              <w:rPr>
                <w:sz w:val="20"/>
                <w:szCs w:val="20"/>
                <w:color w:val="auto"/>
              </w:rPr>
            </w:pPr>
            <w:r>
              <w:rPr>
                <w:rFonts w:ascii="Arial" w:cs="Arial" w:eastAsia="Arial" w:hAnsi="Arial"/>
                <w:sz w:val="15"/>
                <w:szCs w:val="15"/>
                <w:color w:val="auto"/>
              </w:rPr>
              <w:t>Investing activities</w:t>
            </w:r>
          </w:p>
        </w:tc>
        <w:tc>
          <w:tcPr>
            <w:tcW w:w="2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(24,892)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(20,173)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(4,835)</w:t>
            </w:r>
          </w:p>
        </w:tc>
        <w:tc>
          <w:tcPr>
            <w:tcW w:w="20" w:type="dxa"/>
            <w:vAlign w:val="bottom"/>
          </w:tcPr>
          <w:p>
            <w:pPr>
              <w:spacing w:after="0"/>
              <w:rPr>
                <w:sz w:val="15"/>
                <w:szCs w:val="15"/>
                <w:color w:val="auto"/>
              </w:rPr>
            </w:pPr>
          </w:p>
        </w:tc>
      </w:tr>
      <w:tr>
        <w:trPr>
          <w:trHeight w:val="166"/>
        </w:trPr>
        <w:tc>
          <w:tcPr>
            <w:tcW w:w="580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Financing activities</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(33,277)</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30,429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(33,867)</w:t>
            </w:r>
          </w:p>
        </w:tc>
        <w:tc>
          <w:tcPr>
            <w:tcW w:w="20" w:type="dxa"/>
            <w:vAlign w:val="bottom"/>
          </w:tcPr>
          <w:p>
            <w:pPr>
              <w:spacing w:after="0"/>
              <w:rPr>
                <w:sz w:val="14"/>
                <w:szCs w:val="14"/>
                <w:color w:val="auto"/>
              </w:rPr>
            </w:pPr>
          </w:p>
        </w:tc>
      </w:tr>
      <w:tr>
        <w:trPr>
          <w:trHeight w:val="168"/>
        </w:trPr>
        <w:tc>
          <w:tcPr>
            <w:tcW w:w="5800" w:type="dxa"/>
            <w:vAlign w:val="bottom"/>
          </w:tcPr>
          <w:p>
            <w:pPr>
              <w:ind w:left="100"/>
              <w:spacing w:after="0" w:line="166" w:lineRule="exact"/>
              <w:rPr>
                <w:sz w:val="20"/>
                <w:szCs w:val="20"/>
                <w:color w:val="auto"/>
              </w:rPr>
            </w:pPr>
            <w:r>
              <w:rPr>
                <w:rFonts w:ascii="Arial" w:cs="Arial" w:eastAsia="Arial" w:hAnsi="Arial"/>
                <w:sz w:val="15"/>
                <w:szCs w:val="15"/>
                <w:color w:val="auto"/>
              </w:rPr>
              <w:t>Effects of exchange rate difference on cash and cash equivalents</w:t>
            </w:r>
          </w:p>
        </w:tc>
        <w:tc>
          <w:tcPr>
            <w:tcW w:w="220" w:type="dxa"/>
            <w:vAlign w:val="bottom"/>
          </w:tcPr>
          <w:p>
            <w:pPr>
              <w:spacing w:after="0"/>
              <w:rPr>
                <w:sz w:val="14"/>
                <w:szCs w:val="14"/>
                <w:color w:val="auto"/>
              </w:rPr>
            </w:pPr>
          </w:p>
        </w:tc>
        <w:tc>
          <w:tcPr>
            <w:tcW w:w="74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auto"/>
              </w:rPr>
              <w:t>(971)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(181)</w:t>
            </w:r>
          </w:p>
        </w:tc>
        <w:tc>
          <w:tcPr>
            <w:tcW w:w="22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(20)</w:t>
            </w:r>
          </w:p>
        </w:tc>
        <w:tc>
          <w:tcPr>
            <w:tcW w:w="20" w:type="dxa"/>
            <w:vAlign w:val="bottom"/>
          </w:tcPr>
          <w:p>
            <w:pPr>
              <w:spacing w:after="0"/>
              <w:rPr>
                <w:sz w:val="14"/>
                <w:szCs w:val="14"/>
                <w:color w:val="auto"/>
              </w:rPr>
            </w:pPr>
          </w:p>
        </w:tc>
      </w:tr>
      <w:tr>
        <w:trPr>
          <w:trHeight w:val="166"/>
        </w:trPr>
        <w:tc>
          <w:tcPr>
            <w:tcW w:w="5800" w:type="dxa"/>
            <w:vAlign w:val="bottom"/>
            <w:tcBorders>
              <w:top w:val="single" w:sz="8" w:color="CCEEFF"/>
            </w:tcBorders>
            <w:shd w:val="clear" w:color="auto" w:fill="CCEEFF"/>
          </w:tcPr>
          <w:p>
            <w:pPr>
              <w:ind w:left="100"/>
              <w:spacing w:after="0" w:line="166" w:lineRule="exact"/>
              <w:rPr>
                <w:sz w:val="20"/>
                <w:szCs w:val="20"/>
                <w:color w:val="auto"/>
              </w:rPr>
            </w:pPr>
            <w:r>
              <w:rPr>
                <w:rFonts w:ascii="Arial" w:cs="Arial" w:eastAsia="Arial" w:hAnsi="Arial"/>
                <w:sz w:val="15"/>
                <w:szCs w:val="15"/>
                <w:color w:val="auto"/>
              </w:rPr>
              <w:t>Net (decrease) / increase in cash and cash equivalents</w:t>
            </w:r>
          </w:p>
        </w:tc>
        <w:tc>
          <w:tcPr>
            <w:tcW w:w="220" w:type="dxa"/>
            <w:vAlign w:val="bottom"/>
            <w:tcBorders>
              <w:top w:val="single" w:sz="8" w:color="auto"/>
            </w:tcBorders>
            <w:shd w:val="clear" w:color="auto" w:fill="CCEEFF"/>
          </w:tcPr>
          <w:p>
            <w:pPr>
              <w:jc w:val="right"/>
              <w:ind w:right="46"/>
              <w:spacing w:after="0" w:line="166"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(9,011)</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6"/>
              <w:spacing w:after="0" w:line="166"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35,972</w:t>
            </w: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6"/>
              <w:spacing w:after="0" w:line="166"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12,997</w:t>
            </w:r>
          </w:p>
        </w:tc>
        <w:tc>
          <w:tcPr>
            <w:tcW w:w="20" w:type="dxa"/>
            <w:vAlign w:val="bottom"/>
          </w:tcPr>
          <w:p>
            <w:pPr>
              <w:spacing w:after="0"/>
              <w:rPr>
                <w:sz w:val="14"/>
                <w:szCs w:val="14"/>
                <w:color w:val="auto"/>
              </w:rPr>
            </w:pPr>
          </w:p>
        </w:tc>
      </w:tr>
      <w:tr>
        <w:trPr>
          <w:trHeight w:val="166"/>
        </w:trPr>
        <w:tc>
          <w:tcPr>
            <w:tcW w:w="5800" w:type="dxa"/>
            <w:vAlign w:val="bottom"/>
            <w:tcBorders>
              <w:bottom w:val="single" w:sz="8" w:color="CCEEFF"/>
            </w:tcBorders>
          </w:tcPr>
          <w:p>
            <w:pPr>
              <w:ind w:left="100"/>
              <w:spacing w:after="0" w:line="166" w:lineRule="exact"/>
              <w:rPr>
                <w:sz w:val="20"/>
                <w:szCs w:val="20"/>
                <w:color w:val="auto"/>
              </w:rPr>
            </w:pPr>
            <w:r>
              <w:rPr>
                <w:rFonts w:ascii="Arial" w:cs="Arial" w:eastAsia="Arial" w:hAnsi="Arial"/>
                <w:sz w:val="15"/>
                <w:szCs w:val="15"/>
                <w:color w:val="auto"/>
              </w:rPr>
              <w:t>Cash and cash equivalents at beginning of the period</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57,842</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21,870</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8,873</w:t>
            </w:r>
          </w:p>
        </w:tc>
        <w:tc>
          <w:tcPr>
            <w:tcW w:w="20" w:type="dxa"/>
            <w:vAlign w:val="bottom"/>
          </w:tcPr>
          <w:p>
            <w:pPr>
              <w:spacing w:after="0"/>
              <w:rPr>
                <w:sz w:val="14"/>
                <w:szCs w:val="14"/>
                <w:color w:val="auto"/>
              </w:rPr>
            </w:pPr>
          </w:p>
        </w:tc>
      </w:tr>
      <w:tr>
        <w:trPr>
          <w:trHeight w:val="157"/>
        </w:trPr>
        <w:tc>
          <w:tcPr>
            <w:tcW w:w="58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Cash and cash equivalents at the end of the period</w:t>
            </w:r>
          </w:p>
        </w:tc>
        <w:tc>
          <w:tcPr>
            <w:tcW w:w="220" w:type="dxa"/>
            <w:vAlign w:val="bottom"/>
            <w:tcBorders>
              <w:bottom w:val="single" w:sz="8" w:color="auto"/>
            </w:tcBorders>
            <w:shd w:val="clear" w:color="auto" w:fill="CCEEFF"/>
          </w:tcPr>
          <w:p>
            <w:pPr>
              <w:jc w:val="right"/>
              <w:ind w:right="46"/>
              <w:spacing w:after="0" w:line="157"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48,831</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6"/>
              <w:spacing w:after="0" w:line="157"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57,842</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46"/>
              <w:spacing w:after="0" w:line="157"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21,870</w:t>
            </w:r>
          </w:p>
        </w:tc>
        <w:tc>
          <w:tcPr>
            <w:tcW w:w="20" w:type="dxa"/>
            <w:vAlign w:val="bottom"/>
          </w:tcPr>
          <w:p>
            <w:pPr>
              <w:spacing w:after="0"/>
              <w:rPr>
                <w:sz w:val="13"/>
                <w:szCs w:val="13"/>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As of June 30, 2022, we had cash and cash equivalents of $48.8 million, including $7.2 million located outside of the United States, and $4.2 million that is subject to certain local regulations on repatriation. As of June 30, 2021, we had cash and cash equivalents of $57.8 million, including $6.9 million located outside of the United States, and $3.0 million that is subject to certain local regulations on repatriation. Our cash position as of June 30, 2022 decreased primarily due to the net paydown of $11.1 million on our revolving line of credit.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Cash Flows from Operating Activities</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Net cash inflow from operating activities during the fiscal year ended June 30, 2022 was $50.1 million compared to $ 25.9 million during the fiscal year ended June 30, 2021. The increase in net cash inflow from operating activities was primarily driven by stronger operating results (including lower non-recurring expenses), improved working capital, and lower cash taxes paid in fiscal year 2022.</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Net cash inflow from operating activities during the fiscal year ended June 30, 2021 was $25.9 million compared to $51.7 million during the fiscal year ended June 30, 2020. The change in net cash inflow from operating activities was primarily driven by an improvement in operating results offset by an increase in trade receivables related to a large client reverting to standard payment terms, timing of cash payments for trade payables and an increase in cash taxes paid in fiscal year 2021.</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Net cash inflow from operating activities during the fiscal year ended June 30, 2020 was $51.7 million compared with net cash inflow of $2.2 million during the fiscal year ended June 30, 2019. The increase in net cash inflow from operating activities was primarily attributable to the increase in net income before taxation of $10.1 million for the year ended June 30, 2020 and to the accelerated collection of receivables related to a large client.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Cash Flows from Investing Activities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During the year ended June 30, 2022, we had net expenditures of $24.9 million on investing activities, primarily related to the purchase of property and equipment of $24.6 million and purchase of intangible assets of $1.3</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million, as we continued to invest heavily in nearshore and offshore capacity expansion, offset by a dividend received from the joint venture of $1.0 million.</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During the year ended June 30, 2021, we expended $ 20.2 million on investing activities, primarily related to the purchase of property and equipment of $19.4 million and purchase of intangible assets of $1.5 million. A significant portion of our investing activities was related to the expansion of two existing delivery centers in Nicaragua and the Philippines and the opening of four new delivery centers in Jamaica, Nicaragua, and the Philippines.</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During the fiscal year ended June 30, 2020, we expended $4.8 million on investing activities, primarily related to the purchase of property and equipment of $4.3 million and purchase of intangible assets of $1.0 million. A significant portion of our investing activities was related to the opening of one new delivery center located in the Nicaragua and two new delivery centers located in the Philippines.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Cash Flows from Financing Activities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During the year ended June 30, 2022, we expended $33.3 million on financing activities, primarily related to a $ 11.1 million net decrease in our line of credit, repayment of borrowings of $6.8 million, net payments of $12.0 million on lease obligations, and $3.4 million in share buybacks.</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Net cash inflow from financing activities of $30.4 million during the fiscal year ended June 30, 2021 was primarily related to net proceeds of $63.1 million from our IPO, payments of $1.1 million in listing costs, a $0.8 million net increase in our line of credit, net repayment of borrowings of $9.4 million and related party loans of $1.6 million, the payment of $17.5 million on lease obligations (including $5.5 million prepayments on high interest leases), and a dividend distribution of $4.0 million to our principal shareholder.</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Net cash outflow from financing activities of $33.9 million cash during the fiscal year ended June 30, 2020 primarily reflected proceeds from line of credit of $127.6 million, repayments of line of credit $142.1 million, proceeds from borrowings of $1.0 million, repayment of borrowings of $8.0 million, and the payment of $12.2 million on lease obligations. This was also partially offset by the dividend distribution of $0.1 million.</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cash resources could also be affected by various risks and uncertainties. For additional information, please see the section entitled “Risk Factors.”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Free cash flow</w:t>
      </w:r>
    </w:p>
    <w:p>
      <w:pPr>
        <w:spacing w:after="0" w:line="17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We define “free cash flow” as net cash provided by operating activities less cash capital expenditures. While we believe that free cash flow provides useful information to investors in understanding and evaluating our liquidity position in the same manner as our management, our use of free cash flow has limitations as an analytical tool, and you should not consider it in isolation or as a substitute for analysis of our financial results as reported under IFRS. Further, other companies, including companies in our industry, may adjust their cash flows differently, which may reduce the value of free cash flow as a comparative measure. The following table presents a reconciliation of net cash provided by operating activities to free cash flow, the most directly comparable financial measure calculated and presented in accordance with IFRS, for each of the periods indicated.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5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4"/>
          </w:tcPr>
          <w:p>
            <w:pPr>
              <w:jc w:val="right"/>
              <w:ind w:right="134"/>
              <w:spacing w:after="0"/>
              <w:rPr>
                <w:sz w:val="20"/>
                <w:szCs w:val="20"/>
                <w:color w:val="auto"/>
              </w:rPr>
            </w:pPr>
            <w:r>
              <w:rPr>
                <w:rFonts w:ascii="Arial" w:cs="Arial" w:eastAsia="Arial" w:hAnsi="Arial"/>
                <w:sz w:val="13"/>
                <w:szCs w:val="13"/>
                <w:b w:val="1"/>
                <w:bCs w:val="1"/>
                <w:color w:val="auto"/>
              </w:rPr>
              <w:t>Year ended June 30,</w:t>
            </w:r>
          </w:p>
        </w:tc>
        <w:tc>
          <w:tcPr>
            <w:tcW w:w="800" w:type="dxa"/>
            <w:vAlign w:val="bottom"/>
          </w:tcPr>
          <w:p>
            <w:pPr>
              <w:spacing w:after="0"/>
              <w:rPr>
                <w:sz w:val="13"/>
                <w:szCs w:val="13"/>
                <w:color w:val="auto"/>
              </w:rPr>
            </w:pPr>
          </w:p>
        </w:tc>
      </w:tr>
      <w:tr>
        <w:trPr>
          <w:trHeight w:val="16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US$ in thousands, unaudited</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2020</w:t>
            </w:r>
          </w:p>
        </w:tc>
      </w:tr>
      <w:tr>
        <w:trPr>
          <w:trHeight w:val="155"/>
        </w:trPr>
        <w:tc>
          <w:tcPr>
            <w:tcW w:w="5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5"/>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50,129</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25,897</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51,719</w:t>
            </w:r>
          </w:p>
        </w:tc>
      </w:tr>
      <w:tr>
        <w:trPr>
          <w:trHeight w:val="155"/>
        </w:trPr>
        <w:tc>
          <w:tcPr>
            <w:tcW w:w="5700" w:type="dxa"/>
            <w:vAlign w:val="bottom"/>
          </w:tcPr>
          <w:p>
            <w:pPr>
              <w:ind w:left="20"/>
              <w:spacing w:after="0"/>
              <w:rPr>
                <w:sz w:val="20"/>
                <w:szCs w:val="20"/>
                <w:color w:val="auto"/>
              </w:rPr>
            </w:pPr>
            <w:r>
              <w:rPr>
                <w:rFonts w:ascii="Arial" w:cs="Arial" w:eastAsia="Arial" w:hAnsi="Arial"/>
                <w:sz w:val="13"/>
                <w:szCs w:val="13"/>
                <w:color w:val="auto"/>
              </w:rPr>
              <w:t>Less: Cash capital expenditures</w:t>
            </w:r>
          </w:p>
        </w:tc>
        <w:tc>
          <w:tcPr>
            <w:tcW w:w="22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25,919</w:t>
            </w:r>
          </w:p>
        </w:tc>
        <w:tc>
          <w:tcPr>
            <w:tcW w:w="3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20,823</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5,265</w:t>
            </w:r>
          </w:p>
        </w:tc>
      </w:tr>
      <w:tr>
        <w:trPr>
          <w:trHeight w:val="155"/>
        </w:trPr>
        <w:tc>
          <w:tcPr>
            <w:tcW w:w="57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2"/>
                <w:szCs w:val="12"/>
                <w:b w:val="1"/>
                <w:bCs w:val="1"/>
                <w:color w:val="auto"/>
              </w:rPr>
              <w:t>Free cash flow</w:t>
            </w:r>
            <w:r>
              <w:rPr>
                <w:rFonts w:ascii="Arial" w:cs="Arial" w:eastAsia="Arial" w:hAnsi="Arial"/>
                <w:sz w:val="17"/>
                <w:szCs w:val="17"/>
                <w:color w:val="auto"/>
                <w:vertAlign w:val="superscript"/>
              </w:rPr>
              <w:t>(1)</w:t>
            </w: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24,210</w:t>
            </w:r>
          </w:p>
        </w:tc>
        <w:tc>
          <w:tcPr>
            <w:tcW w:w="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5,074</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46,454</w:t>
            </w: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40" w:right="39"/>
        <w:spacing w:after="0" w:line="268" w:lineRule="auto"/>
        <w:rPr>
          <w:sz w:val="20"/>
          <w:szCs w:val="20"/>
          <w:color w:val="auto"/>
        </w:rPr>
      </w:pPr>
      <w:r>
        <w:rPr>
          <w:rFonts w:ascii="Arial" w:cs="Arial" w:eastAsia="Arial" w:hAnsi="Arial"/>
          <w:sz w:val="13"/>
          <w:szCs w:val="13"/>
          <w:color w:val="auto"/>
        </w:rPr>
        <w:t>Excluded from free cash flow from are the principal portion of right-of-use lease payments of $13.3 million, $10.8 million, and $9.1 million for the years ended June 30, 2022, 2021, and 2020, respectively. We believe it is useful to consider these payments when analyzing free cash flow as these amounts directly relate to revenue generating assets used in operations.</w:t>
      </w:r>
    </w:p>
    <w:p>
      <w:pPr>
        <w:spacing w:after="0" w:line="13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Free cash flow between fiscal years 2022 and 2021 increased to $24.2 million from $5.1 million in the prior year, due to an increase in net cash provided by operating activities paritally offset by an increase in capital expenditures over the prior year as we continued to invest primarily in nearshore capacity expansion.</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Free cash flow between fiscal years 2021 and 2020 decreased to $5.1 million from $46.5 million in the prior year, driven by a decrease in net cash provided by operating activities primarily due to an increase in our trade receivables balance as one of our larger clients reverted to standard payment terms towards the end of fiscal year 2021, as well as an increase in cash capital expenditures of $15.6 million, including new capacity with social distancing requirements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Dividend to TRGI</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On July 21, 2020, our board of directors approved a one-time dividend of $ 4.0 million to our shareholders reflecting a portion of the cash generation from the business during fiscal year 2020. The dividend was paid on July 24, 2020 to TRGI, the holder of our Series A preferred share (outstanding prior to its automatic conversion into common shares in connection with our initial public offering), which was entitled to a dividend preference that expired upon conversion of the Series A preferred share to common shares upon the completion of our initial public offering.</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Financing Arrangements</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We are party to a number of financing arrangements with banks, financial institutions and lessors that serve to meet our liquidity requirements. These arrangements include credit facilities, lines of credit, receivables financing arrangements, term loans, right-of-use leases, and financing leases. The following is a summary of our principal financing arrangements. For more information, refer to Note 13 to our audited consolidated financial statements included at the end of this annual report.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PNC Credit Facility</w:t>
      </w:r>
    </w:p>
    <w:p>
      <w:pPr>
        <w:spacing w:after="0" w:line="168"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In November 2013, our subsidiary Ibex Global Solutions, Inc. (formerly known as TRG Customer Solutions, Inc.) entered into a three-year $35.0 million revolving credit facility (as amended, the “PNC Credit Facility”) with PNC Bank, N.A. (“PNC”). In June 2015, the maximum revolving advance amount under the PNC Credit Facility was increased to $40.0 million, with an additional $10.0 million of incremental availability (subject to PNC’s approval and satisfaction of conditions precedent) and the maturity date was extended to May 2020. In December 2018, the PNC Credit Facility maximum revolving advance amount was increased to $45.0 million. In May 2019, the PNC Credit Facility was amended to include the following: the maximum revolving advance amount was increased to $ 50.0 million, with an additional $ 10.0 million of availability (in $5.0 million increments) subject to satisfaction of conditions precedent, and the maturity date was extended to May 2023. In March 2021, the PNC Credit Facility was amended to join Digital Globe Services, LLC, TelSatOnline, LLC and 7 Degrees, LLC as borrowers, with the maximum revolving advance amount increased to $60 million. In September 2021, the PNC Credit Facility was amended to join iSky, LLC as a borrower. In June 2022, the PNC Credit Facility was amended to increase the maximum revolving advance amount to $80 million, with the ability to request increases, up to a maximum revolving advance amount of $95 million (contingent upon lender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approval), change the reference rate used from LIBOR to Term SOFR and extend the maturity date to May 2026. Borrowings under the PNC Credit Facility bear interest at SOFR plus a margin of 1.75% and/or negative 0.5% of the PNC Commercial Lending Rate for domestic loans. The PNC Credit Facility is guaranteed by IBEX Global Limited and secured by substantially all the assets of Ibex Global Solutions, Inc., Digital Globe Services, LLC, TelSatOnline, LLC, 7 Degrees, LLC, and iSky, LLC. The PNC Credit Facility balance as of June 30, 2022 and 2021 was $11.2 million and $22.3 million, respectively.</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Loans with First Global Bank Limited</w:t>
      </w:r>
    </w:p>
    <w:p>
      <w:pPr>
        <w:spacing w:after="0" w:line="16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In January 2018, our subsidiary IBEX Global Jamaica Limited entered into a $1.4 million non-revolving demand loan with First Global Bank Limited. The loan bears interest at a fixed rate of 7.0% per annum for the term of the loan, has a maturity date of January 2023, and is required to be repaid in 54 equal monthly installments (commencing six months after the drawdown date).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The balance of the loan was $0.2 million and $0.5 million, as of June 30, 2022 and 2021, respectively.</w:t>
      </w:r>
    </w:p>
    <w:p>
      <w:pPr>
        <w:spacing w:after="0" w:line="150"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4"/>
          <w:szCs w:val="14"/>
          <w:color w:val="auto"/>
        </w:rPr>
        <w:t>In November 2018, our subsidiary IBEX Global Jamaica Limited entered into a $1.2 million non-revolving demand loan with First Global Bank Limited. The loan bears a variable interest at 6-month LIBOR plus a margin of 5.26%, subject to a floor of 7.0% per annum, for the term of the loan. The loan is to be paid in 60 equal monthly installments following initial disbursement in January 2019, triggering a bullet payment after 36 months in January 2022, with an option to renew for an additional 24 months. In January, 2022, the option to renew was exercised and the remaining balance of the loan of $0.5 million extended to mature in January 2024, at a variable rate of 6% per annum.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The balance of the loan was $0.4 million and $0.7 million, as of June 30, 2022 and 2021, respectively.</w:t>
      </w:r>
    </w:p>
    <w:p>
      <w:pPr>
        <w:spacing w:after="0" w:line="141" w:lineRule="exact"/>
        <w:rPr>
          <w:sz w:val="20"/>
          <w:szCs w:val="20"/>
          <w:color w:val="auto"/>
        </w:rPr>
      </w:pPr>
    </w:p>
    <w:p>
      <w:pPr>
        <w:jc w:val="both"/>
        <w:ind w:left="40" w:right="59"/>
        <w:spacing w:after="0" w:line="237" w:lineRule="auto"/>
        <w:rPr>
          <w:sz w:val="20"/>
          <w:szCs w:val="20"/>
          <w:color w:val="auto"/>
        </w:rPr>
      </w:pPr>
      <w:r>
        <w:rPr>
          <w:rFonts w:ascii="Arial" w:cs="Arial" w:eastAsia="Arial" w:hAnsi="Arial"/>
          <w:sz w:val="15"/>
          <w:szCs w:val="15"/>
          <w:color w:val="auto"/>
        </w:rPr>
        <w:t>In October 2019, our subsidiary, IBEX Global Jamaica Limited, entered into a $0.8 million non-revolving demand loan with First Global Bank Limited. The loan bears a fixed interest rate of 7%. The loan is to be paid in 36 equal monthly installments.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plus the assignment of peril insurance for the replacement value over the charged assets. The balance of the loan was $0.1 million and $0.4 million, as of June 30, 2022 and 2021, respectively.</w:t>
      </w:r>
    </w:p>
    <w:p>
      <w:pPr>
        <w:spacing w:after="0" w:line="15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In March 2020, our subsidiary, IBEX Global Jamaica Limited, entered into a $0.6 million non-revolving demand loan and a $2 million non-revolving demand loan with First Global Bank Limited. Each loan bears interest at a fixed rate of 7.0% per annum for the term of the loan. Each loan is to be paid in 36 equal monthly installments, commencing 30 days after the first disbursement of loan funds. The loan is guaranteed by IBEX Global Limited and secured by substantially all of the assets of IBEX Global Jamaica Limited. The debenture under which IBEX Global Jamaica Limited granted security over its assets contains limitations on liens, the incurrence of debt and the sale of assets. The balance of the $0.6 million non-revolving demand loan is $ 0.2 million and $ 0.4 million, as of June 30, 2022 and 2021, respectively. The balance of the $2 million non-revolving demand loan is $0.7 million and $1.2 million as of June 30, 2022 and 2021, respectively.</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 July 2022, all IBEX Global Jamaica Limited loans with First Global Bank Limited were paid in full.</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JS Bank Limited Loans</w:t>
      </w:r>
    </w:p>
    <w:p>
      <w:pPr>
        <w:spacing w:after="0" w:line="16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In May 2020, the Group’s subsidiary, IBEX Global Solutions (Pvt) Limited entered into a loan agreement with JS Bank Limited for a loan of $1.0 million (PKR165 million) under a government initiated wage and salary loan fund. The loan funds were received in July 2020. The loan bears 3% interest per annum with a two year term.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Repayment of the loan commenced in January 2021, with monthly payments of principal and interest thereafter. The loan is guaranteed by the Group’s subsidiaries of Virtual World (Private) Limited and Ibex Global Bermuda Ltd. and is secured by the current and fixed assets of IBEX Global Solutions (Private) Limited, plus the receivables of IBEX Global Bermuda Ltd. The balance of the loan was $0.2 million and $0.8 million as of June 30, 2022 and 2021, respectively.</w:t>
      </w:r>
    </w:p>
    <w:p>
      <w:pPr>
        <w:spacing w:after="0" w:line="15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In May 2020, the Group’s subsidiary, Virtual World (Pvt) Limited entered into a loan agreement with JS Bank Limited for a loan of $0.8 million (PKR 120 million) under a government-initiated wage and salary loan fund. The loan funds were received in July 2020. The loan bears 3% interest per annum with a two year term. Repayment of the loan commenced in January 2021, with monthly payments of principal and interest thereafter. The loan is guaranteed by the Group’s subsidiaries of IBEX Global Solutions (Pvt) Ltd. and IBEX Global Bermuda Ltd and is secured by the current and fixed assets, plus the assignment of certain receivables of Virtual World (Pvt) Limited. The balance of the loan was $0.1 million and $0.6 million, as of June 30, 2022 and 2021, respectively.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Receivables Financing Agreement with Citibank, N.A.</w:t>
      </w:r>
    </w:p>
    <w:p>
      <w:pPr>
        <w:spacing w:after="0" w:line="168"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4"/>
          <w:szCs w:val="14"/>
          <w:color w:val="auto"/>
        </w:rPr>
        <w:t>In June 2015, our subsidiary, Ibex Global Solutions, Inc., entered into a supplier agreement with Citibank, N.A. (the “Citibank Receivables Financing Agreement”). Pursuant to the Citibank Receivables Financing Agreement, Citibank provides payment to Ibex Global Solutions, Inc. for accounts receivable owed to Ibex Global Solutions, Inc. from one of our largest clients and its various subsidiaries and affiliates located in the United States. All payments from Citibank to Ibex Global Solutions, Inc. are subject to a discount charge. The discount rate used to calculate the discount charge is the product of (i) the SOFR rate for the period most closely corresponding to the number of days in the period starting from and including the date the proceeds are remitted by Citibank to Ibex Global Solutions, Inc. (the “Discount Acceptance Period”) plus 1.40% per annum and (ii) the Discount Acceptance Period divided by 360. The discount charge during the fiscal year ended June 30, 2022 and 2021 averaged approximately 0.17% and 0.17% of net sales, respectively.</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Receivables Financing Agreement with Seacoast National Bank</w:t>
      </w:r>
    </w:p>
    <w:p>
      <w:pPr>
        <w:spacing w:after="0" w:line="16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In July 2011, a subsidiary of the Group, iSky, Inc., entered into a purchasing agreement (the “Seacoast Receivables Financing Agreement”) with the predecessor to Seacoast National Bank (“Seacoast”). Pursuant to the Seacoast Receivables Financing Agreement, Seacoast provides payment to iSky, Inc. for up to $1.5 million of accounts receivable owed to iSky, Inc. All payments from Seacoast to iSky, Inc. are subject to a discount of 1.0% for receivables outstanding 30 days or less and an additional 0.5% for each additional 15 days that such receivable is outstanding. Under the Seacoast Receivables Financing Agreement, Seacoast may also advance an amount up to 85% of iSky, Inc.’s receivables to iSky, Inc. at a rate of LIBOR plus 7.0%.</w:t>
      </w:r>
    </w:p>
    <w:p>
      <w:pPr>
        <w:spacing w:after="0" w:line="15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Seacoast Receivables Financing Agreement requires iSky, Inc. to sell $0.2 million of receivables per month to Seacoast, subject to a penalty based on the discount fee if such minimum is not met. The Seacoast Receivables Financing Agreement is automatically renewed for successive 12-month periods unless terminated in accordance with its terms. The average discount during the fiscal year ended June 30, 2021 was approximately 1.8% of net sales. On June 16, 2021, we terminated the Receivables Financing Agreement.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Total debt</w:t>
      </w:r>
    </w:p>
    <w:p>
      <w:pPr>
        <w:spacing w:after="0" w:line="16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As of June 30, 2022, our outstanding debt under our credit facilities and leases amounted to $104.7 million. Of this amount, $28.4 million represented the current portion of such borrowings and $76.3 million represented the long-term portion of such borrowings. As of June 30, 2021, our outstanding debt under our credit facilities and leases amounted to $112.5 million. Of this amount, $38.8 million represented the current portion of such borrowings and $73.7 million represented the long-term portion of such borrowings.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Net debt</w:t>
      </w:r>
    </w:p>
    <w:p>
      <w:pPr>
        <w:spacing w:after="0" w:line="170"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We define “net debt” as total debt (borrowings and leases) less cash and cash equivalents. We believe that net debt provides useful information to investors in understanding and evaluating our ability to pay off debt. Our use of net debt has limitations as an analytical tool, and you should not consider it in isolation or as a substitute for analysis of our financial results as reported under IFRS. Further, other companies, including companies in our industry, may adjust their debt differently, which may reduce the value of net debt as a comparative measure.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debt is calculated below:</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June 30,</w:t>
            </w:r>
          </w:p>
        </w:tc>
        <w:tc>
          <w:tcPr>
            <w:tcW w:w="3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June 30,</w:t>
            </w:r>
          </w:p>
        </w:tc>
      </w:tr>
      <w:tr>
        <w:trPr>
          <w:trHeight w:val="167"/>
        </w:trPr>
        <w:tc>
          <w:tcPr>
            <w:tcW w:w="64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i w:val="1"/>
                <w:iCs w:val="1"/>
                <w:color w:val="auto"/>
              </w:rPr>
              <w:t>US$ in thousands, unaudited</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2022</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2021</w:t>
            </w:r>
          </w:p>
        </w:tc>
      </w:tr>
      <w:tr>
        <w:trPr>
          <w:trHeight w:val="133"/>
        </w:trPr>
        <w:tc>
          <w:tcPr>
            <w:tcW w:w="6400" w:type="dxa"/>
            <w:vAlign w:val="bottom"/>
            <w:gridSpan w:val="4"/>
          </w:tcPr>
          <w:p>
            <w:pPr>
              <w:ind w:left="20"/>
              <w:spacing w:after="0" w:line="133" w:lineRule="exact"/>
              <w:rPr>
                <w:sz w:val="20"/>
                <w:szCs w:val="20"/>
                <w:color w:val="auto"/>
              </w:rPr>
            </w:pPr>
            <w:r>
              <w:rPr>
                <w:rFonts w:ascii="Arial" w:cs="Arial" w:eastAsia="Arial" w:hAnsi="Arial"/>
                <w:sz w:val="13"/>
                <w:szCs w:val="13"/>
                <w:i w:val="1"/>
                <w:iCs w:val="1"/>
                <w:color w:val="auto"/>
              </w:rPr>
              <w:t>Borrowings</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5"/>
        </w:trPr>
        <w:tc>
          <w:tcPr>
            <w:tcW w:w="64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14,689</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26,716</w:t>
            </w:r>
          </w:p>
        </w:tc>
      </w:tr>
      <w:tr>
        <w:trPr>
          <w:trHeight w:val="155"/>
        </w:trPr>
        <w:tc>
          <w:tcPr>
            <w:tcW w:w="6400" w:type="dxa"/>
            <w:vAlign w:val="bottom"/>
            <w:tcBorders>
              <w:bottom w:val="single" w:sz="8" w:color="CCEEFF"/>
            </w:tcBorders>
            <w:gridSpan w:val="4"/>
          </w:tcPr>
          <w:p>
            <w:pPr>
              <w:ind w:left="20"/>
              <w:spacing w:after="0"/>
              <w:rPr>
                <w:sz w:val="20"/>
                <w:szCs w:val="20"/>
                <w:color w:val="auto"/>
              </w:rPr>
            </w:pPr>
            <w:r>
              <w:rPr>
                <w:rFonts w:ascii="Arial" w:cs="Arial" w:eastAsia="Arial" w:hAnsi="Arial"/>
                <w:sz w:val="13"/>
                <w:szCs w:val="13"/>
                <w:color w:val="auto"/>
              </w:rPr>
              <w:t>Non-current</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338</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1,801</w:t>
            </w:r>
          </w:p>
        </w:tc>
      </w:tr>
      <w:tr>
        <w:trPr>
          <w:trHeight w:val="146"/>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74"/>
              <w:spacing w:after="0" w:line="146"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74"/>
              <w:spacing w:after="0" w:line="146" w:lineRule="exact"/>
              <w:rPr>
                <w:sz w:val="20"/>
                <w:szCs w:val="20"/>
                <w:color w:val="auto"/>
              </w:rPr>
            </w:pPr>
            <w:r>
              <w:rPr>
                <w:rFonts w:ascii="Arial" w:cs="Arial" w:eastAsia="Arial" w:hAnsi="Arial"/>
                <w:sz w:val="13"/>
                <w:szCs w:val="13"/>
                <w:color w:val="auto"/>
              </w:rPr>
              <w:t>15,027</w:t>
            </w:r>
          </w:p>
        </w:tc>
        <w:tc>
          <w:tcPr>
            <w:tcW w:w="380" w:type="dxa"/>
            <w:vAlign w:val="bottom"/>
            <w:tcBorders>
              <w:bottom w:val="single" w:sz="8" w:color="auto"/>
            </w:tcBorders>
            <w:shd w:val="clear" w:color="auto" w:fill="CCEEFF"/>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28,517</w:t>
            </w:r>
          </w:p>
        </w:tc>
      </w:tr>
      <w:tr>
        <w:trPr>
          <w:trHeight w:val="113"/>
        </w:trPr>
        <w:tc>
          <w:tcPr>
            <w:tcW w:w="6400" w:type="dxa"/>
            <w:vAlign w:val="bottom"/>
            <w:gridSpan w:val="4"/>
          </w:tcPr>
          <w:p>
            <w:pPr>
              <w:ind w:left="20"/>
              <w:spacing w:after="0" w:line="113" w:lineRule="exact"/>
              <w:rPr>
                <w:sz w:val="20"/>
                <w:szCs w:val="20"/>
                <w:color w:val="auto"/>
              </w:rPr>
            </w:pPr>
            <w:r>
              <w:rPr>
                <w:rFonts w:ascii="Arial" w:cs="Arial" w:eastAsia="Arial" w:hAnsi="Arial"/>
                <w:sz w:val="13"/>
                <w:szCs w:val="13"/>
                <w:i w:val="1"/>
                <w:iCs w:val="1"/>
                <w:color w:val="auto"/>
              </w:rPr>
              <w:t>Leases</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1"/>
        </w:trPr>
        <w:tc>
          <w:tcPr>
            <w:tcW w:w="64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13,705</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12,121</w:t>
            </w:r>
          </w:p>
        </w:tc>
      </w:tr>
      <w:tr>
        <w:trPr>
          <w:trHeight w:val="155"/>
        </w:trPr>
        <w:tc>
          <w:tcPr>
            <w:tcW w:w="6400" w:type="dxa"/>
            <w:vAlign w:val="bottom"/>
            <w:tcBorders>
              <w:bottom w:val="single" w:sz="8" w:color="CCEEFF"/>
            </w:tcBorders>
            <w:gridSpan w:val="4"/>
          </w:tcPr>
          <w:p>
            <w:pPr>
              <w:ind w:left="20"/>
              <w:spacing w:after="0"/>
              <w:rPr>
                <w:sz w:val="20"/>
                <w:szCs w:val="20"/>
                <w:color w:val="auto"/>
              </w:rPr>
            </w:pPr>
            <w:r>
              <w:rPr>
                <w:rFonts w:ascii="Arial" w:cs="Arial" w:eastAsia="Arial" w:hAnsi="Arial"/>
                <w:sz w:val="13"/>
                <w:szCs w:val="13"/>
                <w:color w:val="auto"/>
              </w:rPr>
              <w:t>Non-current</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76,004</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71,878</w:t>
            </w:r>
          </w:p>
        </w:tc>
      </w:tr>
      <w:tr>
        <w:trPr>
          <w:trHeight w:val="146"/>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74"/>
              <w:spacing w:after="0" w:line="146"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74"/>
              <w:spacing w:after="0" w:line="146" w:lineRule="exact"/>
              <w:rPr>
                <w:sz w:val="20"/>
                <w:szCs w:val="20"/>
                <w:color w:val="auto"/>
              </w:rPr>
            </w:pPr>
            <w:r>
              <w:rPr>
                <w:rFonts w:ascii="Arial" w:cs="Arial" w:eastAsia="Arial" w:hAnsi="Arial"/>
                <w:sz w:val="13"/>
                <w:szCs w:val="13"/>
                <w:color w:val="auto"/>
              </w:rPr>
              <w:t>89,709</w:t>
            </w:r>
          </w:p>
        </w:tc>
        <w:tc>
          <w:tcPr>
            <w:tcW w:w="380" w:type="dxa"/>
            <w:vAlign w:val="bottom"/>
            <w:tcBorders>
              <w:bottom w:val="single" w:sz="8" w:color="auto"/>
            </w:tcBorders>
            <w:shd w:val="clear" w:color="auto" w:fill="CCEEFF"/>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83,999</w:t>
            </w:r>
          </w:p>
        </w:tc>
      </w:tr>
      <w:tr>
        <w:trPr>
          <w:trHeight w:val="146"/>
        </w:trPr>
        <w:tc>
          <w:tcPr>
            <w:tcW w:w="640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Total debt</w:t>
            </w:r>
          </w:p>
        </w:tc>
        <w:tc>
          <w:tcPr>
            <w:tcW w:w="220" w:type="dxa"/>
            <w:vAlign w:val="bottom"/>
          </w:tcPr>
          <w:p>
            <w:pPr>
              <w:jc w:val="right"/>
              <w:ind w:right="74"/>
              <w:spacing w:after="0" w:line="146" w:lineRule="exact"/>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4"/>
              <w:spacing w:after="0" w:line="146" w:lineRule="exact"/>
              <w:rPr>
                <w:sz w:val="20"/>
                <w:szCs w:val="20"/>
                <w:color w:val="auto"/>
              </w:rPr>
            </w:pPr>
            <w:r>
              <w:rPr>
                <w:rFonts w:ascii="Arial" w:cs="Arial" w:eastAsia="Arial" w:hAnsi="Arial"/>
                <w:sz w:val="13"/>
                <w:szCs w:val="13"/>
                <w:color w:val="auto"/>
              </w:rPr>
              <w:t>104,736</w:t>
            </w:r>
          </w:p>
        </w:tc>
        <w:tc>
          <w:tcPr>
            <w:tcW w:w="3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auto"/>
              </w:rPr>
              <w:t>112,516</w:t>
            </w:r>
          </w:p>
        </w:tc>
      </w:tr>
      <w:tr>
        <w:trPr>
          <w:trHeight w:val="155"/>
        </w:trPr>
        <w:tc>
          <w:tcPr>
            <w:tcW w:w="64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48,831</w:t>
            </w:r>
          </w:p>
        </w:tc>
        <w:tc>
          <w:tcPr>
            <w:tcW w:w="3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57,842</w:t>
            </w:r>
          </w:p>
        </w:tc>
      </w:tr>
      <w:tr>
        <w:trPr>
          <w:trHeight w:val="146"/>
        </w:trPr>
        <w:tc>
          <w:tcPr>
            <w:tcW w:w="6400" w:type="dxa"/>
            <w:vAlign w:val="bottom"/>
            <w:gridSpan w:val="4"/>
          </w:tcPr>
          <w:p>
            <w:pPr>
              <w:ind w:left="20"/>
              <w:spacing w:after="0" w:line="146" w:lineRule="exact"/>
              <w:rPr>
                <w:sz w:val="20"/>
                <w:szCs w:val="20"/>
                <w:color w:val="auto"/>
              </w:rPr>
            </w:pPr>
            <w:r>
              <w:rPr>
                <w:rFonts w:ascii="Arial" w:cs="Arial" w:eastAsia="Arial" w:hAnsi="Arial"/>
                <w:sz w:val="13"/>
                <w:szCs w:val="13"/>
                <w:b w:val="1"/>
                <w:bCs w:val="1"/>
                <w:color w:val="auto"/>
              </w:rPr>
              <w:t>Net debt</w:t>
            </w:r>
          </w:p>
        </w:tc>
        <w:tc>
          <w:tcPr>
            <w:tcW w:w="220" w:type="dxa"/>
            <w:vAlign w:val="bottom"/>
            <w:tcBorders>
              <w:bottom w:val="single" w:sz="8" w:color="auto"/>
            </w:tcBorders>
          </w:tcPr>
          <w:p>
            <w:pPr>
              <w:jc w:val="right"/>
              <w:ind w:right="74"/>
              <w:spacing w:after="0" w:line="146" w:lineRule="exact"/>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tcPr>
          <w:p>
            <w:pPr>
              <w:jc w:val="right"/>
              <w:ind w:right="74"/>
              <w:spacing w:after="0" w:line="146" w:lineRule="exact"/>
              <w:rPr>
                <w:sz w:val="20"/>
                <w:szCs w:val="20"/>
                <w:color w:val="auto"/>
              </w:rPr>
            </w:pPr>
            <w:r>
              <w:rPr>
                <w:rFonts w:ascii="Arial" w:cs="Arial" w:eastAsia="Arial" w:hAnsi="Arial"/>
                <w:sz w:val="13"/>
                <w:szCs w:val="13"/>
                <w:b w:val="1"/>
                <w:bCs w:val="1"/>
                <w:color w:val="auto"/>
              </w:rPr>
              <w:t>55,905</w:t>
            </w:r>
          </w:p>
        </w:tc>
        <w:tc>
          <w:tcPr>
            <w:tcW w:w="380" w:type="dxa"/>
            <w:vAlign w:val="bottom"/>
            <w:tcBorders>
              <w:bottom w:val="single" w:sz="8" w:color="auto"/>
            </w:tcBorders>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54,674</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increase in net debt is primarily due to higher lease obligations on new sites in offshore and nearshore locations offset by our strong operating cash flow.</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For a discussion of contractual obligations, such as leases, short and long term financing arrangements, defined benefit obligations, and purchase obligations, please refer to our audited consolidated financial statements included at the end of this annual report.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  Research and development activities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  Trend information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a discussion of trends, see “Item 4B. Business Overview” and “Item 5A. Operating Results.”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  Critical Accounting Estimates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a discussion of critical accounting estimates, see “Item 5A. Operating Results – Critical Accounting Estimates and Judgments.”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6.DIRECTORS, SENIOR MANAGEMENT AND EMPLOYEES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  Directors and Senior Management</w:t>
      </w:r>
    </w:p>
    <w:p>
      <w:pPr>
        <w:spacing w:after="0" w:line="18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following table sets forth the name, age as of September 1, 2022 and position of each of our executive officers and directors. Unless otherwise stated, the business address for all of our executive officers and members of our board of directors is c/o IBEX Limited, 1717 Pennsylvania Avenue NW, Suite 825, Washington, DC 20006, USA.</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22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20" w:type="dxa"/>
            <w:vAlign w:val="bottom"/>
          </w:tcPr>
          <w:p>
            <w:pPr>
              <w:jc w:val="center"/>
              <w:ind w:left="287"/>
              <w:spacing w:after="0"/>
              <w:rPr>
                <w:sz w:val="20"/>
                <w:szCs w:val="20"/>
                <w:color w:val="auto"/>
              </w:rPr>
            </w:pPr>
            <w:r>
              <w:rPr>
                <w:rFonts w:ascii="Arial" w:cs="Arial" w:eastAsia="Arial" w:hAnsi="Arial"/>
                <w:sz w:val="12"/>
                <w:szCs w:val="12"/>
                <w:b w:val="1"/>
                <w:bCs w:val="1"/>
                <w:color w:val="auto"/>
                <w:w w:val="96"/>
              </w:rPr>
              <w:t>Age</w:t>
            </w:r>
          </w:p>
        </w:tc>
        <w:tc>
          <w:tcPr>
            <w:tcW w:w="5920" w:type="dxa"/>
            <w:vAlign w:val="bottom"/>
          </w:tcPr>
          <w:p>
            <w:pPr>
              <w:ind w:left="10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Executive Officers</w:t>
            </w:r>
          </w:p>
        </w:tc>
        <w:tc>
          <w:tcPr>
            <w:tcW w:w="820" w:type="dxa"/>
            <w:vAlign w:val="bottom"/>
            <w:tcBorders>
              <w:top w:val="single" w:sz="8" w:color="auto"/>
            </w:tcBorders>
            <w:shd w:val="clear" w:color="auto" w:fill="CCEEFF"/>
          </w:tcPr>
          <w:p>
            <w:pPr>
              <w:spacing w:after="0"/>
              <w:rPr>
                <w:sz w:val="13"/>
                <w:szCs w:val="13"/>
                <w:color w:val="auto"/>
              </w:rPr>
            </w:pPr>
          </w:p>
        </w:tc>
        <w:tc>
          <w:tcPr>
            <w:tcW w:w="5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5"/>
                <w:szCs w:val="15"/>
                <w:color w:val="auto"/>
              </w:rPr>
              <w:t>Robert Dechant</w:t>
            </w:r>
          </w:p>
        </w:tc>
        <w:tc>
          <w:tcPr>
            <w:tcW w:w="820" w:type="dxa"/>
            <w:vAlign w:val="bottom"/>
          </w:tcPr>
          <w:p>
            <w:pPr>
              <w:jc w:val="center"/>
              <w:ind w:left="307"/>
              <w:spacing w:after="0" w:line="166" w:lineRule="exact"/>
              <w:rPr>
                <w:sz w:val="20"/>
                <w:szCs w:val="20"/>
                <w:color w:val="auto"/>
              </w:rPr>
            </w:pPr>
            <w:r>
              <w:rPr>
                <w:rFonts w:ascii="Arial" w:cs="Arial" w:eastAsia="Arial" w:hAnsi="Arial"/>
                <w:sz w:val="15"/>
                <w:szCs w:val="15"/>
                <w:color w:val="auto"/>
                <w:w w:val="95"/>
              </w:rPr>
              <w:t>60</w:t>
            </w:r>
          </w:p>
        </w:tc>
        <w:tc>
          <w:tcPr>
            <w:tcW w:w="5920" w:type="dxa"/>
            <w:vAlign w:val="bottom"/>
          </w:tcPr>
          <w:p>
            <w:pPr>
              <w:ind w:left="100"/>
              <w:spacing w:after="0" w:line="166" w:lineRule="exact"/>
              <w:rPr>
                <w:sz w:val="20"/>
                <w:szCs w:val="20"/>
                <w:color w:val="auto"/>
              </w:rPr>
            </w:pPr>
            <w:r>
              <w:rPr>
                <w:rFonts w:ascii="Arial" w:cs="Arial" w:eastAsia="Arial" w:hAnsi="Arial"/>
                <w:sz w:val="15"/>
                <w:szCs w:val="15"/>
                <w:color w:val="auto"/>
              </w:rPr>
              <w:t>Chief Executive Officer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Karl Gabel</w:t>
            </w:r>
          </w:p>
        </w:tc>
        <w:tc>
          <w:tcPr>
            <w:tcW w:w="820" w:type="dxa"/>
            <w:vAlign w:val="bottom"/>
            <w:shd w:val="clear" w:color="auto" w:fill="CCEEFF"/>
          </w:tcPr>
          <w:p>
            <w:pPr>
              <w:jc w:val="center"/>
              <w:ind w:left="307"/>
              <w:spacing w:after="0" w:line="166" w:lineRule="exact"/>
              <w:rPr>
                <w:sz w:val="20"/>
                <w:szCs w:val="20"/>
                <w:color w:val="auto"/>
              </w:rPr>
            </w:pPr>
            <w:r>
              <w:rPr>
                <w:rFonts w:ascii="Arial" w:cs="Arial" w:eastAsia="Arial" w:hAnsi="Arial"/>
                <w:sz w:val="15"/>
                <w:szCs w:val="15"/>
                <w:color w:val="auto"/>
                <w:w w:val="95"/>
              </w:rPr>
              <w:t>58</w:t>
            </w:r>
          </w:p>
        </w:tc>
        <w:tc>
          <w:tcPr>
            <w:tcW w:w="592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5"/>
                <w:szCs w:val="15"/>
                <w:color w:val="auto"/>
              </w:rPr>
              <w:t>Christy O’Connor</w:t>
            </w:r>
          </w:p>
        </w:tc>
        <w:tc>
          <w:tcPr>
            <w:tcW w:w="820" w:type="dxa"/>
            <w:vAlign w:val="bottom"/>
          </w:tcPr>
          <w:p>
            <w:pPr>
              <w:jc w:val="center"/>
              <w:ind w:left="307"/>
              <w:spacing w:after="0" w:line="166" w:lineRule="exact"/>
              <w:rPr>
                <w:sz w:val="20"/>
                <w:szCs w:val="20"/>
                <w:color w:val="auto"/>
              </w:rPr>
            </w:pPr>
            <w:r>
              <w:rPr>
                <w:rFonts w:ascii="Arial" w:cs="Arial" w:eastAsia="Arial" w:hAnsi="Arial"/>
                <w:sz w:val="15"/>
                <w:szCs w:val="15"/>
                <w:color w:val="auto"/>
                <w:w w:val="95"/>
              </w:rPr>
              <w:t>53</w:t>
            </w:r>
          </w:p>
        </w:tc>
        <w:tc>
          <w:tcPr>
            <w:tcW w:w="5920" w:type="dxa"/>
            <w:vAlign w:val="bottom"/>
          </w:tcPr>
          <w:p>
            <w:pPr>
              <w:ind w:left="100"/>
              <w:spacing w:after="0" w:line="166" w:lineRule="exact"/>
              <w:rPr>
                <w:sz w:val="20"/>
                <w:szCs w:val="20"/>
                <w:color w:val="auto"/>
              </w:rPr>
            </w:pPr>
            <w:r>
              <w:rPr>
                <w:rFonts w:ascii="Arial" w:cs="Arial" w:eastAsia="Arial" w:hAnsi="Arial"/>
                <w:sz w:val="15"/>
                <w:szCs w:val="15"/>
                <w:color w:val="auto"/>
              </w:rPr>
              <w:t>General Counsel and Assistant Corporate Secretary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David Afdahl</w:t>
            </w:r>
          </w:p>
        </w:tc>
        <w:tc>
          <w:tcPr>
            <w:tcW w:w="820" w:type="dxa"/>
            <w:vAlign w:val="bottom"/>
            <w:shd w:val="clear" w:color="auto" w:fill="CCEEFF"/>
          </w:tcPr>
          <w:p>
            <w:pPr>
              <w:jc w:val="center"/>
              <w:ind w:left="307"/>
              <w:spacing w:after="0" w:line="166" w:lineRule="exact"/>
              <w:rPr>
                <w:sz w:val="20"/>
                <w:szCs w:val="20"/>
                <w:color w:val="auto"/>
              </w:rPr>
            </w:pPr>
            <w:r>
              <w:rPr>
                <w:rFonts w:ascii="Arial" w:cs="Arial" w:eastAsia="Arial" w:hAnsi="Arial"/>
                <w:sz w:val="15"/>
                <w:szCs w:val="15"/>
                <w:color w:val="auto"/>
                <w:w w:val="95"/>
              </w:rPr>
              <w:t>48</w:t>
            </w:r>
          </w:p>
        </w:tc>
        <w:tc>
          <w:tcPr>
            <w:tcW w:w="592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Chief Operating Officer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5"/>
                <w:szCs w:val="15"/>
                <w:color w:val="auto"/>
              </w:rPr>
              <w:t>Jeffrey Cox</w:t>
            </w:r>
          </w:p>
        </w:tc>
        <w:tc>
          <w:tcPr>
            <w:tcW w:w="820" w:type="dxa"/>
            <w:vAlign w:val="bottom"/>
          </w:tcPr>
          <w:p>
            <w:pPr>
              <w:jc w:val="center"/>
              <w:ind w:left="307"/>
              <w:spacing w:after="0" w:line="166" w:lineRule="exact"/>
              <w:rPr>
                <w:sz w:val="20"/>
                <w:szCs w:val="20"/>
                <w:color w:val="auto"/>
              </w:rPr>
            </w:pPr>
            <w:r>
              <w:rPr>
                <w:rFonts w:ascii="Arial" w:cs="Arial" w:eastAsia="Arial" w:hAnsi="Arial"/>
                <w:sz w:val="15"/>
                <w:szCs w:val="15"/>
                <w:color w:val="auto"/>
                <w:w w:val="95"/>
              </w:rPr>
              <w:t>53</w:t>
            </w:r>
          </w:p>
        </w:tc>
        <w:tc>
          <w:tcPr>
            <w:tcW w:w="5920" w:type="dxa"/>
            <w:vAlign w:val="bottom"/>
          </w:tcPr>
          <w:p>
            <w:pPr>
              <w:ind w:left="100"/>
              <w:spacing w:after="0" w:line="166" w:lineRule="exact"/>
              <w:rPr>
                <w:sz w:val="20"/>
                <w:szCs w:val="20"/>
                <w:color w:val="auto"/>
              </w:rPr>
            </w:pPr>
            <w:r>
              <w:rPr>
                <w:rFonts w:ascii="Arial" w:cs="Arial" w:eastAsia="Arial" w:hAnsi="Arial"/>
                <w:sz w:val="15"/>
                <w:szCs w:val="15"/>
                <w:color w:val="auto"/>
              </w:rPr>
              <w:t>President, IBEX Digital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Bruce Dawson</w:t>
            </w:r>
          </w:p>
        </w:tc>
        <w:tc>
          <w:tcPr>
            <w:tcW w:w="820" w:type="dxa"/>
            <w:vAlign w:val="bottom"/>
            <w:shd w:val="clear" w:color="auto" w:fill="CCEEFF"/>
          </w:tcPr>
          <w:p>
            <w:pPr>
              <w:jc w:val="center"/>
              <w:ind w:left="307"/>
              <w:spacing w:after="0" w:line="166" w:lineRule="exact"/>
              <w:rPr>
                <w:sz w:val="20"/>
                <w:szCs w:val="20"/>
                <w:color w:val="auto"/>
              </w:rPr>
            </w:pPr>
            <w:r>
              <w:rPr>
                <w:rFonts w:ascii="Arial" w:cs="Arial" w:eastAsia="Arial" w:hAnsi="Arial"/>
                <w:sz w:val="15"/>
                <w:szCs w:val="15"/>
                <w:color w:val="auto"/>
                <w:w w:val="95"/>
              </w:rPr>
              <w:t>58</w:t>
            </w:r>
          </w:p>
        </w:tc>
        <w:tc>
          <w:tcPr>
            <w:tcW w:w="592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Chief Sales and Client Services Officer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5"/>
                <w:szCs w:val="15"/>
                <w:color w:val="auto"/>
              </w:rPr>
              <w:t>Julie Casteel</w:t>
            </w:r>
          </w:p>
        </w:tc>
        <w:tc>
          <w:tcPr>
            <w:tcW w:w="820" w:type="dxa"/>
            <w:vAlign w:val="bottom"/>
          </w:tcPr>
          <w:p>
            <w:pPr>
              <w:jc w:val="center"/>
              <w:ind w:left="307"/>
              <w:spacing w:after="0" w:line="166" w:lineRule="exact"/>
              <w:rPr>
                <w:sz w:val="20"/>
                <w:szCs w:val="20"/>
                <w:color w:val="auto"/>
              </w:rPr>
            </w:pPr>
            <w:r>
              <w:rPr>
                <w:rFonts w:ascii="Arial" w:cs="Arial" w:eastAsia="Arial" w:hAnsi="Arial"/>
                <w:sz w:val="15"/>
                <w:szCs w:val="15"/>
                <w:color w:val="auto"/>
                <w:w w:val="95"/>
              </w:rPr>
              <w:t>61</w:t>
            </w:r>
          </w:p>
        </w:tc>
        <w:tc>
          <w:tcPr>
            <w:tcW w:w="5920" w:type="dxa"/>
            <w:vAlign w:val="bottom"/>
          </w:tcPr>
          <w:p>
            <w:pPr>
              <w:ind w:left="100"/>
              <w:spacing w:after="0" w:line="166" w:lineRule="exact"/>
              <w:rPr>
                <w:sz w:val="20"/>
                <w:szCs w:val="20"/>
                <w:color w:val="auto"/>
              </w:rPr>
            </w:pPr>
            <w:r>
              <w:rPr>
                <w:rFonts w:ascii="Arial" w:cs="Arial" w:eastAsia="Arial" w:hAnsi="Arial"/>
                <w:sz w:val="15"/>
                <w:szCs w:val="15"/>
                <w:color w:val="auto"/>
              </w:rPr>
              <w:t>Chief Strategic Accounts Officer</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5"/>
                <w:szCs w:val="15"/>
                <w:b w:val="1"/>
                <w:bCs w:val="1"/>
                <w:color w:val="auto"/>
              </w:rPr>
              <w:t>Non-Employee Directors</w:t>
            </w:r>
          </w:p>
        </w:tc>
        <w:tc>
          <w:tcPr>
            <w:tcW w:w="8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Mohammed Khaishgi</w:t>
            </w:r>
          </w:p>
        </w:tc>
        <w:tc>
          <w:tcPr>
            <w:tcW w:w="820" w:type="dxa"/>
            <w:vAlign w:val="bottom"/>
            <w:shd w:val="clear" w:color="auto" w:fill="CCEEFF"/>
          </w:tcPr>
          <w:p>
            <w:pPr>
              <w:jc w:val="center"/>
              <w:ind w:left="307"/>
              <w:spacing w:after="0" w:line="166" w:lineRule="exact"/>
              <w:rPr>
                <w:sz w:val="20"/>
                <w:szCs w:val="20"/>
                <w:color w:val="auto"/>
              </w:rPr>
            </w:pPr>
            <w:r>
              <w:rPr>
                <w:rFonts w:ascii="Arial" w:cs="Arial" w:eastAsia="Arial" w:hAnsi="Arial"/>
                <w:sz w:val="15"/>
                <w:szCs w:val="15"/>
                <w:color w:val="auto"/>
                <w:w w:val="95"/>
              </w:rPr>
              <w:t>55</w:t>
            </w:r>
          </w:p>
        </w:tc>
        <w:tc>
          <w:tcPr>
            <w:tcW w:w="592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Chairman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5"/>
                <w:szCs w:val="15"/>
                <w:color w:val="auto"/>
              </w:rPr>
              <w:t>Daniella Ballou-Aares</w:t>
            </w:r>
          </w:p>
        </w:tc>
        <w:tc>
          <w:tcPr>
            <w:tcW w:w="820" w:type="dxa"/>
            <w:vAlign w:val="bottom"/>
          </w:tcPr>
          <w:p>
            <w:pPr>
              <w:jc w:val="center"/>
              <w:ind w:left="307"/>
              <w:spacing w:after="0" w:line="166" w:lineRule="exact"/>
              <w:rPr>
                <w:sz w:val="20"/>
                <w:szCs w:val="20"/>
                <w:color w:val="auto"/>
              </w:rPr>
            </w:pPr>
            <w:r>
              <w:rPr>
                <w:rFonts w:ascii="Arial" w:cs="Arial" w:eastAsia="Arial" w:hAnsi="Arial"/>
                <w:sz w:val="15"/>
                <w:szCs w:val="15"/>
                <w:color w:val="auto"/>
                <w:w w:val="95"/>
              </w:rPr>
              <w:t>47</w:t>
            </w:r>
          </w:p>
        </w:tc>
        <w:tc>
          <w:tcPr>
            <w:tcW w:w="5920" w:type="dxa"/>
            <w:vAlign w:val="bottom"/>
          </w:tcPr>
          <w:p>
            <w:pPr>
              <w:ind w:left="100"/>
              <w:spacing w:after="0" w:line="166" w:lineRule="exact"/>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John Jones</w:t>
            </w:r>
          </w:p>
        </w:tc>
        <w:tc>
          <w:tcPr>
            <w:tcW w:w="820" w:type="dxa"/>
            <w:vAlign w:val="bottom"/>
            <w:shd w:val="clear" w:color="auto" w:fill="CCEEFF"/>
          </w:tcPr>
          <w:p>
            <w:pPr>
              <w:jc w:val="center"/>
              <w:ind w:left="307"/>
              <w:spacing w:after="0" w:line="166" w:lineRule="exact"/>
              <w:rPr>
                <w:sz w:val="20"/>
                <w:szCs w:val="20"/>
                <w:color w:val="auto"/>
              </w:rPr>
            </w:pPr>
            <w:r>
              <w:rPr>
                <w:rFonts w:ascii="Arial" w:cs="Arial" w:eastAsia="Arial" w:hAnsi="Arial"/>
                <w:sz w:val="15"/>
                <w:szCs w:val="15"/>
                <w:color w:val="auto"/>
                <w:w w:val="95"/>
              </w:rPr>
              <w:t>67</w:t>
            </w:r>
          </w:p>
        </w:tc>
        <w:tc>
          <w:tcPr>
            <w:tcW w:w="592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5"/>
                <w:szCs w:val="15"/>
                <w:color w:val="auto"/>
              </w:rPr>
              <w:t>Shuja Keen</w:t>
            </w:r>
          </w:p>
        </w:tc>
        <w:tc>
          <w:tcPr>
            <w:tcW w:w="820" w:type="dxa"/>
            <w:vAlign w:val="bottom"/>
          </w:tcPr>
          <w:p>
            <w:pPr>
              <w:jc w:val="center"/>
              <w:ind w:left="307"/>
              <w:spacing w:after="0" w:line="166" w:lineRule="exact"/>
              <w:rPr>
                <w:sz w:val="20"/>
                <w:szCs w:val="20"/>
                <w:color w:val="auto"/>
              </w:rPr>
            </w:pPr>
            <w:r>
              <w:rPr>
                <w:rFonts w:ascii="Arial" w:cs="Arial" w:eastAsia="Arial" w:hAnsi="Arial"/>
                <w:sz w:val="15"/>
                <w:szCs w:val="15"/>
                <w:color w:val="auto"/>
                <w:w w:val="95"/>
              </w:rPr>
              <w:t>46</w:t>
            </w:r>
          </w:p>
        </w:tc>
        <w:tc>
          <w:tcPr>
            <w:tcW w:w="5920" w:type="dxa"/>
            <w:vAlign w:val="bottom"/>
          </w:tcPr>
          <w:p>
            <w:pPr>
              <w:ind w:left="100"/>
              <w:spacing w:after="0" w:line="166" w:lineRule="exact"/>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John Leone</w:t>
            </w:r>
          </w:p>
        </w:tc>
        <w:tc>
          <w:tcPr>
            <w:tcW w:w="820" w:type="dxa"/>
            <w:vAlign w:val="bottom"/>
            <w:shd w:val="clear" w:color="auto" w:fill="CCEEFF"/>
          </w:tcPr>
          <w:p>
            <w:pPr>
              <w:jc w:val="center"/>
              <w:ind w:left="307"/>
              <w:spacing w:after="0" w:line="166" w:lineRule="exact"/>
              <w:rPr>
                <w:sz w:val="20"/>
                <w:szCs w:val="20"/>
                <w:color w:val="auto"/>
              </w:rPr>
            </w:pPr>
            <w:r>
              <w:rPr>
                <w:rFonts w:ascii="Arial" w:cs="Arial" w:eastAsia="Arial" w:hAnsi="Arial"/>
                <w:sz w:val="15"/>
                <w:szCs w:val="15"/>
                <w:color w:val="auto"/>
                <w:w w:val="95"/>
              </w:rPr>
              <w:t>49</w:t>
            </w:r>
          </w:p>
        </w:tc>
        <w:tc>
          <w:tcPr>
            <w:tcW w:w="592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5"/>
                <w:szCs w:val="15"/>
                <w:color w:val="auto"/>
              </w:rPr>
              <w:t>Fiona Beck</w:t>
            </w:r>
          </w:p>
        </w:tc>
        <w:tc>
          <w:tcPr>
            <w:tcW w:w="820" w:type="dxa"/>
            <w:vAlign w:val="bottom"/>
          </w:tcPr>
          <w:p>
            <w:pPr>
              <w:jc w:val="center"/>
              <w:ind w:left="307"/>
              <w:spacing w:after="0" w:line="166" w:lineRule="exact"/>
              <w:rPr>
                <w:sz w:val="20"/>
                <w:szCs w:val="20"/>
                <w:color w:val="auto"/>
              </w:rPr>
            </w:pPr>
            <w:r>
              <w:rPr>
                <w:rFonts w:ascii="Arial" w:cs="Arial" w:eastAsia="Arial" w:hAnsi="Arial"/>
                <w:sz w:val="15"/>
                <w:szCs w:val="15"/>
                <w:color w:val="auto"/>
                <w:w w:val="95"/>
              </w:rPr>
              <w:t>57</w:t>
            </w:r>
          </w:p>
        </w:tc>
        <w:tc>
          <w:tcPr>
            <w:tcW w:w="5920" w:type="dxa"/>
            <w:vAlign w:val="bottom"/>
          </w:tcPr>
          <w:p>
            <w:pPr>
              <w:ind w:left="100"/>
              <w:spacing w:after="0" w:line="166" w:lineRule="exact"/>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Gerard Kleisterlee</w:t>
            </w:r>
          </w:p>
        </w:tc>
        <w:tc>
          <w:tcPr>
            <w:tcW w:w="820" w:type="dxa"/>
            <w:vAlign w:val="bottom"/>
            <w:shd w:val="clear" w:color="auto" w:fill="CCEEFF"/>
          </w:tcPr>
          <w:p>
            <w:pPr>
              <w:jc w:val="center"/>
              <w:ind w:left="307"/>
              <w:spacing w:after="0" w:line="166" w:lineRule="exact"/>
              <w:rPr>
                <w:sz w:val="20"/>
                <w:szCs w:val="20"/>
                <w:color w:val="auto"/>
              </w:rPr>
            </w:pPr>
            <w:r>
              <w:rPr>
                <w:rFonts w:ascii="Arial" w:cs="Arial" w:eastAsia="Arial" w:hAnsi="Arial"/>
                <w:sz w:val="15"/>
                <w:szCs w:val="15"/>
                <w:color w:val="auto"/>
                <w:w w:val="95"/>
              </w:rPr>
              <w:t>75</w:t>
            </w:r>
          </w:p>
        </w:tc>
        <w:tc>
          <w:tcPr>
            <w:tcW w:w="592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Our Executive Officers</w:t>
      </w:r>
    </w:p>
    <w:p>
      <w:pPr>
        <w:spacing w:after="0" w:line="170"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5"/>
          <w:szCs w:val="15"/>
          <w:b w:val="1"/>
          <w:bCs w:val="1"/>
          <w:i w:val="1"/>
          <w:iCs w:val="1"/>
          <w:color w:val="auto"/>
        </w:rPr>
        <w:t xml:space="preserve">Robert Dechant </w:t>
      </w:r>
      <w:r>
        <w:rPr>
          <w:rFonts w:ascii="Arial" w:cs="Arial" w:eastAsia="Arial" w:hAnsi="Arial"/>
          <w:sz w:val="15"/>
          <w:szCs w:val="15"/>
          <w:color w:val="auto"/>
        </w:rPr>
        <w:t>has served as our Chief Executive Officer since July 2019 and as a member of our board since January 2021.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2017 to July 2019, Mr. Dechant served as Chief Executive Officer of IBEX Interactive (which corresponds to IBEX’s current operations). From 2015 until 2017, Mr. Dechant served as Chief Executive Officer of IBEX Global Solutions. From 2012 until 2015, Mr. Dechant served as the Chief Sales, Marketing and Client Services Officer at Qualfon, Inc., a global provider of call center, back office, and business process outsourcing services. Prior to that, Mr. Dechant was the Chief Marketing and Operations Officer at Stream Global Services, a large multinational business process outsourcing provider which merged with Convergys in 2014. Mr. Dechant holds a B.S. degree from Fairfield University.</w:t>
      </w:r>
    </w:p>
    <w:p>
      <w:pPr>
        <w:spacing w:after="0" w:line="151"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4"/>
          <w:szCs w:val="14"/>
          <w:b w:val="1"/>
          <w:bCs w:val="1"/>
          <w:i w:val="1"/>
          <w:iCs w:val="1"/>
          <w:color w:val="auto"/>
        </w:rPr>
        <w:t xml:space="preserve">Karl Gabel </w:t>
      </w:r>
      <w:r>
        <w:rPr>
          <w:rFonts w:ascii="Arial" w:cs="Arial" w:eastAsia="Arial" w:hAnsi="Arial"/>
          <w:sz w:val="14"/>
          <w:szCs w:val="14"/>
          <w:color w:val="auto"/>
        </w:rPr>
        <w:t>has served as our Chief Financial Officer since November 2017. From 2004 until 2017, Mr. Gabel served in multiple finance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leadership functions, including as the Chief Financial Officer of IBEX Global Solutions, one of the Continuing Business Entities. Mr. Gabel holds a B.S. degree in accounting from Pennsylvania State University and an Executive M.B.A. degree from St. Joseph’s University.</w:t>
      </w:r>
    </w:p>
    <w:p>
      <w:pPr>
        <w:spacing w:after="0" w:line="129"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b w:val="1"/>
          <w:bCs w:val="1"/>
          <w:i w:val="1"/>
          <w:iCs w:val="1"/>
          <w:color w:val="auto"/>
        </w:rPr>
        <w:t xml:space="preserve">Christy O’Connor </w:t>
      </w:r>
      <w:r>
        <w:rPr>
          <w:rFonts w:ascii="Arial" w:cs="Arial" w:eastAsia="Arial" w:hAnsi="Arial"/>
          <w:sz w:val="15"/>
          <w:szCs w:val="15"/>
          <w:color w:val="auto"/>
        </w:rPr>
        <w:t>has served as our General Counsel and Assistant Corporate Secretary since March 2018. From 2015 to 2018,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Ms. O’Connor worked for Alorica, a provider of customer management outsourcing solutions, as the Chief Legal and Compliance Officer from 2015 through 2017 and as a legal advisor thereafter. From 2014 to 2015, Ms. O’Connor was the General Counsel and Chief Legal Officer at SourceHOV. From 2011 to 2014, Ms. O’Connor was the Deputy General Counsel for Stream Global Services. Ms. O’Connor holds a B.A./M.A. from the University of Chicago, a J.D. from St. Mary’s University School of Law and a degree in International Law from the University of Innsbruck.</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b w:val="1"/>
          <w:bCs w:val="1"/>
          <w:i w:val="1"/>
          <w:iCs w:val="1"/>
          <w:color w:val="auto"/>
        </w:rPr>
        <w:t xml:space="preserve">David Afdahl </w:t>
      </w:r>
      <w:r>
        <w:rPr>
          <w:rFonts w:ascii="Arial" w:cs="Arial" w:eastAsia="Arial" w:hAnsi="Arial"/>
          <w:sz w:val="15"/>
          <w:szCs w:val="15"/>
          <w:color w:val="auto"/>
        </w:rPr>
        <w:t>has served as our Chief Operating Officer since 2018, where he is responsible for global operations, performance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and financial results. He joined IBEX in 2017 as the Vice President of</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4"/>
          <w:szCs w:val="14"/>
          <w:color w:val="auto"/>
        </w:rPr>
        <w:t>Operations, responsible for US Operations. Mr. Afdahl has more than 23 years of operational leadership experience within the BPO industry. For seven years he served as the Managing Director for Xerox Services, where he was responsible for global operations, client management and the overall financial performance. Mr. Afdahl holds a B.A. degree in Anthropology from the University of Maryland.</w:t>
      </w:r>
    </w:p>
    <w:p>
      <w:pPr>
        <w:spacing w:after="0" w:line="129" w:lineRule="exact"/>
        <w:rPr>
          <w:sz w:val="20"/>
          <w:szCs w:val="20"/>
          <w:color w:val="auto"/>
        </w:rPr>
      </w:pPr>
    </w:p>
    <w:p>
      <w:pPr>
        <w:jc w:val="both"/>
        <w:ind w:left="40" w:right="59"/>
        <w:spacing w:after="0"/>
        <w:rPr>
          <w:sz w:val="20"/>
          <w:szCs w:val="20"/>
          <w:color w:val="auto"/>
        </w:rPr>
      </w:pPr>
      <w:r>
        <w:rPr>
          <w:rFonts w:ascii="Arial" w:cs="Arial" w:eastAsia="Arial" w:hAnsi="Arial"/>
          <w:sz w:val="15"/>
          <w:szCs w:val="15"/>
          <w:b w:val="1"/>
          <w:bCs w:val="1"/>
          <w:i w:val="1"/>
          <w:iCs w:val="1"/>
          <w:color w:val="auto"/>
        </w:rPr>
        <w:t xml:space="preserve">Jeffrey Cox </w:t>
      </w:r>
      <w:r>
        <w:rPr>
          <w:rFonts w:ascii="Arial" w:cs="Arial" w:eastAsia="Arial" w:hAnsi="Arial"/>
          <w:sz w:val="15"/>
          <w:szCs w:val="15"/>
          <w:color w:val="auto"/>
        </w:rPr>
        <w:t>has served as President of IBEX Digital since 2008, when he founded Digital Globe Services Limited. Mr. Cox has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twenty years of wireless and cable sales and operations experience and has held executive positions in sales channel development and execution, on and off-line marketing programs and call center sales and operations for some of the world’s most recognized brands. Mr. Cox holds a B.A. degree from San Diego State University.</w:t>
      </w:r>
    </w:p>
    <w:p>
      <w:pPr>
        <w:spacing w:after="0" w:line="15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b w:val="1"/>
          <w:bCs w:val="1"/>
          <w:i w:val="1"/>
          <w:iCs w:val="1"/>
          <w:color w:val="auto"/>
        </w:rPr>
        <w:t xml:space="preserve">Bruce Dawson </w:t>
      </w:r>
      <w:r>
        <w:rPr>
          <w:rFonts w:ascii="Arial" w:cs="Arial" w:eastAsia="Arial" w:hAnsi="Arial"/>
          <w:sz w:val="15"/>
          <w:szCs w:val="15"/>
          <w:color w:val="auto"/>
        </w:rPr>
        <w:t>has served as our Chief Sales and Client Services Officer since 2017. From 2016 until 2017, he held the same role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IBEX Global Solutions, one of the Continuing Business Entities. From 2014 until 2016, Mr. Dawson served as U.S. Nearshore Regional Director for Atento S.A. Prior to joining Atento S.A., Mr. Dawson served at SITEL Corporation from October 2012 to March 2014 and Stream Global Services from October 2008 to August 2012. Mr. Dawson has held management positions at various companies in the BPO industry bringing experience from the software and telecommunications sector. He holds a B.A. degree in psychology from Denison University.</w:t>
      </w:r>
    </w:p>
    <w:p>
      <w:pPr>
        <w:spacing w:after="0" w:line="15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b w:val="1"/>
          <w:bCs w:val="1"/>
          <w:i w:val="1"/>
          <w:iCs w:val="1"/>
          <w:color w:val="auto"/>
        </w:rPr>
        <w:t xml:space="preserve">Julie Casteel </w:t>
      </w:r>
      <w:r>
        <w:rPr>
          <w:rFonts w:ascii="Arial" w:cs="Arial" w:eastAsia="Arial" w:hAnsi="Arial"/>
          <w:sz w:val="15"/>
          <w:szCs w:val="15"/>
          <w:color w:val="auto"/>
        </w:rPr>
        <w:t>has served as our Chief Sales &amp; Marketing Officer since 2012 and is responsible for expanding new and existing clients.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She currently leads the strategy for growth and profitability for ibex’s largest global clients and is also responsible for the strategic development of the financial services and healthcare vertical markets. Ms. Casteel brings more than 25 years of successful sales and leadership experience within the BPO industry. For 10 years, she served as the Executive Vice-President of Global Sales &amp; Marketing at SITEL, where she was responsible for global revenue, client relationship management and the overall company marketing strategy. Ms. Casteel has served on a number of industry boards and has been published in the Economist, The Wall Street Journal and various industry publications. She holds a B.S. degree in Biology from Texas A&amp;M University.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Our Non-Employee Directors</w:t>
      </w:r>
    </w:p>
    <w:p>
      <w:pPr>
        <w:spacing w:after="0" w:line="170"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b w:val="1"/>
          <w:bCs w:val="1"/>
          <w:i w:val="1"/>
          <w:iCs w:val="1"/>
          <w:color w:val="auto"/>
        </w:rPr>
        <w:t xml:space="preserve">Mohammed Khaishgi </w:t>
      </w:r>
      <w:r>
        <w:rPr>
          <w:rFonts w:ascii="Arial" w:cs="Arial" w:eastAsia="Arial" w:hAnsi="Arial"/>
          <w:sz w:val="15"/>
          <w:szCs w:val="15"/>
          <w:color w:val="auto"/>
        </w:rPr>
        <w:t>served as our Chief Executive Officer from September 2017 through June 2019 and Chairman of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since September 2017. Mr. Khaishgi is a founding partner, Chief Executive Officer and a director of TRGI, our largest shareholder. Prior to being appointed Chief Executive Officer in 2021, Mr. Khaishgi served as TRGI’s Chief Operating Officer, having served in that position since TRGI’s inception. At TRGI, Mr. Khaishgi is responsible for overseeing TRGI’s day-to-day operations, including management and oversight of its portfolio of direct holdings. Prior to joining TRGI, Mr. Khaishgi was a Senior Director at Align Technology, where he managed Align’s offshore delivery center and back-office services operations. Mr. Khaishgi was also previously a Senior Investment Officer at the World Bank’s International Finance Corporation (the “IFC”) where he was responsible for the IFC’s portfolio of investments in the Asian telecommunications and technology sectors. Mr. Khaishgi received his undergraduate degree in electrical engineering from the University of Engineering and Technology in Lahore, Pakistan, an additional B.A. degree in philosophy, politics and economics from the University of Oxford where he was a Rhodes Scholar, and a M.B.A. degree from Harvard Business School.</w:t>
      </w:r>
    </w:p>
    <w:p>
      <w:pPr>
        <w:spacing w:after="0" w:line="152"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b w:val="1"/>
          <w:bCs w:val="1"/>
          <w:i w:val="1"/>
          <w:iCs w:val="1"/>
          <w:color w:val="auto"/>
        </w:rPr>
        <w:t xml:space="preserve">Daniella Ballou-Aares </w:t>
      </w:r>
      <w:r>
        <w:rPr>
          <w:rFonts w:ascii="Arial" w:cs="Arial" w:eastAsia="Arial" w:hAnsi="Arial"/>
          <w:sz w:val="15"/>
          <w:szCs w:val="15"/>
          <w:color w:val="auto"/>
        </w:rPr>
        <w:t>has served as a member of our board since March 2018. Ms. Ballou-Aares is Chief Executive Officer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Leadership Now Project, a membership organization of business and thought leaders committed to renewing democracy. Daniella spent more than a decade as a partner at Dalberg Advisors, a global strategic advisory firm with that combines the best of private sector strategy skills, rigorous analytical capabilities and networks in emerging and frontier markets to fuel inclusive growth. She joined Dalberg’s founding team in 2004 served in a variety of capacities within the firm, including as the first Regional Director for the Americas. Ms. Ballou-Aares returned to Dalberg after serving in the Obama administration for five years as the Senior Advisor for Development to the U.S. Secretary of State, leading efforts to boost private investment in newly emerging markets. Before Dalberg, she was a management consultant at Bain &amp; Company in the U.S.,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U.K. and South Africa. Ms. Ballou-Aares holds an M.B.A. from Harvard Business School, an M.P.A. from Harvard’s Kennedy School of Government and a B.S. in operations research and industrial engineering from Cornell University.</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b w:val="1"/>
          <w:bCs w:val="1"/>
          <w:i w:val="1"/>
          <w:iCs w:val="1"/>
          <w:color w:val="auto"/>
        </w:rPr>
        <w:t xml:space="preserve">John Jones </w:t>
      </w:r>
      <w:r>
        <w:rPr>
          <w:rFonts w:ascii="Arial" w:cs="Arial" w:eastAsia="Arial" w:hAnsi="Arial"/>
          <w:sz w:val="15"/>
          <w:szCs w:val="15"/>
          <w:color w:val="auto"/>
        </w:rPr>
        <w:t>has served as a member of our board since March 2018. Mr. Jones previously served Expert Global Solutions, Inc. as Chief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Client Officer from 2015 until 2016 and Chief Operating Officer from 2011 until 2015. Prior to joining Expert Global Solutions, Inc. in 2011, Mr. Jones served in various leadership roles at JPMorgan Chase &amp; Co. for more than 25 years. He holds a B.S. degree in business management from the University of Phoenix.</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b w:val="1"/>
          <w:bCs w:val="1"/>
          <w:i w:val="1"/>
          <w:iCs w:val="1"/>
          <w:color w:val="auto"/>
        </w:rPr>
        <w:t xml:space="preserve">Shuja Keen </w:t>
      </w:r>
      <w:r>
        <w:rPr>
          <w:rFonts w:ascii="Arial" w:cs="Arial" w:eastAsia="Arial" w:hAnsi="Arial"/>
          <w:sz w:val="15"/>
          <w:szCs w:val="15"/>
          <w:color w:val="auto"/>
        </w:rPr>
        <w:t>has served as a member of our board since March 2018. Mr. Keen joined TRGI in 2002 and currently serves as a Managing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 His primary responsibility is to help the firm drive value by improving the operational effectiveness of TRGI’s portfolio companies, and leading fundraising, growth, and liquidity initiatives. Mr. Keen graduated with a S.B. degree from the Sloan School of Management at the Massachusetts Institute of Technology with concentrations in finance, information technology, and operations research and a minor in economics.</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b w:val="1"/>
          <w:bCs w:val="1"/>
          <w:i w:val="1"/>
          <w:iCs w:val="1"/>
          <w:color w:val="auto"/>
        </w:rPr>
        <w:t xml:space="preserve">John Leone </w:t>
      </w:r>
      <w:r>
        <w:rPr>
          <w:rFonts w:ascii="Arial" w:cs="Arial" w:eastAsia="Arial" w:hAnsi="Arial"/>
          <w:sz w:val="15"/>
          <w:szCs w:val="15"/>
          <w:color w:val="auto"/>
        </w:rPr>
        <w:t>has served as a member of our board since March 2018 and is a member of the board of directors of TRG Pakistan Ltd.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Leone founded ForeVest Capital Partners in 2016 and currently serves as a Managing Partner. Prior to founding ForeVest Capital Partners, Mr. Leone served at PineBridge Investments and its predecessor, AIG Investments, from 2004 to September 2016. Mr. Leone holds a J.D. from The George Washington University School of Law and a B.A. from Binghamton University.</w:t>
      </w:r>
    </w:p>
    <w:p>
      <w:pPr>
        <w:spacing w:after="0" w:line="151"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b w:val="1"/>
          <w:bCs w:val="1"/>
          <w:i w:val="1"/>
          <w:iCs w:val="1"/>
          <w:color w:val="auto"/>
        </w:rPr>
        <w:t xml:space="preserve">Fiona Beck </w:t>
      </w:r>
      <w:r>
        <w:rPr>
          <w:rFonts w:ascii="Arial" w:cs="Arial" w:eastAsia="Arial" w:hAnsi="Arial"/>
          <w:sz w:val="15"/>
          <w:szCs w:val="15"/>
          <w:color w:val="auto"/>
        </w:rPr>
        <w:t>has served as a member of our board since July 2020. Ms. Beck has held senior executive and director positions in large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infrastructure companies focused on the telecommunications and technology sectors, including as the President and Chief Executive Officer of Southern Cross Cable Limited, a submarine fiberoptic cable company, for 13 years. Ms. Beck currently serves as a director of Ocean Wilsons Holding Ltd (LON: OCN), Oakley Capital Investments Ltd. (LON: OCI), and a director of Atlas Arteria International Ltd (ASX: ALX). She also serves as a director of the Bermuda Business Development Agency, focusing on the technology and financial technology sectors. Ms. Beck previously served as a director of Twilio IP Holding Ltd (a subsidiary of Twilio Inc., NYSE: TWLO), a cloud-based communications platform, to February 2021. Ms. Beck holds a Bachelor of Management (Hons.) degree in finance and accounting from University of Waikato, New Zealand and is a chartered accountant.</w:t>
      </w:r>
    </w:p>
    <w:p>
      <w:pPr>
        <w:spacing w:after="0" w:line="153"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b w:val="1"/>
          <w:bCs w:val="1"/>
          <w:i w:val="1"/>
          <w:iCs w:val="1"/>
          <w:color w:val="auto"/>
        </w:rPr>
        <w:t xml:space="preserve">Gerard Kleisterlee </w:t>
      </w:r>
      <w:r>
        <w:rPr>
          <w:rFonts w:ascii="Arial" w:cs="Arial" w:eastAsia="Arial" w:hAnsi="Arial"/>
          <w:sz w:val="15"/>
          <w:szCs w:val="15"/>
          <w:color w:val="auto"/>
        </w:rPr>
        <w:t>has served as a member of our board since January 2021. Mr. Kleisterlee was the Chairman of Vodafone Group plc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2011 through 2020 and Non-Executive Director and Vice Chairman of Royal Dutch Shell plc. He was a member of the supervisory board of Daimler AG until 2014, and a member of the board of directors of Dell Inc. from 2010 through 2013. He also served on the supervisory board of the Dutch Central Bank from 2006 until 2012. Mr. Kleisterlee was also President and Chief Executive Officer of Royal Philips Electronics from 2001 to 2011. During his ten years as at Royal Philips Electronics, Mr. Kleisterlee was a member and Vice Chairman of the European Round Table of Industrialists and Chairman of the supervisory board of the Eindhoven Technical University, and he served in two successive Dutch Innovation Councils chaired by the prime minister. He also served on the supervisory board of the Dutch Central Bank from 2006 until 2012. In 2006, he was named European Businessman of the Year by Fortune Magazine. Kleisterlee has an Engineering (MSc) degree from Eindhoven Technical University and an honorary doctorate from Leuven Catholic University.</w:t>
      </w:r>
    </w:p>
    <w:p>
      <w:pPr>
        <w:spacing w:after="0" w:line="15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executive officers are elected by, and serve at the discretion of, our board of directors. There are no familial relationships among our directors and executive officers.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Diversity Matrix Disclosure</w:t>
      </w:r>
    </w:p>
    <w:p>
      <w:pPr>
        <w:spacing w:after="0" w:line="170" w:lineRule="exact"/>
        <w:rPr>
          <w:sz w:val="20"/>
          <w:szCs w:val="20"/>
          <w:color w:val="auto"/>
        </w:rPr>
      </w:pPr>
    </w:p>
    <w:p>
      <w:pPr>
        <w:jc w:val="both"/>
        <w:ind w:left="80" w:right="59" w:hanging="37"/>
        <w:spacing w:after="0" w:line="260" w:lineRule="auto"/>
        <w:rPr>
          <w:sz w:val="20"/>
          <w:szCs w:val="20"/>
          <w:color w:val="auto"/>
        </w:rPr>
      </w:pPr>
      <w:r>
        <w:rPr>
          <w:rFonts w:ascii="Arial" w:cs="Arial" w:eastAsia="Arial" w:hAnsi="Arial"/>
          <w:sz w:val="15"/>
          <w:szCs w:val="15"/>
          <w:color w:val="auto"/>
        </w:rPr>
        <w:t>In compliance with Nasdaq’s Board Diversity Rule, the table below provides information regarding our directors’ diversity information. The information presented below is based on voluntary self-identification responses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received from each director. Each of the categories listed in the table below has the meaning as it is used in Nasdaq Rule 5605(f).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Diversity Matrix (as of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-106680</wp:posOffset>
            </wp:positionV>
            <wp:extent cx="567499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74995" cy="698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57"/>
        </w:trPr>
        <w:tc>
          <w:tcPr>
            <w:tcW w:w="446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5"/>
                <w:szCs w:val="15"/>
                <w:color w:val="auto"/>
              </w:rPr>
              <w:t>Country of Principal Executive Offices</w:t>
            </w:r>
          </w:p>
        </w:tc>
        <w:tc>
          <w:tcPr>
            <w:tcW w:w="11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ind w:left="80"/>
              <w:spacing w:after="0" w:line="157" w:lineRule="exact"/>
              <w:rPr>
                <w:sz w:val="20"/>
                <w:szCs w:val="20"/>
                <w:color w:val="auto"/>
              </w:rPr>
            </w:pPr>
            <w:r>
              <w:rPr>
                <w:rFonts w:ascii="Arial" w:cs="Arial" w:eastAsia="Arial" w:hAnsi="Arial"/>
                <w:sz w:val="15"/>
                <w:szCs w:val="15"/>
                <w:color w:val="auto"/>
              </w:rPr>
              <w:t>Bermuda</w:t>
            </w:r>
          </w:p>
        </w:tc>
        <w:tc>
          <w:tcPr>
            <w:tcW w:w="1840" w:type="dxa"/>
            <w:vAlign w:val="bottom"/>
            <w:tcBorders>
              <w:top w:val="single" w:sz="8" w:color="auto"/>
            </w:tcBorders>
            <w:shd w:val="clear" w:color="auto" w:fill="CCEEFF"/>
          </w:tcPr>
          <w:p>
            <w:pPr>
              <w:spacing w:after="0"/>
              <w:rPr>
                <w:sz w:val="13"/>
                <w:szCs w:val="13"/>
                <w:color w:val="auto"/>
              </w:rPr>
            </w:pPr>
          </w:p>
        </w:tc>
      </w:tr>
      <w:tr>
        <w:trPr>
          <w:trHeight w:val="166"/>
        </w:trPr>
        <w:tc>
          <w:tcPr>
            <w:tcW w:w="4460" w:type="dxa"/>
            <w:vAlign w:val="bottom"/>
          </w:tcPr>
          <w:p>
            <w:pPr>
              <w:ind w:left="20"/>
              <w:spacing w:after="0" w:line="166" w:lineRule="exact"/>
              <w:rPr>
                <w:sz w:val="20"/>
                <w:szCs w:val="20"/>
                <w:color w:val="auto"/>
              </w:rPr>
            </w:pPr>
            <w:r>
              <w:rPr>
                <w:rFonts w:ascii="Arial" w:cs="Arial" w:eastAsia="Arial" w:hAnsi="Arial"/>
                <w:sz w:val="15"/>
                <w:szCs w:val="15"/>
                <w:color w:val="auto"/>
              </w:rPr>
              <w:t>Foreign Private Issuer</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ind w:left="80"/>
              <w:spacing w:after="0" w:line="166" w:lineRule="exact"/>
              <w:rPr>
                <w:sz w:val="20"/>
                <w:szCs w:val="20"/>
                <w:color w:val="auto"/>
              </w:rPr>
            </w:pPr>
            <w:r>
              <w:rPr>
                <w:rFonts w:ascii="Arial" w:cs="Arial" w:eastAsia="Arial" w:hAnsi="Arial"/>
                <w:sz w:val="15"/>
                <w:szCs w:val="15"/>
                <w:color w:val="auto"/>
              </w:rPr>
              <w:t>Yes</w:t>
            </w:r>
          </w:p>
        </w:tc>
        <w:tc>
          <w:tcPr>
            <w:tcW w:w="1840" w:type="dxa"/>
            <w:vAlign w:val="bottom"/>
          </w:tcPr>
          <w:p>
            <w:pPr>
              <w:spacing w:after="0"/>
              <w:rPr>
                <w:sz w:val="14"/>
                <w:szCs w:val="14"/>
                <w:color w:val="auto"/>
              </w:rPr>
            </w:pPr>
          </w:p>
        </w:tc>
      </w:tr>
      <w:tr>
        <w:trPr>
          <w:trHeight w:val="166"/>
        </w:trPr>
        <w:tc>
          <w:tcPr>
            <w:tcW w:w="44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Disclosure Prohibited Under Home Country Law</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ind w:left="80"/>
              <w:spacing w:after="0" w:line="166" w:lineRule="exact"/>
              <w:rPr>
                <w:sz w:val="20"/>
                <w:szCs w:val="20"/>
                <w:color w:val="auto"/>
              </w:rPr>
            </w:pPr>
            <w:r>
              <w:rPr>
                <w:rFonts w:ascii="Arial" w:cs="Arial" w:eastAsia="Arial" w:hAnsi="Arial"/>
                <w:sz w:val="15"/>
                <w:szCs w:val="15"/>
                <w:color w:val="auto"/>
              </w:rPr>
              <w:t>No</w:t>
            </w:r>
          </w:p>
        </w:tc>
        <w:tc>
          <w:tcPr>
            <w:tcW w:w="1840" w:type="dxa"/>
            <w:vAlign w:val="bottom"/>
            <w:shd w:val="clear" w:color="auto" w:fill="CCEEFF"/>
          </w:tcPr>
          <w:p>
            <w:pPr>
              <w:spacing w:after="0"/>
              <w:rPr>
                <w:sz w:val="14"/>
                <w:szCs w:val="14"/>
                <w:color w:val="auto"/>
              </w:rPr>
            </w:pPr>
          </w:p>
        </w:tc>
      </w:tr>
      <w:tr>
        <w:trPr>
          <w:trHeight w:val="166"/>
        </w:trPr>
        <w:tc>
          <w:tcPr>
            <w:tcW w:w="4460" w:type="dxa"/>
            <w:vAlign w:val="bottom"/>
          </w:tcPr>
          <w:p>
            <w:pPr>
              <w:ind w:left="20"/>
              <w:spacing w:after="0" w:line="166" w:lineRule="exact"/>
              <w:rPr>
                <w:sz w:val="20"/>
                <w:szCs w:val="20"/>
                <w:color w:val="auto"/>
              </w:rPr>
            </w:pPr>
            <w:r>
              <w:rPr>
                <w:rFonts w:ascii="Arial" w:cs="Arial" w:eastAsia="Arial" w:hAnsi="Arial"/>
                <w:sz w:val="15"/>
                <w:szCs w:val="15"/>
                <w:color w:val="auto"/>
              </w:rPr>
              <w:t>Total Number of Directors</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ind w:left="80"/>
              <w:spacing w:after="0" w:line="166" w:lineRule="exact"/>
              <w:rPr>
                <w:sz w:val="20"/>
                <w:szCs w:val="20"/>
                <w:color w:val="auto"/>
              </w:rPr>
            </w:pPr>
            <w:r>
              <w:rPr>
                <w:rFonts w:ascii="Arial" w:cs="Arial" w:eastAsia="Arial" w:hAnsi="Arial"/>
                <w:sz w:val="15"/>
                <w:szCs w:val="15"/>
                <w:color w:val="auto"/>
              </w:rPr>
              <w:t>8</w:t>
            </w:r>
          </w:p>
        </w:tc>
        <w:tc>
          <w:tcPr>
            <w:tcW w:w="1840" w:type="dxa"/>
            <w:vAlign w:val="bottom"/>
          </w:tcPr>
          <w:p>
            <w:pPr>
              <w:spacing w:after="0"/>
              <w:rPr>
                <w:sz w:val="14"/>
                <w:szCs w:val="14"/>
                <w:color w:val="auto"/>
              </w:rPr>
            </w:pPr>
          </w:p>
        </w:tc>
      </w:tr>
      <w:tr>
        <w:trPr>
          <w:trHeight w:val="166"/>
        </w:trPr>
        <w:tc>
          <w:tcPr>
            <w:tcW w:w="44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Part I: Gender Identity</w:t>
            </w:r>
          </w:p>
        </w:tc>
        <w:tc>
          <w:tcPr>
            <w:tcW w:w="2640" w:type="dxa"/>
            <w:vAlign w:val="bottom"/>
            <w:gridSpan w:val="3"/>
            <w:shd w:val="clear" w:color="auto" w:fill="CCEEFF"/>
          </w:tcPr>
          <w:p>
            <w:pPr>
              <w:ind w:left="660"/>
              <w:spacing w:after="0" w:line="166" w:lineRule="exact"/>
              <w:rPr>
                <w:sz w:val="20"/>
                <w:szCs w:val="20"/>
                <w:color w:val="auto"/>
              </w:rPr>
            </w:pPr>
            <w:r>
              <w:rPr>
                <w:rFonts w:ascii="Arial" w:cs="Arial" w:eastAsia="Arial" w:hAnsi="Arial"/>
                <w:sz w:val="15"/>
                <w:szCs w:val="15"/>
                <w:b w:val="1"/>
                <w:bCs w:val="1"/>
                <w:color w:val="auto"/>
              </w:rPr>
              <w:t>Female Male  Non-Binary</w:t>
            </w:r>
          </w:p>
        </w:tc>
        <w:tc>
          <w:tcPr>
            <w:tcW w:w="184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b w:val="1"/>
                <w:bCs w:val="1"/>
                <w:color w:val="auto"/>
                <w:w w:val="97"/>
              </w:rPr>
              <w:t>Did Not Disclose Gender</w:t>
            </w:r>
          </w:p>
        </w:tc>
      </w:tr>
      <w:tr>
        <w:trPr>
          <w:trHeight w:val="166"/>
        </w:trPr>
        <w:tc>
          <w:tcPr>
            <w:tcW w:w="4460" w:type="dxa"/>
            <w:vAlign w:val="bottom"/>
          </w:tcPr>
          <w:p>
            <w:pPr>
              <w:ind w:left="20"/>
              <w:spacing w:after="0" w:line="166" w:lineRule="exact"/>
              <w:rPr>
                <w:sz w:val="20"/>
                <w:szCs w:val="20"/>
                <w:color w:val="auto"/>
              </w:rPr>
            </w:pPr>
            <w:r>
              <w:rPr>
                <w:rFonts w:ascii="Arial" w:cs="Arial" w:eastAsia="Arial" w:hAnsi="Arial"/>
                <w:sz w:val="15"/>
                <w:szCs w:val="15"/>
                <w:color w:val="auto"/>
              </w:rPr>
              <w:t>Directors</w:t>
            </w:r>
          </w:p>
        </w:tc>
        <w:tc>
          <w:tcPr>
            <w:tcW w:w="1180" w:type="dxa"/>
            <w:vAlign w:val="bottom"/>
          </w:tcPr>
          <w:p>
            <w:pPr>
              <w:jc w:val="right"/>
              <w:ind w:right="146"/>
              <w:spacing w:after="0" w:line="166" w:lineRule="exact"/>
              <w:rPr>
                <w:sz w:val="20"/>
                <w:szCs w:val="20"/>
                <w:color w:val="auto"/>
              </w:rPr>
            </w:pPr>
            <w:r>
              <w:rPr>
                <w:rFonts w:ascii="Arial" w:cs="Arial" w:eastAsia="Arial" w:hAnsi="Arial"/>
                <w:sz w:val="15"/>
                <w:szCs w:val="15"/>
                <w:color w:val="auto"/>
              </w:rPr>
              <w:t>1</w:t>
            </w:r>
          </w:p>
        </w:tc>
        <w:tc>
          <w:tcPr>
            <w:tcW w:w="380" w:type="dxa"/>
            <w:vAlign w:val="bottom"/>
          </w:tcPr>
          <w:p>
            <w:pPr>
              <w:jc w:val="right"/>
              <w:ind w:right="6"/>
              <w:spacing w:after="0" w:line="166" w:lineRule="exact"/>
              <w:rPr>
                <w:sz w:val="20"/>
                <w:szCs w:val="20"/>
                <w:color w:val="auto"/>
              </w:rPr>
            </w:pPr>
            <w:r>
              <w:rPr>
                <w:rFonts w:ascii="Arial" w:cs="Arial" w:eastAsia="Arial" w:hAnsi="Arial"/>
                <w:sz w:val="15"/>
                <w:szCs w:val="15"/>
                <w:color w:val="auto"/>
              </w:rPr>
              <w:t>4</w:t>
            </w:r>
          </w:p>
        </w:tc>
        <w:tc>
          <w:tcPr>
            <w:tcW w:w="1080" w:type="dxa"/>
            <w:vAlign w:val="bottom"/>
          </w:tcPr>
          <w:p>
            <w:pPr>
              <w:ind w:left="520"/>
              <w:spacing w:after="0" w:line="166" w:lineRule="exact"/>
              <w:rPr>
                <w:sz w:val="20"/>
                <w:szCs w:val="20"/>
                <w:color w:val="auto"/>
              </w:rPr>
            </w:pPr>
            <w:r>
              <w:rPr>
                <w:rFonts w:ascii="Arial" w:cs="Arial" w:eastAsia="Arial" w:hAnsi="Arial"/>
                <w:sz w:val="15"/>
                <w:szCs w:val="15"/>
                <w:color w:val="auto"/>
              </w:rPr>
              <w:t>0</w:t>
            </w:r>
          </w:p>
        </w:tc>
        <w:tc>
          <w:tcPr>
            <w:tcW w:w="1840" w:type="dxa"/>
            <w:vAlign w:val="bottom"/>
          </w:tcPr>
          <w:p>
            <w:pPr>
              <w:jc w:val="right"/>
              <w:ind w:right="806"/>
              <w:spacing w:after="0" w:line="166" w:lineRule="exact"/>
              <w:rPr>
                <w:sz w:val="20"/>
                <w:szCs w:val="20"/>
                <w:color w:val="auto"/>
              </w:rPr>
            </w:pPr>
            <w:r>
              <w:rPr>
                <w:rFonts w:ascii="Arial" w:cs="Arial" w:eastAsia="Arial" w:hAnsi="Arial"/>
                <w:sz w:val="15"/>
                <w:szCs w:val="15"/>
                <w:color w:val="auto"/>
              </w:rPr>
              <w:t>3</w:t>
            </w:r>
          </w:p>
        </w:tc>
      </w:tr>
      <w:tr>
        <w:trPr>
          <w:trHeight w:val="166"/>
        </w:trPr>
        <w:tc>
          <w:tcPr>
            <w:tcW w:w="44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Part II: Demographic Background</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166"/>
        </w:trPr>
        <w:tc>
          <w:tcPr>
            <w:tcW w:w="4460" w:type="dxa"/>
            <w:vAlign w:val="bottom"/>
          </w:tcPr>
          <w:p>
            <w:pPr>
              <w:ind w:left="20"/>
              <w:spacing w:after="0" w:line="166" w:lineRule="exact"/>
              <w:rPr>
                <w:sz w:val="20"/>
                <w:szCs w:val="20"/>
                <w:color w:val="auto"/>
              </w:rPr>
            </w:pPr>
            <w:r>
              <w:rPr>
                <w:rFonts w:ascii="Arial" w:cs="Arial" w:eastAsia="Arial" w:hAnsi="Arial"/>
                <w:sz w:val="15"/>
                <w:szCs w:val="15"/>
                <w:color w:val="auto"/>
              </w:rPr>
              <w:t>Underrepresented Individual in Home Country Jurisdiction</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ind w:left="940"/>
              <w:spacing w:after="0" w:line="166" w:lineRule="exact"/>
              <w:rPr>
                <w:sz w:val="20"/>
                <w:szCs w:val="20"/>
                <w:color w:val="auto"/>
              </w:rPr>
            </w:pPr>
            <w:r>
              <w:rPr>
                <w:rFonts w:ascii="Arial" w:cs="Arial" w:eastAsia="Arial" w:hAnsi="Arial"/>
                <w:sz w:val="15"/>
                <w:szCs w:val="15"/>
                <w:color w:val="auto"/>
              </w:rPr>
              <w:t>1</w:t>
            </w:r>
          </w:p>
        </w:tc>
        <w:tc>
          <w:tcPr>
            <w:tcW w:w="1840" w:type="dxa"/>
            <w:vAlign w:val="bottom"/>
          </w:tcPr>
          <w:p>
            <w:pPr>
              <w:spacing w:after="0"/>
              <w:rPr>
                <w:sz w:val="14"/>
                <w:szCs w:val="14"/>
                <w:color w:val="auto"/>
              </w:rPr>
            </w:pPr>
          </w:p>
        </w:tc>
      </w:tr>
      <w:tr>
        <w:trPr>
          <w:trHeight w:val="166"/>
        </w:trPr>
        <w:tc>
          <w:tcPr>
            <w:tcW w:w="44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LGBTQ+</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ind w:left="940"/>
              <w:spacing w:after="0" w:line="166" w:lineRule="exact"/>
              <w:rPr>
                <w:sz w:val="20"/>
                <w:szCs w:val="20"/>
                <w:color w:val="auto"/>
              </w:rPr>
            </w:pPr>
            <w:r>
              <w:rPr>
                <w:rFonts w:ascii="Arial" w:cs="Arial" w:eastAsia="Arial" w:hAnsi="Arial"/>
                <w:sz w:val="15"/>
                <w:szCs w:val="15"/>
                <w:color w:val="auto"/>
              </w:rPr>
              <w:t>0</w:t>
            </w:r>
          </w:p>
        </w:tc>
        <w:tc>
          <w:tcPr>
            <w:tcW w:w="1840" w:type="dxa"/>
            <w:vAlign w:val="bottom"/>
            <w:shd w:val="clear" w:color="auto" w:fill="CCEEFF"/>
          </w:tcPr>
          <w:p>
            <w:pPr>
              <w:spacing w:after="0"/>
              <w:rPr>
                <w:sz w:val="14"/>
                <w:szCs w:val="14"/>
                <w:color w:val="auto"/>
              </w:rPr>
            </w:pPr>
          </w:p>
        </w:tc>
      </w:tr>
      <w:tr>
        <w:trPr>
          <w:trHeight w:val="166"/>
        </w:trPr>
        <w:tc>
          <w:tcPr>
            <w:tcW w:w="446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Did Not Disclose Demographic Background</w:t>
            </w:r>
          </w:p>
        </w:tc>
        <w:tc>
          <w:tcPr>
            <w:tcW w:w="1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40"/>
              <w:spacing w:after="0" w:line="166" w:lineRule="exact"/>
              <w:rPr>
                <w:sz w:val="20"/>
                <w:szCs w:val="20"/>
                <w:color w:val="auto"/>
              </w:rPr>
            </w:pPr>
            <w:r>
              <w:rPr>
                <w:rFonts w:ascii="Arial" w:cs="Arial" w:eastAsia="Arial" w:hAnsi="Arial"/>
                <w:sz w:val="15"/>
                <w:szCs w:val="15"/>
                <w:color w:val="auto"/>
              </w:rPr>
              <w:t>3</w:t>
            </w:r>
          </w:p>
        </w:tc>
        <w:tc>
          <w:tcPr>
            <w:tcW w:w="1840" w:type="dxa"/>
            <w:vAlign w:val="bottom"/>
            <w:tcBorders>
              <w:bottom w:val="single" w:sz="8" w:color="auto"/>
            </w:tcBorders>
          </w:tcPr>
          <w:p>
            <w:pPr>
              <w:spacing w:after="0"/>
              <w:rPr>
                <w:sz w:val="14"/>
                <w:szCs w:val="14"/>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  Compensation</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Our directors and executive officers earned an aggregate amount of approximately $5.9 million for services provided in fiscal year 2022, including approximately $3.1 million of salary, $1.8 million of commissions and bonuses, $0.8 million of share-based payments, and $0.2 million of pension, retirement and similar benefit plans.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equity ownership of our executive officers and directors is described below under the heading “Item 7A. Major Shareholders.”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In addition, our board of directors adopted an equity benefit plan, as amended from time to time, as described under “IBEX Limited 2020 Long Term Incentive Plan” pursuant to which a total of 1,987,326.13 common shares are authorized for issuance (as further described below). In fiscal year 2022, we granted certain executive officers a total of 568,344 restricted stock units. We have also granted other non-executive employees a total of 178,800 options at exercise prices between $13.25 and $20.11 and 72,500 restricted stock awards. For more information on share based compensation plans see footnote 19.</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Restricted Share Plan</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On December 21, 2018, our board of directors and shareholders approved and adopted the 2018 Restricted Share Plan (the “2018 RSA Plan”). As of June 30, 2022, awards covering an aggregate of 1,841,660 common shares had been made, of which 1,789,315 common shares have vested.</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following description of the 2018 RSA Plan is qualified in its entirety by the full text of the 2018 RSA Plan, which has been previously filed with the SEC as an exhibit.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Purpose</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2018 RSA Plan enabled us to attract and retain the best available personnel for positions of substantial responsibility, to provide additional incentive to our employees, consultants and directors, and to promote the success of our business.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Types of Awards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2018 RSA Plan provides for awards of Class B common shares. Upon the consummation of our initial public offering, all Class B common shares automatically converted into common shares.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Eligibility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Selected employees, consultants or directors of our company or our affiliates were eligible to receive non-statutory restricted stock awards under the 2018 RSA Plan, but only employees of our company were eligible to receive incentive stock awards.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Administration</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The 2018 RSA Plan is administered by our board of directors, a committee (or subcommittee) appointed by our board of directors, or any combination, as determined by our board of directors. Subject to the provisions of the 2018 RSA Plan and, in the case of a committee (or subcommittee), the specific duties delegated by our board of directors to such committee (or subcommittee), the administrator has the authority to, among other things, determine the per share fair market value of our common shares, select the individuals to whom awards may be granted; determine the number of shares covered by each award, approve the form(s) of agreement(s) and other related documents used under the 2018 RSA Plan, determine the terms and conditions of awards, amend outstanding awards, establish the terms of and implement an option exchange program, and construe and interpret the terms of the 2018 RSA Plan and any agreements related to awards granted under the 2018 RSA Plan. Our board of directors may also delegate authority to one of more of our officers to make awards under the 2018 RSA Plan.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Available Shares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Subject to adjustment, a maximum of 2,559,323 common shares could be awarded under the 2018 RSA Plan (after giving effect to the automatic conversion of the Class B common shares into common shares upon our initial public offering). Shares issued under the Plan may consist in whole or in part of authorized but unissued shares or treasury shares.</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This limit may be adjusted to reflect certain changes in our capitalization, such as share splits, reverse share splits, share dividends, recapitalizations, rights offerings, reorganizations, mergers, consolidations, spin-offs, split-ups and similar transactions.</w:t>
      </w:r>
    </w:p>
    <w:p>
      <w:pPr>
        <w:spacing w:after="0" w:line="135"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If any award of Class B common shares under the 2018 RSA Plan (“Restricted Shares”) expires or is forfeited in whole or in part, the unused Class B Common Shares covered by such Restricted Share award shall again be available for the grant under the 2020 LTIP. Additionally, any Class B Common Shares delivered to the Company by a Participant to either used to purchase additional Restricted Shares or to satisfy the applicable tax withholding obligations with respect to Restricted Shares (including shares retained from the Restricted Share award creating the tax obligation) shall be added back to the number of shares available for the future grant under the 2020 LTIP.</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Restricted Shares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board of directors may grant awards entitling recipients to acquire Restricted Shares, subject to the right of the Company to repurchase all or part of such Restricted Shares at their issue price or other stated or formula price (or to require forfeiture of such shares if issued at no cost) from the recipient in the event that conditions specified by the board of directors in the applicable Restricted Share award are not satisfied prior to the end of the applicable restriction period or periods established by the Board for such Restricted Share award.</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board of directors shall determine the terms and conditions of a Restricted Share award, including the conditions for vesting and repurchase (or forfeiture) and the issue price, if any.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Stockholder Rights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board of directors may, at any time, amend or terminate the 2018 RSA Plan but no amendment or termination may be made that would materially and adversely affect the rights of any participant under any outstanding award, without his or her consent.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Transferability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Subject to certain limited exceptions, awards of Restricted Shares under the 2018 RSA Plan may not be sold, pledged, assigned, hypothecated, transferred or disposed of in any manner other than by will or by the laws of descent or distribution.</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Effective Date; Term</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2018 RSA Plan became effective on December 21, 2018 and expires on December 31, 2028 unless terminated earlier by the board of directors. As of May 20, 2020, the 2020 LTIP was approved and no further awards will be made under the 2018 RSA Plan.</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Phantom Stock Options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Phantom Stock Plans</w:t>
      </w:r>
    </w:p>
    <w:p>
      <w:pPr>
        <w:spacing w:after="0" w:line="16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In February 2018, IBEX Global ROHQ, IBEX Global Solutions (Philippines) Inc., and in March 2018, IBEX Global Jamaica Limited, each adopted a phantom stock plan (“Phantom Stock Plan”), which provide for grants of “phantom stock options” to certain of their executive officers and employees. Each phantom stock option provides the participant with a contractual right to receive an amount equal to the difference between the fair market value of a vested common share of IBEX Limited at the time of exercise and the exercise price of the option per share.</w:t>
      </w:r>
    </w:p>
    <w:p>
      <w:pPr>
        <w:spacing w:after="0" w:line="151"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On February 1, 2021, we terminated the Phantom Stock Plan for IBEX Global ROHQ. All IBEX Global ROHQ plan participants and phantom stock options were transferred to the IBEX Global Solutions (Philippines) Inc. Phantom Stock Plan. The IBEX Global Solutions (Philippines) Inc. and IBEX Global Jamaica Limited Phantom Stock Plans were amended and restated as of February 16, 2021. The maximum number of phantom stock options available for issuance under the IBEX Global Solutions (Philippines) Inc. and IBEX Global Jamaica Limited plans are 400,000 and 200,000 respectively. These Phantom Stock Plans shall continue until the earlier of June 30, 2025 or termination by the Ibex Limited board of Directors pursuant to the terms of the plan. As of June 30, 2022, an aggregate amount of 124,353 phantom stock options are exercisable and an aggregate amount of 187,673 phantom stock options are outstanding under those plans.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 2020 Long Term Incentive Plan</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On May 20, 2020 (“Effective Date”), our board of directors and shareholders approved and adopted the 2020 LTIP. Effective as of January 14, 2022, the LTIP was amended and restated to provide for an increase of an additional 700,000 shares available under the LTIP. As of June 30, 2022, awards covering an aggregate of 1,462,393 common shares in the form of shares or share options had been made, of which 578,127 are exercisable.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following description of the 2020 LTIP, as amended, is qualified in its entirety by the full text of the Ibex Limited Amended 2020 Long-Term Incentive Plan, as filed with the SEC on March 2, 2022, as an exhibit to Form S-8.</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Purpose</w:t>
      </w:r>
    </w:p>
    <w:p>
      <w:pPr>
        <w:spacing w:after="0" w:line="170"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We believe that the 2020 LTIP will enable us to attract and retain the best available personnel for positions of substantial responsibility, to provide additional incentive to our employees, consultants and directors, and to promote the success of our business.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2020 Long Term Incentive Plan is designed to:</w:t>
      </w:r>
    </w:p>
    <w:p>
      <w:pPr>
        <w:spacing w:after="0" w:line="170" w:lineRule="exact"/>
        <w:rPr>
          <w:sz w:val="20"/>
          <w:szCs w:val="20"/>
          <w:color w:val="auto"/>
        </w:rPr>
      </w:pPr>
    </w:p>
    <w:p>
      <w:pPr>
        <w:ind w:left="480" w:right="39" w:hanging="213"/>
        <w:spacing w:after="0"/>
        <w:tabs>
          <w:tab w:leader="none" w:pos="4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5"/>
          <w:szCs w:val="15"/>
          <w:color w:val="auto"/>
        </w:rPr>
        <w:t>promote the long-term financial interests and growth of our Company and its subsidiaries by attracting and retaining directors and employees, which include management as well as other personnel;</w:t>
      </w:r>
    </w:p>
    <w:p>
      <w:pPr>
        <w:ind w:left="480" w:hanging="213"/>
        <w:spacing w:after="0"/>
        <w:tabs>
          <w:tab w:leader="none" w:pos="4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5"/>
          <w:szCs w:val="15"/>
          <w:color w:val="auto"/>
        </w:rPr>
        <w:t>motivate management by means of growth-related incentives to achieve long-range goals; and</w:t>
      </w:r>
    </w:p>
    <w:p>
      <w:pPr>
        <w:spacing w:after="0" w:line="3" w:lineRule="exact"/>
        <w:rPr>
          <w:rFonts w:ascii="Times New Roman" w:cs="Times New Roman" w:eastAsia="Times New Roman" w:hAnsi="Times New Roman"/>
          <w:sz w:val="15"/>
          <w:szCs w:val="15"/>
          <w:color w:val="auto"/>
        </w:rPr>
      </w:pPr>
    </w:p>
    <w:p>
      <w:pPr>
        <w:ind w:left="480" w:right="59" w:hanging="213"/>
        <w:spacing w:after="0" w:line="239" w:lineRule="auto"/>
        <w:tabs>
          <w:tab w:leader="none" w:pos="48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5"/>
          <w:szCs w:val="15"/>
          <w:color w:val="auto"/>
        </w:rPr>
        <w:t>further the alignment of the interests of participants and those of our shareholders, through opportunities for increased stock or share-based ownership in our Company.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Types of Awards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2020 LTIP provides for awards of Class B common shares. Upon the consummation of our initial public offering, all Class B common shares automatically converted into common shares.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Eligibility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All of our officers, non-employee directors, employees and consultants are eligible to participate in the 2020 Long Term Incentive Plan.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Participation by Non-Employee Directors</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Although our non-employee directors, including our independent directors, are not involved in the day-to-day running of our operations, they play an invaluable role in furthering our business interests by contributing their experience and expertise. In particular, a number of our independent directors have substantial experience and expertise in financial and technology sectors and play an important role in helping us shape our business strategy. It is crucial for us to be able to attract, retain and incentivize such individuals.</w:t>
      </w:r>
    </w:p>
    <w:p>
      <w:pPr>
        <w:spacing w:after="0" w:line="15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It may not always be possible to quantify the services and contributions of our non-employee directors to our Company, and accordingly, it may not always be possible to compensate them fully or appropriately by increasing their directors’ fees or other cash payments. To that end, participation by non-employee directors in the 2020 Long Term Incentive Plan will provide our Company with a further avenue with which to acknowledge and reward their services and contributions to our Company. In addition, we believe that opportunities for increased shares or share-based ownership in our Company will further the alignment of the interests of our non-employee directors with the interests of our shareholders.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Administration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2020 Long Term Incentive Plan will be administered by the “Administrator,” as defined below.</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For the purposes of the 2020 Long Term Incentive Plan, “Administrator” means our Compensation Committee, or such other committee(s) of director(s) duly appointed by our Board or our Compensation Committee to administer the 2020 Long Term Incentive Plan or delegated limited authority to perform administrative actions under the 2020 Long Term Incentive Plan, and having such powers as shall be specified by our Board or our Compensation Committee, provided, however, that at any time our Board may serve as the Administrator in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lieu of or in addition to our Compensation Committee or such other committee(s) of director(s) to whom administrative authority has been delegated. As of May 20, 2020, the Administrator is the Compensation Committee.</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Administrator has the authority, in its sole and absolute discretion, to grant Awards under the 2020 Long Term Incentive Plan to eligible individuals, and to take all other actions necessary or desirable to carry out the purpose and intent of the 2020 Long Term Incentive Plan. Further, the Administrator has the authority, in its sole and absolute discretion, subject to the terms and conditions of the 2020 Long Term Incentive Plan, to, among other things:</w:t>
      </w:r>
    </w:p>
    <w:p>
      <w:pPr>
        <w:spacing w:after="0" w:line="151" w:lineRule="exact"/>
        <w:rPr>
          <w:sz w:val="20"/>
          <w:szCs w:val="20"/>
          <w:color w:val="auto"/>
        </w:rPr>
      </w:pPr>
    </w:p>
    <w:p>
      <w:pPr>
        <w:ind w:left="480" w:hanging="213"/>
        <w:spacing w:after="0"/>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determine the eligible individuals to whom, and the time or times at which, Awards shall be granted;</w:t>
      </w:r>
    </w:p>
    <w:p>
      <w:pPr>
        <w:spacing w:after="0" w:line="170" w:lineRule="exact"/>
        <w:rPr>
          <w:rFonts w:ascii="Arial" w:cs="Arial" w:eastAsia="Arial" w:hAnsi="Arial"/>
          <w:sz w:val="15"/>
          <w:szCs w:val="15"/>
          <w:color w:val="auto"/>
        </w:rPr>
      </w:pPr>
    </w:p>
    <w:p>
      <w:pPr>
        <w:ind w:left="480" w:hanging="213"/>
        <w:spacing w:after="0"/>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determine the type of Awards to be granted to any eligible individual;</w:t>
      </w:r>
    </w:p>
    <w:p>
      <w:pPr>
        <w:spacing w:after="0" w:line="170" w:lineRule="exact"/>
        <w:rPr>
          <w:rFonts w:ascii="Arial" w:cs="Arial" w:eastAsia="Arial" w:hAnsi="Arial"/>
          <w:sz w:val="15"/>
          <w:szCs w:val="15"/>
          <w:color w:val="auto"/>
        </w:rPr>
      </w:pPr>
    </w:p>
    <w:p>
      <w:pPr>
        <w:ind w:left="480" w:right="59" w:hanging="213"/>
        <w:spacing w:after="0" w:line="260" w:lineRule="auto"/>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determine the number of shares to be covered by or used for reference purposes for each Award or the value to be transferred pursuant to any Award; and</w:t>
      </w:r>
    </w:p>
    <w:p>
      <w:pPr>
        <w:spacing w:after="0" w:line="135" w:lineRule="exact"/>
        <w:rPr>
          <w:rFonts w:ascii="Arial" w:cs="Arial" w:eastAsia="Arial" w:hAnsi="Arial"/>
          <w:sz w:val="15"/>
          <w:szCs w:val="15"/>
          <w:color w:val="auto"/>
        </w:rPr>
      </w:pPr>
    </w:p>
    <w:p>
      <w:pPr>
        <w:jc w:val="both"/>
        <w:ind w:left="480" w:right="59" w:hanging="213"/>
        <w:spacing w:after="0"/>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determine the terms, conditions and restrictions applicable to each Award and any shares acquired pursuant thereto, including, without limitation, (i) the purchase price of any shares, (ii) the method of payment for shares purchased pursuant to any Award,</w:t>
      </w:r>
    </w:p>
    <w:p>
      <w:pPr>
        <w:jc w:val="both"/>
        <w:ind w:left="480" w:right="39" w:hanging="3"/>
        <w:spacing w:after="0" w:line="233" w:lineRule="auto"/>
        <w:tabs>
          <w:tab w:leader="none" w:pos="728" w:val="left"/>
        </w:tabs>
        <w:numPr>
          <w:ilvl w:val="1"/>
          <w:numId w:val="42"/>
        </w:numPr>
        <w:rPr>
          <w:rFonts w:ascii="Arial" w:cs="Arial" w:eastAsia="Arial" w:hAnsi="Arial"/>
          <w:sz w:val="15"/>
          <w:szCs w:val="15"/>
          <w:color w:val="auto"/>
        </w:rPr>
      </w:pPr>
      <w:r>
        <w:rPr>
          <w:rFonts w:ascii="Arial" w:cs="Arial" w:eastAsia="Arial" w:hAnsi="Arial"/>
          <w:sz w:val="15"/>
          <w:szCs w:val="15"/>
          <w:color w:val="auto"/>
        </w:rPr>
        <w:t>the method for satisfying any tax withholding obligation arising in connection with any Award, including by the withholding or delivery of shares, (iv) the timing, terms and conditions of the exercisability, vesting or payout of any Award or any shares acquired pursuant thereto, (v) the performance goals applicable to any Award and the extent to which such performance goals have been attained, (vi) the time of the expiration of an Award, (vii) any such modification, amendment or substitution that results in repricing of the Award which may be made without prior stockholder approval, (viii) the effect of a participant’s Termination of Service, as defined in the 2020 Long Term Incentive Plan, on any of the foregoing and (ix) all other terms, conditions and restrictions applicable to any Award or shares acquired pursuant thereto as the Administrator considers to be appropriate and not inconsistent with the terms of the 2020 Long Term Incentive Plan.</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Available Shares</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Subject to adjustment, a maximum 1,987,326 common shares may be awarded under the 2020 LTIP. Shares issued under the Plan may consist in whole or in part of authorized but unissued shares or treasury shares.</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This limit may be adjusted to reflect certain changes in our capitalization, such as share splits, reverse share splits, share dividends, recapitalizations, rights offerings, reorganizations, mergers, consolidations, spin-offs, split-ups and similar transactions.</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Subject to adjustment as provided in the provision of the 2020 Long Term Incentive Plan pertaining to the occurrence of certain corporate transactions, the maximum number of shares that may be issued pursuant to share options granted under the 2020 Long Term Incentive Plan that are intended to qualify as “incentive stock options” as that term is defined in Section 422 of the Internal Revenue Code (the “Code”) is 3,500,000.</w:t>
      </w:r>
    </w:p>
    <w:p>
      <w:pPr>
        <w:spacing w:after="0" w:line="151"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If any award of Class B common shares under the 2020 LTIP (“Restricted Shares”) or 2018 RSA Plan expires or is forfeited in whole or in part, the unused Class B Common Shares covered by such awards shall again be available for the grant under the 2020 LTIP. Additionally, any Class B Common Shares delivered to the Company by a Participant to purchase additional Restricted Shares or to satisfy the applicable tax withholding obligations with respect to any Awards (including shares retained from the Award creating the tax obligation) shall be added back to the number of shares available for the future grant of Awards under the 2020 LTIP.</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Maximum Entitlements Under the 2020 Long Term Incentive Plan</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The Administrator may establish compensation for directors who are not employees of our Company or any of our Affiliates, as defined in the 2020 Long Term Incentive Plan, or the Non-Employee Directors, from time to time, provided that the sum of any cash compensation and the grant date fair value of Awards granted under the 2020 Long Term Incentive Plan to a non-employee director as compensation for services as a non-employee director during any calendar year may not exceed $250,000 for an annual grant, provided however that in a non-employee’s director first year of service, compensation for services may not exceed $ 500,000.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Awards</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IBEX and the Participant receiving the Award (including by electronic delivery and/or electronic signature). Participants are not required to pay for the application or acceptance of Awards.</w:t>
      </w:r>
    </w:p>
    <w:p>
      <w:pPr>
        <w:spacing w:after="0" w:line="150"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i w:val="1"/>
          <w:iCs w:val="1"/>
          <w:color w:val="auto"/>
        </w:rPr>
        <w:t xml:space="preserve">Share Options. </w:t>
      </w:r>
      <w:r>
        <w:rPr>
          <w:rFonts w:ascii="Arial" w:cs="Arial" w:eastAsia="Arial" w:hAnsi="Arial"/>
          <w:sz w:val="15"/>
          <w:szCs w:val="15"/>
          <w:color w:val="auto"/>
        </w:rPr>
        <w:t>The board may grant awards entitling recipients to acquire share options (“Share Options”). A Share Option means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right to purchase a specified number of Common Shares from IBEX at a specified price during a specified period of time. The exercise price per share subject to a Share Option granted under the 2020 Long Term Incentive Plan shall not be less than the fair market value of one share on the date of grant of the Share Option, except as provided under applicable law or with respect to Share Options that are granted in substitution of similar types of awards of a company acquired by our Company or with which our Company combines (whether in connection with a corporate transaction, such as a merger, combination, consolidation or acquisition of property or stock, or otherwise) to preserve the intrinsic value of such awards. The Administrator may from time to time grant to eligible individuals Awards of Incentive Share Options or Nonqualified Options;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Awards of Incentive Share Options shall be limited to employees of IBEX or of any current or hereafter existing “parent corporation” or “subsidiary corporation,” as defined in Sections 424(e) and 424(f) of the Code, respectively, of IBEX, and any other eligible individuals who are eligible to receive Incentive Share Options under the provisions of Section 422 of the Code. No Share Option shall be an Incentive Share Option unless so designated by the Administrator at the time of grant or in the applicable Award Agreement. Share Options shall be exercisable at such time or times and subject to such terms and conditions as shall be determined by the Administrator;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Awards of Share Options may not have a term in excess of ten years’ duration unless required otherwise by applicable law. Except as provided in the applicable award agreement or otherwise determined by the Administrator, to the extent Share Options are not vested and exercisable, a participant’s Share Options shall be forfeited upon his Termination of Service.</w:t>
      </w:r>
    </w:p>
    <w:p>
      <w:pPr>
        <w:spacing w:after="0" w:line="152"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i w:val="1"/>
          <w:iCs w:val="1"/>
          <w:color w:val="auto"/>
        </w:rPr>
        <w:t xml:space="preserve">Share Appreciation Rights. </w:t>
      </w:r>
      <w:r>
        <w:rPr>
          <w:rFonts w:ascii="Arial" w:cs="Arial" w:eastAsia="Arial" w:hAnsi="Arial"/>
          <w:sz w:val="15"/>
          <w:szCs w:val="15"/>
          <w:color w:val="auto"/>
        </w:rPr>
        <w:t>The board may also grant awards of share appreciation rights. A share appreciation right entitles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to receive, subject to the provisions of the Plan and the applicable Award Agreement, a payment having an aggregate value equal to the product of (i) the excess of (A) the fair market value on the exercise date of one share of Common Share over (B) the base price per share specified in the applicable Award Agreement, times (ii) the number of shares specified by the share appreciation right, or portion thereof, which is exercised. The base price per share specified in the applicable Award Agreement shall not be less than the lower of the fair market value on the date of grant or the exercise price of any tandem share option to which the share appreciation right is related, or with respect to share appreciation rights that are granted in substitution of similar types of awards of a company acquired by the Company or a Subsidiary or with which the Company or a Subsidiary combines (whether in connection with a corporate transaction, such</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a merger, combination, consolidation or acquisition of property or share, or otherwise) such base price as is necessary to preserve the intrinsic value of such awards.</w:t>
      </w:r>
    </w:p>
    <w:p>
      <w:pPr>
        <w:spacing w:after="0" w:line="135"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Share appreciation rights shall be exercisable at such time or times and subject to such terms and conditions as shall be determined by the Administrator; provided, however, that share appreciation rights granted under the 2020 Long Term Incentive Plan may not have a term in excess of ten years unless otherwise required by applicable law.</w:t>
      </w:r>
    </w:p>
    <w:p>
      <w:pPr>
        <w:spacing w:after="0" w:line="146"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Except as provided in the applicable award agreement or otherwise determined by the Administrator, to the extent share appreciation rights are not vested and exercisable, a participant’s share appreciation rights shall be forfeited upon his Termination of Service.</w:t>
      </w:r>
    </w:p>
    <w:p>
      <w:pPr>
        <w:spacing w:after="0" w:line="135"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i w:val="1"/>
          <w:iCs w:val="1"/>
          <w:color w:val="auto"/>
        </w:rPr>
        <w:t xml:space="preserve">Share Awards. </w:t>
      </w:r>
      <w:r>
        <w:rPr>
          <w:rFonts w:ascii="Arial" w:cs="Arial" w:eastAsia="Arial" w:hAnsi="Arial"/>
          <w:sz w:val="15"/>
          <w:szCs w:val="15"/>
          <w:color w:val="auto"/>
        </w:rPr>
        <w:t>The Administrator may from time to time grant to Eligible Individuals Awards of unrestricted Common Share or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Share (collectively, “</w:t>
      </w:r>
      <w:r>
        <w:rPr>
          <w:rFonts w:ascii="Arial" w:cs="Arial" w:eastAsia="Arial" w:hAnsi="Arial"/>
          <w:sz w:val="15"/>
          <w:szCs w:val="15"/>
          <w:i w:val="1"/>
          <w:iCs w:val="1"/>
          <w:color w:val="auto"/>
        </w:rPr>
        <w:t>Share Awards</w:t>
      </w:r>
      <w:r>
        <w:rPr>
          <w:rFonts w:ascii="Arial" w:cs="Arial" w:eastAsia="Arial" w:hAnsi="Arial"/>
          <w:sz w:val="15"/>
          <w:szCs w:val="15"/>
          <w:color w:val="auto"/>
        </w:rPr>
        <w:t>”) on such terms and conditions, such as performance based on certain performance criteria, and for such consideration, including no consideration or such minimum consideration as the Administrator shall determine, subject to the limitations set forth in the 2020 LTIP. Share Awards shall be evidenced in such manner as the Administrator may deem appropriate, including via book-entry registration.</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board shall determine the terms and conditions of a Share Award, including the conditions for vesting and repurchase (or forfeiture) and the issue price, if any.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Share Units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Administrator may, from time to time, grant to eligible individuals Awards of unrestricted share units or Restricted Share Units. For the purposes of the 2020 Long Term Incentive Plan, “Restricted Share Unit” means a right granted to a participant to receive shares or cash at the end of a specified deferral period, which right may be conditioned on the satisfaction of certain requirements, including the satisfaction of certain performance goals.</w:t>
      </w:r>
    </w:p>
    <w:p>
      <w:pPr>
        <w:spacing w:after="0" w:line="151"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Restricted Share Units shall be subject to such vesting, risk of forfeiture and/or payment provisions as the Administrator may impose at the date of grant. The Restriction Period to which such vesting and/or risk of forfeiture applies may lapse under such circumstances, including without limitation upon the attainment of performance goals, in such installments, or otherwise, as the Administrator may determine.</w:t>
      </w:r>
    </w:p>
    <w:p>
      <w:pPr>
        <w:spacing w:after="0" w:line="15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Until shares are issued to the participant in settlement of share units, the participant shall not have any rights of a shareholder with respect to the share units or the shares issuable thereunder. The Administrator may grant the participant the right to dividend equivalents on share units, on a current, reinvested and/or restricted basis, subject to such terms as the Administrator may determine; provided, however, that dividend equivalents declared payable on share units granted as a Performance Award shall rather than be paid on a current basis, be accrued and made subject to forfeiture at least until achievement of the applicable performance goal relating to such share units.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Performance Shares and Performance Units</w:t>
      </w:r>
    </w:p>
    <w:p>
      <w:pPr>
        <w:spacing w:after="0" w:line="17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An award of Performance Shares, as that term is used in the 2020 LTIP, refers to shares of our common stock or stock units that are expressed in terms of our common stock, the issuance, vesting, lapse of restrictions or payment of which is contingent on performance as measured against predetermined objectives over a specified performance period. An award of Performance Units, as that term is used in the 2020 LTIP, refers to dollar-denominated units valued by reference to designated criteria established by the administrator, other than our common stock, whose issuance, vesting, lapse of restrictions or payment is contingent on performance as measured against predetermined objectives over a specified performance period. The applicable award agreement will specify whether Performance Shares and Performance Units will be settled or paid in cash or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shares of our common stock or a combination of both, or will reserve to the administrator or the participant the right to make that determination prior to or at the payment or settlement date.</w:t>
      </w:r>
    </w:p>
    <w:p>
      <w:pPr>
        <w:spacing w:after="0" w:line="135" w:lineRule="exact"/>
        <w:rPr>
          <w:sz w:val="20"/>
          <w:szCs w:val="20"/>
          <w:color w:val="auto"/>
        </w:rPr>
      </w:pPr>
    </w:p>
    <w:p>
      <w:pPr>
        <w:jc w:val="both"/>
        <w:ind w:left="40" w:right="39"/>
        <w:spacing w:after="0" w:line="253" w:lineRule="auto"/>
        <w:rPr>
          <w:sz w:val="20"/>
          <w:szCs w:val="20"/>
          <w:color w:val="auto"/>
        </w:rPr>
      </w:pPr>
      <w:r>
        <w:rPr>
          <w:rFonts w:ascii="Arial" w:cs="Arial" w:eastAsia="Arial" w:hAnsi="Arial"/>
          <w:sz w:val="14"/>
          <w:szCs w:val="14"/>
          <w:color w:val="auto"/>
        </w:rPr>
        <w:t>The Administrator will, prior to or at the time of grant, condition the grant, vesting or payment of, or lapse of restrictions on, an award of Performance Shares or Performance Units upon (A) the attainment of 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will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An award of Performance Shares or Performance Units will be settled as and when the award vests or at a later time specified in the award agreement or in accordance with an election of the participant, if the Administrator so permits, that meets the requirements of Section 409A or Section 457A of the Code.</w:t>
      </w:r>
    </w:p>
    <w:p>
      <w:pPr>
        <w:spacing w:after="0" w:line="143"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Performance goals applicable to performance-based awards may be awarded based on performance metrics to be attained within a predetermined performance period as they may apply to an individual, one or more business units, divisions, or affiliates, or on a company-wide basis, and in absolute terms, relative to a base period, or relative to the performance of one or more comparable companies, peer groups, or an index covering multiple companies.</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Administrator may, in its discretion, adjust the performance goals applicable to any awards to reflect any unusual or non-recurring events and other extraordinary items, impact of charges for restructurings, discontinued operations and the cumulative effects of accounting or tax changes.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Other Share-Based Awards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Administrator may, from time to time, grant to eligible individuals Awards in the form of Other Share-Based Awards. For the purposes of the 2020 Long Term Incentive Plan, “Other Share-Based Award” means an Award of shares or any other Award that is valued in whole or in part by reference to, or that is otherwise based upon, shares, including without limitation dividend equivalents and convertible debentures.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Adjustment Events</w:t>
      </w:r>
    </w:p>
    <w:p>
      <w:pPr>
        <w:spacing w:after="0" w:line="170" w:lineRule="exact"/>
        <w:rPr>
          <w:sz w:val="20"/>
          <w:szCs w:val="20"/>
          <w:color w:val="auto"/>
        </w:rPr>
      </w:pPr>
    </w:p>
    <w:p>
      <w:pPr>
        <w:jc w:val="both"/>
        <w:ind w:left="40" w:right="39"/>
        <w:spacing w:after="0" w:line="249" w:lineRule="auto"/>
        <w:rPr>
          <w:sz w:val="20"/>
          <w:szCs w:val="20"/>
          <w:color w:val="auto"/>
        </w:rPr>
      </w:pPr>
      <w:r>
        <w:rPr>
          <w:rFonts w:ascii="Arial" w:cs="Arial" w:eastAsia="Arial" w:hAnsi="Arial"/>
          <w:sz w:val="14"/>
          <w:szCs w:val="14"/>
          <w:color w:val="auto"/>
        </w:rPr>
        <w:t>In the event of a merger, amalgamation, consolidation, rights offering, statutory share exchange or similar event affecting our Company (each, a “Corporate Event”), or a share dividend, share split, reverse share split, separation, spinoff, reorganization, extraordinary dividend of cash or other property, share combination or subdivision or recapitalization or similar event affecting the capital structure of our Company (each, a “Share Change”), that occurs at any time after the Effective Date (including any such Corporate Event or Share Change that occurs after such adoption and coincident with or prior to the Effective Date), the Administrator shall make equitable and appropriate substitutions or proportionate adjustments to (a) the aggregate number and kind of shares or other securities on which Awards under the 2020 Long Term Incentive Plan may be granted to eligible individuals, (b) the maximum number of shares or other securities with respect to which Awards may be granted during any one calendar year to any individual, (c) the maximum number of shares or other securities that may be issued with respect to incentive stock options granted under the 2020 Long Term Incentive Plan,</w:t>
      </w:r>
    </w:p>
    <w:p>
      <w:pPr>
        <w:spacing w:after="0" w:line="4" w:lineRule="exact"/>
        <w:rPr>
          <w:sz w:val="20"/>
          <w:szCs w:val="20"/>
          <w:color w:val="auto"/>
        </w:rPr>
      </w:pPr>
    </w:p>
    <w:p>
      <w:pPr>
        <w:jc w:val="both"/>
        <w:ind w:left="40" w:right="39" w:hanging="5"/>
        <w:spacing w:after="0" w:line="233" w:lineRule="auto"/>
        <w:tabs>
          <w:tab w:leader="none" w:pos="275"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number of shares or other securities covered by each outstanding Award and the exercise price, base price or other price per share, if any, and other relevant terms of each outstanding Award and (e) all other numerical limitations relating to Awards, whether contained in the 2020 Long Term Incentive Plan or in award agreements; provided, however, that any fractional shares resulting from any such adjustment shall be eliminated and that no such adjustment shall be made if as a result, the participant receives a benefit that a shareholder does not receive and any adjustment (except in relation to a capitalization issue) must be confirmed in writing by the auditors of our Company (acting as experts and not as arbitrators) to be, in their opinion, fair and reasonable.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 the case of Corporate Events, the Administrator may make such other adjustments to outstanding Awards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as it determines to be appropriate and desirable, which adjustments may include, without limitation, (a)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shareholders receive consideration other than publicly traded equity securities of the ultimate surviving entity, any such determination by the Administrator that the value of a share option or share appreciation right shall for this purpose be deemed to equal the excess, if any, of the value of the consideration being paid for each share pursuant to such Corporate Event over the exercise price or base price of such share option or share appreciation right shall conclusively be deemed valid and that any share option or share appreciation right may be cancelled for no consideration upon a Corporate Event if its exercise price or base price equals or exceeds the value of the consideration being paid for each share pursuant to such Corporate Event), (b) the substitution of securities or other property (including, without limitation, cash or other securities of our Company and securities of entities other than our Company) for the shares subject to outstanding Awards and (c) the substitution of equivalent awards, as determined in the sole discretion of the Administrator, of the surviving or successor entity or a parent thereof.</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Change in Control</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In the event of a change in control, as defined in the 2020 LTIP, of our Company, outstanding awards will terminate upon the effective time of the change in control unless provision is made for the continuation, assumption or substitution of awards by the surviving or successor entity or its parent. Unless an award agreement says otherwise, the following will occur with respect to awards that terminate in connection with a change in control of our Company:</w:t>
      </w:r>
    </w:p>
    <w:p>
      <w:pPr>
        <w:spacing w:after="0" w:line="151" w:lineRule="exact"/>
        <w:rPr>
          <w:sz w:val="20"/>
          <w:szCs w:val="20"/>
          <w:color w:val="auto"/>
        </w:rPr>
      </w:pPr>
    </w:p>
    <w:p>
      <w:pPr>
        <w:ind w:left="480" w:right="59" w:hanging="213"/>
        <w:spacing w:after="0" w:line="259" w:lineRule="auto"/>
        <w:tabs>
          <w:tab w:leader="none" w:pos="480" w:val="left"/>
        </w:tabs>
        <w:numPr>
          <w:ilvl w:val="0"/>
          <w:numId w:val="44"/>
        </w:numPr>
        <w:rPr>
          <w:rFonts w:ascii="Times New Roman" w:cs="Times New Roman" w:eastAsia="Times New Roman" w:hAnsi="Times New Roman"/>
          <w:sz w:val="15"/>
          <w:szCs w:val="15"/>
          <w:color w:val="auto"/>
        </w:rPr>
      </w:pPr>
      <w:r>
        <w:rPr>
          <w:rFonts w:ascii="Arial" w:cs="Arial" w:eastAsia="Arial" w:hAnsi="Arial"/>
          <w:sz w:val="15"/>
          <w:szCs w:val="15"/>
          <w:color w:val="auto"/>
        </w:rPr>
        <w:t>share options and share appreciation rights will become fully exercisable and holders of these awards will be permitted immediately before the change in control to exercise them;</w:t>
      </w:r>
    </w:p>
    <w:p>
      <w:pPr>
        <w:spacing w:after="0" w:line="135" w:lineRule="exact"/>
        <w:rPr>
          <w:rFonts w:ascii="Times New Roman" w:cs="Times New Roman" w:eastAsia="Times New Roman" w:hAnsi="Times New Roman"/>
          <w:sz w:val="15"/>
          <w:szCs w:val="15"/>
          <w:color w:val="auto"/>
        </w:rPr>
      </w:pPr>
    </w:p>
    <w:p>
      <w:pPr>
        <w:jc w:val="both"/>
        <w:ind w:left="480" w:right="59" w:hanging="213"/>
        <w:spacing w:after="0" w:line="244" w:lineRule="auto"/>
        <w:tabs>
          <w:tab w:leader="none" w:pos="480" w:val="left"/>
        </w:tabs>
        <w:numPr>
          <w:ilvl w:val="0"/>
          <w:numId w:val="44"/>
        </w:numPr>
        <w:rPr>
          <w:rFonts w:ascii="Times New Roman" w:cs="Times New Roman" w:eastAsia="Times New Roman" w:hAnsi="Times New Roman"/>
          <w:sz w:val="15"/>
          <w:szCs w:val="15"/>
          <w:color w:val="auto"/>
        </w:rPr>
      </w:pPr>
      <w:r>
        <w:rPr>
          <w:rFonts w:ascii="Arial" w:cs="Arial" w:eastAsia="Arial" w:hAnsi="Arial"/>
          <w:sz w:val="15"/>
          <w:szCs w:val="15"/>
          <w:color w:val="auto"/>
        </w:rPr>
        <w:t>Restricted Shares and share units with time-based vesting (i.e., not subject to achievement of performance goals) will become fully vested immediately before the change in control, and share units will be settled as promptly as is practicable in accordance with applicable law; and</w:t>
      </w:r>
    </w:p>
    <w:p>
      <w:pPr>
        <w:spacing w:after="0" w:line="147" w:lineRule="exact"/>
        <w:rPr>
          <w:rFonts w:ascii="Times New Roman" w:cs="Times New Roman" w:eastAsia="Times New Roman" w:hAnsi="Times New Roman"/>
          <w:sz w:val="15"/>
          <w:szCs w:val="15"/>
          <w:color w:val="auto"/>
        </w:rPr>
      </w:pPr>
    </w:p>
    <w:p>
      <w:pPr>
        <w:jc w:val="both"/>
        <w:ind w:left="480" w:right="39" w:hanging="213"/>
        <w:spacing w:after="0" w:line="244" w:lineRule="auto"/>
        <w:tabs>
          <w:tab w:leader="none" w:pos="480" w:val="left"/>
        </w:tabs>
        <w:numPr>
          <w:ilvl w:val="0"/>
          <w:numId w:val="44"/>
        </w:numPr>
        <w:rPr>
          <w:rFonts w:ascii="Times New Roman" w:cs="Times New Roman" w:eastAsia="Times New Roman" w:hAnsi="Times New Roman"/>
          <w:sz w:val="15"/>
          <w:szCs w:val="15"/>
          <w:color w:val="auto"/>
        </w:rPr>
      </w:pPr>
      <w:r>
        <w:rPr>
          <w:rFonts w:ascii="Arial" w:cs="Arial" w:eastAsia="Arial" w:hAnsi="Arial"/>
          <w:sz w:val="15"/>
          <w:szCs w:val="15"/>
          <w:color w:val="auto"/>
        </w:rPr>
        <w:t>Restricted Shares and share units that vest based on the achievement of performance goals will vest as if the performance goal for the unexpired performance period had been achieved at the target level; and the performance share units will be settled as promptly as is practicable in accordance with applicable law.</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Shareholder Rights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Amendment and Termination of 2020 LTIP</w:t>
      </w:r>
    </w:p>
    <w:p>
      <w:pPr>
        <w:spacing w:after="0" w:line="17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Our board of directors may, at any time, amend or terminate the 2020 LTIP but no amendment or termination may be made that would materially and adversely affect the rights of any participant under any outstanding award, without his or her consent, except such an amendment made to comply with applicable law or rule of any securities exchange or market on which our shares are listed or admitted for trading or to prevent adverse tax or accounting consequences to our company or the participant. If required to comply with Bermuda law and any other applicable laws or stock exchange rules or the rules of any automated quotation systems (other than any requirement which may be disapplied by the Company following any available home country exemption), the Company shall obtain shareholder approval of any 2020 LTIP amendment in such a manner and to such a degree as required.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Amendment of Awards</w:t>
      </w:r>
    </w:p>
    <w:p>
      <w:pPr>
        <w:spacing w:after="0" w:line="17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The Administrator may unilaterally amend the terms of any Award theretofore granted, but no such amendment shall materially impair the rights of any participant with respect to an Award without the participant’s consent, except such an amendment made to cause the 2020 Long Term Incentive Plan or Award to comply with applicable law, applicable rule of any securities exchange on which our shares of common stock are listed or admitted for trading, or to prevent adverse tax or accounting consequences for the participant or our company or any of our Affiliates. For purposes of the foregoing sentence, an amendment to an Award that results in a change in the tax consequences of the Award to the participant shall not be considered to be a material impairment of the rights of the participant and shall not require the participant’s consent.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Transferability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Subject to certain limited exceptions, Awards under the 2020 LTIP may not be sold, pledged, assigned, hypothecated, transferred or disposed of in any manner other than by will or by the laws of descent or distribution.</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Effective Date; Term</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The 2020 Long Term Incentive Plan will remain in effect, subject to the right of our Board or our Compensation Committee to amend or terminate the 2020 Long Term Incentive Plan at any time, until the earlier of (a) the earliest date as of which all Awards granted under the 2020 Long Term Incentive Plan have been satisfied in full or terminated and no shares approved for issuance under the 2020 Long Term Incentive Plan remain available to be granted under new Awards, or (b) May 20, 2030. No Awards will be granted under the 2020 Long Term Incentive Plan after such termination date. Subject to other applicable provisions of the 2020 Long Term Incentive Plan, all Awards made under the 2020 Long Term Incentive Plan on or before May 20, 2030, or such earlier termination of the 2020 Long Term Incentive Plan, shall remain in effect until such Awards have been satisfied or terminated in accordance with the 2020 Long Term Incentive Plan and the terms of such Awards.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  Board Practices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Composition and Election of Directors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Board Composition</w:t>
      </w:r>
    </w:p>
    <w:p>
      <w:pPr>
        <w:spacing w:after="0" w:line="16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Our board of directors currently consists of eight members. Our bye-laws provide that our board of directors shall consist of up to ten directors, with such number to be determined by us at each annual general meeting. Our directors generally hold office for such terms as our shareholders may determine or, in the absence of such determination, until the next annual general meeting or until their successors are elected or appointed or their office is otherwise vacated.</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directors currently serve on the board of directors pursuant to the voting provisions of our bye-laws, under which certain directors may be nominated by TRGI.</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additional information regarding our board of directors, see “Description of Share Capital—Election and Removal of Directors.”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Director Independence</w:t>
      </w:r>
    </w:p>
    <w:p>
      <w:pPr>
        <w:spacing w:after="0" w:line="16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relationships, our board of directors determined that Ms. Ballou-Aares and Beck and Messrs. Jones, Leone, and Kleisterlee, representing five of our eight directors, are “independent directors” as defined under the listing standards of the Nasdaq Stock Market.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share capital by each non-employee director and the transactions involving them described in “Item 7B. Related Party Transactions.”</w:t>
      </w:r>
    </w:p>
    <w:p>
      <w:pPr>
        <w:spacing w:after="0" w:line="15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We are a “controlled company” under the rules of Nasdaq because TRGI holds the right to appoint a majority of our board of directors pursuant to a provision in our bye-laws. See “Item 7A. Major Shareholders.” We intend to rely upon the “controlled company” exception relating to the board of directors and committee independence requirements under the Nasdaq listing rules. Pursuant to this exception, we will be exempt from the rules that would otherwise require that our board of directors consist of a majority of independent directors and that our compensation committee and nominating and governance committee be composed entirely of independent directors. The “controlled company” exception does not modify the independence requirements for the audit committee, and we intend to comply with the requirements of the Exchange Act and the rules of Nasdaq, which require that our audit committee have a majority of independent directors, and exclusively independent directors within one year following the effective date of our registration statement.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Board Committees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have an audit committee, a compensation committee and a nominating and corporate governance committee. We have adopted a charter for each of these committees.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Audit Committee</w:t>
      </w:r>
    </w:p>
    <w:p>
      <w:pPr>
        <w:spacing w:after="0" w:line="16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Our audit committee consists of Ms. Ballou-Aares and Mr. Leone. Mr. Leone is the chair of the audit committee. Each member satisfies the independence requirements of the Nasdaq Stock Market listing standards, and Mr. Leone qualifies as an “audit committee financial expert,” as defined in Item 16A of Form 20-F and as determined by our board of directors. The audit committee oversees our accounting and financial reporting processes and the audits of our audited consolidated financial statements. The audit committee is responsible for, among other things:</w:t>
      </w:r>
    </w:p>
    <w:p>
      <w:pPr>
        <w:spacing w:after="0" w:line="151" w:lineRule="exact"/>
        <w:rPr>
          <w:sz w:val="20"/>
          <w:szCs w:val="20"/>
          <w:color w:val="auto"/>
        </w:rPr>
      </w:pPr>
    </w:p>
    <w:p>
      <w:pPr>
        <w:ind w:left="480" w:right="39" w:hanging="213"/>
        <w:spacing w:after="0"/>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making recommendations to our board regarding the appointment by the shareholders at the general meeting of shareholders of our independent auditors;</w:t>
      </w:r>
    </w:p>
    <w:p>
      <w:pPr>
        <w:ind w:left="480" w:right="59" w:hanging="213"/>
        <w:spacing w:after="0" w:line="230" w:lineRule="auto"/>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overseeing the work of the independent auditors, including resolving disagreements between management and the independent auditors relating to financial reporting;</w:t>
      </w:r>
    </w:p>
    <w:p>
      <w:pPr>
        <w:ind w:left="480" w:hanging="213"/>
        <w:spacing w:after="0"/>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pre-approving all audit and non-audit services permitted to be performed by the independent auditors;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reviewing the independence and quality control procedures of the independent auditors;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45"/>
        </w:numPr>
        <w:rPr>
          <w:rFonts w:ascii="Times New Roman" w:cs="Times New Roman" w:eastAsia="Times New Roman" w:hAnsi="Times New Roman"/>
          <w:sz w:val="14"/>
          <w:szCs w:val="14"/>
          <w:color w:val="auto"/>
        </w:rPr>
      </w:pPr>
      <w:r>
        <w:rPr>
          <w:rFonts w:ascii="Arial" w:cs="Arial" w:eastAsia="Arial" w:hAnsi="Arial"/>
          <w:sz w:val="14"/>
          <w:szCs w:val="14"/>
          <w:color w:val="auto"/>
        </w:rPr>
        <w:t>discussing material off-balance sheet transactions, arrangements and obligations with management and the independent auditors;</w:t>
      </w:r>
    </w:p>
    <w:p>
      <w:pPr>
        <w:spacing w:after="0" w:line="15" w:lineRule="exact"/>
        <w:rPr>
          <w:rFonts w:ascii="Times New Roman" w:cs="Times New Roman" w:eastAsia="Times New Roman" w:hAnsi="Times New Roman"/>
          <w:sz w:val="14"/>
          <w:szCs w:val="14"/>
          <w:color w:val="auto"/>
        </w:rPr>
      </w:pPr>
    </w:p>
    <w:p>
      <w:pPr>
        <w:ind w:left="480" w:hanging="213"/>
        <w:spacing w:after="0"/>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reviewing and approving all proposed related-party transactions;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discussing the annual audited consolidated and statutory financial statements with management;</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annually reviewing and reassessing the adequacy of our audit committee charter;</w:t>
      </w:r>
    </w:p>
    <w:p>
      <w:pPr>
        <w:spacing w:after="0" w:line="3" w:lineRule="exact"/>
        <w:rPr>
          <w:rFonts w:ascii="Times New Roman" w:cs="Times New Roman" w:eastAsia="Times New Roman" w:hAnsi="Times New Roman"/>
          <w:sz w:val="15"/>
          <w:szCs w:val="15"/>
          <w:color w:val="auto"/>
        </w:rPr>
      </w:pPr>
    </w:p>
    <w:p>
      <w:pPr>
        <w:jc w:val="both"/>
        <w:ind w:left="480" w:right="59" w:hanging="213"/>
        <w:spacing w:after="0" w:line="230" w:lineRule="auto"/>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meeting separately with the independent auditors to discuss critical accounting policies, recommendations on internal control, the auditor’s engagement letter and independence letter and other material written communications between the independent auditors and the management; and</w:t>
      </w:r>
    </w:p>
    <w:p>
      <w:pPr>
        <w:spacing w:after="0" w:line="1"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45"/>
        </w:numPr>
        <w:rPr>
          <w:rFonts w:ascii="Times New Roman" w:cs="Times New Roman" w:eastAsia="Times New Roman" w:hAnsi="Times New Roman"/>
          <w:sz w:val="15"/>
          <w:szCs w:val="15"/>
          <w:color w:val="auto"/>
        </w:rPr>
      </w:pPr>
      <w:r>
        <w:rPr>
          <w:rFonts w:ascii="Arial" w:cs="Arial" w:eastAsia="Arial" w:hAnsi="Arial"/>
          <w:sz w:val="15"/>
          <w:szCs w:val="15"/>
          <w:color w:val="auto"/>
        </w:rPr>
        <w:t>attending to such other matters as are specifically delegated to our audit committee by our board from time to time.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Compensation Committee</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Our compensation committee consists of Messrs. Khaishgi, Jones and Keen. Mr. Khaishgi is the chair of the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compensation committee. The compensation committee assists the board in reviewing and approving or recommending our compensation structure, including all forms of compensation relating to our directors and management. Members of our management may not be present at any committee meeting while the compensation of our chief executive officer is deliberated. The compensation committee is responsible for, among other things:</w:t>
      </w:r>
    </w:p>
    <w:p>
      <w:pPr>
        <w:spacing w:after="0" w:line="151" w:lineRule="exact"/>
        <w:rPr>
          <w:sz w:val="20"/>
          <w:szCs w:val="20"/>
          <w:color w:val="auto"/>
        </w:rPr>
      </w:pPr>
    </w:p>
    <w:p>
      <w:pPr>
        <w:jc w:val="both"/>
        <w:ind w:left="480" w:right="39" w:hanging="213"/>
        <w:spacing w:after="0" w:line="237" w:lineRule="auto"/>
        <w:tabs>
          <w:tab w:leader="none" w:pos="48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reviewing and approving the compensation, including equity compensation, change-of-control benefits and severance arrangements, of our chief executive officer, chief financial officer and such other members of our management as it deems appropriate;</w:t>
      </w:r>
    </w:p>
    <w:p>
      <w:pPr>
        <w:ind w:left="480" w:hanging="213"/>
        <w:spacing w:after="0"/>
        <w:tabs>
          <w:tab w:leader="none" w:pos="48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overseeing the evaluation of our management;</w:t>
      </w:r>
    </w:p>
    <w:p>
      <w:pPr>
        <w:spacing w:after="0" w:line="3" w:lineRule="exact"/>
        <w:rPr>
          <w:rFonts w:ascii="Times New Roman" w:cs="Times New Roman" w:eastAsia="Times New Roman" w:hAnsi="Times New Roman"/>
          <w:sz w:val="15"/>
          <w:szCs w:val="15"/>
          <w:color w:val="auto"/>
        </w:rPr>
      </w:pPr>
    </w:p>
    <w:p>
      <w:pPr>
        <w:ind w:left="480" w:right="59" w:hanging="213"/>
        <w:spacing w:after="0" w:line="230" w:lineRule="auto"/>
        <w:tabs>
          <w:tab w:leader="none" w:pos="48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reviewing periodically and making recommendations to our board with respect to any incentive compensation and equity plans, programs or similar arrangements; and</w:t>
      </w:r>
    </w:p>
    <w:p>
      <w:pPr>
        <w:ind w:left="480" w:hanging="213"/>
        <w:spacing w:after="0"/>
        <w:tabs>
          <w:tab w:leader="none" w:pos="48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attending to such other matters as are specifically delegated to our compensation committee by our board from time to time.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Nominating and Corporate Governance Committee</w:t>
      </w:r>
    </w:p>
    <w:p>
      <w:pPr>
        <w:spacing w:after="0" w:line="16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Our nominating and corporate governance committee consists of Messrs. Keen and Khaishgi. Mr. Khaishgi is the chair of the nominating and corporate governance committee.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51" w:lineRule="exact"/>
        <w:rPr>
          <w:sz w:val="20"/>
          <w:szCs w:val="20"/>
          <w:color w:val="auto"/>
        </w:rPr>
      </w:pPr>
    </w:p>
    <w:p>
      <w:pPr>
        <w:ind w:left="480" w:right="59" w:hanging="213"/>
        <w:spacing w:after="0"/>
        <w:tabs>
          <w:tab w:leader="none" w:pos="480" w:val="left"/>
        </w:tabs>
        <w:numPr>
          <w:ilvl w:val="0"/>
          <w:numId w:val="47"/>
        </w:numPr>
        <w:rPr>
          <w:rFonts w:ascii="Times New Roman" w:cs="Times New Roman" w:eastAsia="Times New Roman" w:hAnsi="Times New Roman"/>
          <w:sz w:val="15"/>
          <w:szCs w:val="15"/>
          <w:color w:val="auto"/>
        </w:rPr>
      </w:pPr>
      <w:r>
        <w:rPr>
          <w:rFonts w:ascii="Arial" w:cs="Arial" w:eastAsia="Arial" w:hAnsi="Arial"/>
          <w:sz w:val="15"/>
          <w:szCs w:val="15"/>
          <w:color w:val="auto"/>
        </w:rPr>
        <w:t>recommending to the board of directors persons to be nominated for election or re-election to the board at any meeting of the shareholders;</w:t>
      </w:r>
    </w:p>
    <w:p>
      <w:pPr>
        <w:ind w:left="480" w:hanging="213"/>
        <w:spacing w:after="0"/>
        <w:tabs>
          <w:tab w:leader="none" w:pos="480" w:val="left"/>
        </w:tabs>
        <w:numPr>
          <w:ilvl w:val="0"/>
          <w:numId w:val="47"/>
        </w:numPr>
        <w:rPr>
          <w:rFonts w:ascii="Times New Roman" w:cs="Times New Roman" w:eastAsia="Times New Roman" w:hAnsi="Times New Roman"/>
          <w:sz w:val="15"/>
          <w:szCs w:val="15"/>
          <w:color w:val="auto"/>
        </w:rPr>
      </w:pPr>
      <w:r>
        <w:rPr>
          <w:rFonts w:ascii="Arial" w:cs="Arial" w:eastAsia="Arial" w:hAnsi="Arial"/>
          <w:sz w:val="15"/>
          <w:szCs w:val="15"/>
          <w:color w:val="auto"/>
        </w:rPr>
        <w:t>overseeing the board of directors’ annual review of its own performance and the performance of its committees; and</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47"/>
        </w:numPr>
        <w:rPr>
          <w:rFonts w:ascii="Times New Roman" w:cs="Times New Roman" w:eastAsia="Times New Roman" w:hAnsi="Times New Roman"/>
          <w:sz w:val="15"/>
          <w:szCs w:val="15"/>
          <w:color w:val="auto"/>
        </w:rPr>
      </w:pPr>
      <w:r>
        <w:rPr>
          <w:rFonts w:ascii="Arial" w:cs="Arial" w:eastAsia="Arial" w:hAnsi="Arial"/>
          <w:sz w:val="15"/>
          <w:szCs w:val="15"/>
          <w:color w:val="auto"/>
        </w:rPr>
        <w:t>considering, preparing and recommending to the board a set of corporate governance guidelines.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Director’s Service Contract</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Our subsidiary, Ibex Global Solutions, Inc., has entered into an employment agreement with Mr. Robert Dechant, one of our directors and Chief Executive Officer. Pursuant to the agreement, subject to certain restrictions, if Mr. Dechant’s employment is terminated, Mr. Dechant will be entitled to receive payment of his base salary and benefits for 12 months from the date of termination. Such salary and benefits payments may be reduced if Mr. Dechant obtains subsequent employment.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Other Corporate Governance Matters</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Sarbanes-Oxley Act, as well as related rules subsequently implemented by the SEC, requires foreign private issuers, including our company, to comply with various corporate governance practices. In addition, rules provide that foreign private issuers may follow home country practice in lieu of corporate governance standards, subject to certain exceptions and except to the extent that such exemptions would be contrary to U.S. federal securities laws.</w:t>
      </w:r>
    </w:p>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We intend to take all actions necessary for us to maintain compliance as a foreign private issuer under the applicable corporate governance requirements of the Sarbanes-Oxley Act, the rules adopted by the SEC and the Nasdaq listing standards.</w:t>
      </w:r>
    </w:p>
    <w:p>
      <w:pPr>
        <w:spacing w:after="0" w:line="135"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As a foreign private issuer, we are also exempt from certain corporate governance standards applicable to U.S. issuers. For example, Section 5605(b)(1) of the Nasdaq Listing Rules requires listed companies to have, among other things, a majority of their board members be independent, and Section 5605(d) and 5605I require listed companies to have independent director oversight of executive compensation, nomination of directors and corporate governance matters. In addition, we are not required to maintain a minimum of three members on our audit committee or to affirmatively determine that all members of our audit committee are “independent” using more stringent criteria than those applicable to us as a foreign private issuer. As a foreign private issuer, however, we are permitted to follow Bermuda practice in lieu of the above requirements, under which there is no requirement that a majority of our directors be independent.</w:t>
      </w:r>
    </w:p>
    <w:p>
      <w:pPr>
        <w:spacing w:after="0" w:line="153"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We have a code of business conduct and ethics applicable to our principal executive, financial and accounting officers and all persons performing similar functions. A copy of this code is available on our website at www.ibex.co. We expect that any amendments to the code, or any waivers of its requirements, will be disclosed on our website.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Risk Oversight</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Our board of directors is currently responsible for overseeing our risk management process. The board of directors focuses on our general risk management strategy, the most significant risks facing the Company, and ensures that appropriate risk mitigation strategies are implemented by management. The board of directors is also apprised of particular risk management matters in connection with its general oversight and approval of corporate matters and significant transactions.</w:t>
      </w:r>
    </w:p>
    <w:p>
      <w:pPr>
        <w:spacing w:after="0" w:line="15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Our board of directors delegated to the audit committee oversight of our risk management process. Our other board committees will also consider and address risk as they perform their respective committee responsibilities. All committees will report to the full board of directors as appropriate, including when a matter rises to the level of a material or enterprise level risk.</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management is responsible for day-to-day risk management. This oversight includes identifying, evaluating, and addressing potential risks that may exist at the enterprise, strategic, financial, operational, compliance and reporting levels.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  Employees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Our employees are our most valuable asset. Our success depends on our ability to hire, train and retain sufficient numbers of agents and other employees in a timely fashion to meet our clients’ needs. Our distinct culture and initiatives focused on employee recruitment, training, engagement and retention create a strong brand that helps us attract and retain talented employee and keep them highly engaged in delivering superior results and experiences for our clients.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As of June 30, 2022, we had 29,987 employees worldwide. The following table sets forth our employees by functional area: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5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Function</w:t>
            </w:r>
          </w:p>
        </w:tc>
        <w:tc>
          <w:tcPr>
            <w:tcW w:w="17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Number of Employees</w:t>
            </w:r>
          </w:p>
        </w:tc>
        <w:tc>
          <w:tcPr>
            <w:tcW w:w="12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Percent of Total</w:t>
            </w:r>
          </w:p>
        </w:tc>
        <w:tc>
          <w:tcPr>
            <w:tcW w:w="160" w:type="dxa"/>
            <w:vAlign w:val="bottom"/>
            <w:tcBorders>
              <w:bottom w:val="single" w:sz="8" w:color="CCEEFF"/>
            </w:tcBorders>
          </w:tcPr>
          <w:p>
            <w:pPr>
              <w:spacing w:after="0"/>
              <w:rPr>
                <w:sz w:val="12"/>
                <w:szCs w:val="12"/>
                <w:color w:val="auto"/>
              </w:rPr>
            </w:pPr>
          </w:p>
        </w:tc>
      </w:tr>
      <w:tr>
        <w:trPr>
          <w:trHeight w:val="157"/>
        </w:trPr>
        <w:tc>
          <w:tcPr>
            <w:tcW w:w="57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Production agents</w:t>
            </w:r>
          </w:p>
        </w:tc>
        <w:tc>
          <w:tcPr>
            <w:tcW w:w="15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24,195</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80.7</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w w:val="74"/>
              </w:rPr>
              <w:t>%</w:t>
            </w:r>
          </w:p>
        </w:tc>
      </w:tr>
      <w:tr>
        <w:trPr>
          <w:trHeight w:val="166"/>
        </w:trPr>
        <w:tc>
          <w:tcPr>
            <w:tcW w:w="5780" w:type="dxa"/>
            <w:vAlign w:val="bottom"/>
          </w:tcPr>
          <w:p>
            <w:pPr>
              <w:spacing w:after="0" w:line="166" w:lineRule="exact"/>
              <w:rPr>
                <w:sz w:val="20"/>
                <w:szCs w:val="20"/>
                <w:color w:val="auto"/>
              </w:rPr>
            </w:pPr>
            <w:r>
              <w:rPr>
                <w:rFonts w:ascii="Arial" w:cs="Arial" w:eastAsia="Arial" w:hAnsi="Arial"/>
                <w:sz w:val="15"/>
                <w:szCs w:val="15"/>
                <w:color w:val="auto"/>
              </w:rPr>
              <w:t>Production support</w:t>
            </w:r>
          </w:p>
        </w:tc>
        <w:tc>
          <w:tcPr>
            <w:tcW w:w="1540" w:type="dxa"/>
            <w:vAlign w:val="bottom"/>
          </w:tcPr>
          <w:p>
            <w:pPr>
              <w:jc w:val="right"/>
              <w:spacing w:after="0" w:line="166" w:lineRule="exact"/>
              <w:rPr>
                <w:sz w:val="20"/>
                <w:szCs w:val="20"/>
                <w:color w:val="auto"/>
              </w:rPr>
            </w:pPr>
            <w:r>
              <w:rPr>
                <w:rFonts w:ascii="Arial" w:cs="Arial" w:eastAsia="Arial" w:hAnsi="Arial"/>
                <w:sz w:val="15"/>
                <w:szCs w:val="15"/>
                <w:color w:val="auto"/>
              </w:rPr>
              <w:t>3,862</w:t>
            </w:r>
          </w:p>
        </w:tc>
        <w:tc>
          <w:tcPr>
            <w:tcW w:w="200" w:type="dxa"/>
            <w:vAlign w:val="bottom"/>
          </w:tcPr>
          <w:p>
            <w:pPr>
              <w:spacing w:after="0"/>
              <w:rPr>
                <w:sz w:val="14"/>
                <w:szCs w:val="14"/>
                <w:color w:val="auto"/>
              </w:rPr>
            </w:pPr>
          </w:p>
        </w:tc>
        <w:tc>
          <w:tcPr>
            <w:tcW w:w="14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12.9 %</w:t>
            </w:r>
          </w:p>
        </w:tc>
      </w:tr>
      <w:tr>
        <w:trPr>
          <w:trHeight w:val="166"/>
        </w:trPr>
        <w:tc>
          <w:tcPr>
            <w:tcW w:w="57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Software engineers</w:t>
            </w:r>
          </w:p>
        </w:tc>
        <w:tc>
          <w:tcPr>
            <w:tcW w:w="15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242</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0.8 %</w:t>
            </w:r>
          </w:p>
        </w:tc>
      </w:tr>
      <w:tr>
        <w:trPr>
          <w:trHeight w:val="166"/>
        </w:trPr>
        <w:tc>
          <w:tcPr>
            <w:tcW w:w="5780" w:type="dxa"/>
            <w:vAlign w:val="bottom"/>
          </w:tcPr>
          <w:p>
            <w:pPr>
              <w:spacing w:after="0" w:line="166" w:lineRule="exact"/>
              <w:rPr>
                <w:sz w:val="20"/>
                <w:szCs w:val="20"/>
                <w:color w:val="auto"/>
              </w:rPr>
            </w:pPr>
            <w:r>
              <w:rPr>
                <w:rFonts w:ascii="Arial" w:cs="Arial" w:eastAsia="Arial" w:hAnsi="Arial"/>
                <w:sz w:val="15"/>
                <w:szCs w:val="15"/>
                <w:color w:val="auto"/>
              </w:rPr>
              <w:t>Technology, telephony and network infrastructure</w:t>
            </w:r>
          </w:p>
        </w:tc>
        <w:tc>
          <w:tcPr>
            <w:tcW w:w="1540" w:type="dxa"/>
            <w:vAlign w:val="bottom"/>
          </w:tcPr>
          <w:p>
            <w:pPr>
              <w:jc w:val="right"/>
              <w:spacing w:after="0" w:line="166" w:lineRule="exact"/>
              <w:rPr>
                <w:sz w:val="20"/>
                <w:szCs w:val="20"/>
                <w:color w:val="auto"/>
              </w:rPr>
            </w:pPr>
            <w:r>
              <w:rPr>
                <w:rFonts w:ascii="Arial" w:cs="Arial" w:eastAsia="Arial" w:hAnsi="Arial"/>
                <w:sz w:val="15"/>
                <w:szCs w:val="15"/>
                <w:color w:val="auto"/>
              </w:rPr>
              <w:t>379</w:t>
            </w:r>
          </w:p>
        </w:tc>
        <w:tc>
          <w:tcPr>
            <w:tcW w:w="200" w:type="dxa"/>
            <w:vAlign w:val="bottom"/>
          </w:tcPr>
          <w:p>
            <w:pPr>
              <w:spacing w:after="0"/>
              <w:rPr>
                <w:sz w:val="14"/>
                <w:szCs w:val="14"/>
                <w:color w:val="auto"/>
              </w:rPr>
            </w:pPr>
          </w:p>
        </w:tc>
        <w:tc>
          <w:tcPr>
            <w:tcW w:w="14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1.3 %</w:t>
            </w:r>
          </w:p>
        </w:tc>
      </w:tr>
      <w:tr>
        <w:trPr>
          <w:trHeight w:val="166"/>
        </w:trPr>
        <w:tc>
          <w:tcPr>
            <w:tcW w:w="57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Data scientists and engineers</w:t>
            </w:r>
          </w:p>
        </w:tc>
        <w:tc>
          <w:tcPr>
            <w:tcW w:w="15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69</w:t>
            </w: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0.2 %</w:t>
            </w:r>
          </w:p>
        </w:tc>
      </w:tr>
      <w:tr>
        <w:trPr>
          <w:trHeight w:val="166"/>
        </w:trPr>
        <w:tc>
          <w:tcPr>
            <w:tcW w:w="5780" w:type="dxa"/>
            <w:vAlign w:val="bottom"/>
          </w:tcPr>
          <w:p>
            <w:pPr>
              <w:spacing w:after="0" w:line="166" w:lineRule="exact"/>
              <w:rPr>
                <w:sz w:val="20"/>
                <w:szCs w:val="20"/>
                <w:color w:val="auto"/>
              </w:rPr>
            </w:pPr>
            <w:r>
              <w:rPr>
                <w:rFonts w:ascii="Arial" w:cs="Arial" w:eastAsia="Arial" w:hAnsi="Arial"/>
                <w:sz w:val="15"/>
                <w:szCs w:val="15"/>
                <w:color w:val="auto"/>
              </w:rPr>
              <w:t>Sales and marketing</w:t>
            </w:r>
          </w:p>
        </w:tc>
        <w:tc>
          <w:tcPr>
            <w:tcW w:w="1540" w:type="dxa"/>
            <w:vAlign w:val="bottom"/>
          </w:tcPr>
          <w:p>
            <w:pPr>
              <w:jc w:val="right"/>
              <w:spacing w:after="0" w:line="166" w:lineRule="exact"/>
              <w:rPr>
                <w:sz w:val="20"/>
                <w:szCs w:val="20"/>
                <w:color w:val="auto"/>
              </w:rPr>
            </w:pPr>
            <w:r>
              <w:rPr>
                <w:rFonts w:ascii="Arial" w:cs="Arial" w:eastAsia="Arial" w:hAnsi="Arial"/>
                <w:sz w:val="15"/>
                <w:szCs w:val="15"/>
                <w:color w:val="auto"/>
              </w:rPr>
              <w:t>98</w:t>
            </w:r>
          </w:p>
        </w:tc>
        <w:tc>
          <w:tcPr>
            <w:tcW w:w="200" w:type="dxa"/>
            <w:vAlign w:val="bottom"/>
          </w:tcPr>
          <w:p>
            <w:pPr>
              <w:spacing w:after="0"/>
              <w:rPr>
                <w:sz w:val="14"/>
                <w:szCs w:val="14"/>
                <w:color w:val="auto"/>
              </w:rPr>
            </w:pPr>
          </w:p>
        </w:tc>
        <w:tc>
          <w:tcPr>
            <w:tcW w:w="14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0.3 %</w:t>
            </w:r>
          </w:p>
        </w:tc>
      </w:tr>
      <w:tr>
        <w:trPr>
          <w:trHeight w:val="166"/>
        </w:trPr>
        <w:tc>
          <w:tcPr>
            <w:tcW w:w="57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Digital advertising operations</w:t>
            </w:r>
          </w:p>
        </w:tc>
        <w:tc>
          <w:tcPr>
            <w:tcW w:w="15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137</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0.5</w:t>
            </w:r>
          </w:p>
        </w:tc>
        <w:tc>
          <w:tcPr>
            <w:tcW w:w="160" w:type="dxa"/>
            <w:vAlign w:val="bottom"/>
            <w:shd w:val="clear" w:color="auto" w:fill="CCEEFF"/>
          </w:tcPr>
          <w:p>
            <w:pPr>
              <w:spacing w:after="0"/>
              <w:rPr>
                <w:sz w:val="14"/>
                <w:szCs w:val="14"/>
                <w:color w:val="auto"/>
              </w:rPr>
            </w:pPr>
          </w:p>
        </w:tc>
      </w:tr>
      <w:tr>
        <w:trPr>
          <w:trHeight w:val="166"/>
        </w:trPr>
        <w:tc>
          <w:tcPr>
            <w:tcW w:w="5780" w:type="dxa"/>
            <w:vAlign w:val="bottom"/>
          </w:tcPr>
          <w:p>
            <w:pPr>
              <w:spacing w:after="0" w:line="166" w:lineRule="exact"/>
              <w:rPr>
                <w:sz w:val="20"/>
                <w:szCs w:val="20"/>
                <w:color w:val="auto"/>
              </w:rPr>
            </w:pPr>
            <w:r>
              <w:rPr>
                <w:rFonts w:ascii="Arial" w:cs="Arial" w:eastAsia="Arial" w:hAnsi="Arial"/>
                <w:sz w:val="15"/>
                <w:szCs w:val="15"/>
                <w:color w:val="auto"/>
              </w:rPr>
              <w:t>Corporate (management, administration, finance, legal, human resources)</w:t>
            </w:r>
          </w:p>
        </w:tc>
        <w:tc>
          <w:tcPr>
            <w:tcW w:w="1540" w:type="dxa"/>
            <w:vAlign w:val="bottom"/>
          </w:tcPr>
          <w:p>
            <w:pPr>
              <w:jc w:val="right"/>
              <w:spacing w:after="0" w:line="166" w:lineRule="exact"/>
              <w:rPr>
                <w:sz w:val="20"/>
                <w:szCs w:val="20"/>
                <w:color w:val="auto"/>
              </w:rPr>
            </w:pPr>
            <w:r>
              <w:rPr>
                <w:rFonts w:ascii="Arial" w:cs="Arial" w:eastAsia="Arial" w:hAnsi="Arial"/>
                <w:sz w:val="15"/>
                <w:szCs w:val="15"/>
                <w:color w:val="auto"/>
              </w:rPr>
              <w:t>1,005</w:t>
            </w:r>
          </w:p>
        </w:tc>
        <w:tc>
          <w:tcPr>
            <w:tcW w:w="200" w:type="dxa"/>
            <w:vAlign w:val="bottom"/>
          </w:tcPr>
          <w:p>
            <w:pPr>
              <w:spacing w:after="0"/>
              <w:rPr>
                <w:sz w:val="14"/>
                <w:szCs w:val="14"/>
                <w:color w:val="auto"/>
              </w:rPr>
            </w:pPr>
          </w:p>
        </w:tc>
        <w:tc>
          <w:tcPr>
            <w:tcW w:w="14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3.4 %</w:t>
            </w:r>
          </w:p>
        </w:tc>
      </w:tr>
      <w:tr>
        <w:trPr>
          <w:trHeight w:val="157"/>
        </w:trPr>
        <w:tc>
          <w:tcPr>
            <w:tcW w:w="578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w:t>
            </w:r>
          </w:p>
        </w:tc>
        <w:tc>
          <w:tcPr>
            <w:tcW w:w="15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29,987</w:t>
            </w:r>
          </w:p>
        </w:tc>
        <w:tc>
          <w:tcPr>
            <w:tcW w:w="2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100.0</w:t>
            </w:r>
          </w:p>
        </w:tc>
        <w:tc>
          <w:tcPr>
            <w:tcW w:w="160" w:type="dxa"/>
            <w:vAlign w:val="bottom"/>
            <w:tcBorders>
              <w:top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w w:val="74"/>
              </w:rPr>
              <w:t>%</w:t>
            </w:r>
          </w:p>
        </w:tc>
      </w:tr>
    </w:tbl>
    <w:p>
      <w:pPr>
        <w:spacing w:after="0" w:line="162"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None of our employees belong to a labor union and we have never suffered a material interruption of business as a result of a labor dispute. We consider our relations with our employees worldwide to be good.</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Culture</w:t>
      </w:r>
    </w:p>
    <w:p>
      <w:pPr>
        <w:spacing w:after="0" w:line="168"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believe that we have established a strong workplace culture which is key to our ability to attract and retain our talented workforce around the globe. Our culture is built on four core values: respect, integrity, transparency and excellence. We strive to maintain a culture in which our leaders are coaches and mentors and our employees have a voice and sense of purpose and feel valued and respected. Furthermore, we believe we have established a distinctive corporate culture characterized by innovation, speed and organizational agility. We encourage strong teamwork, which enables our talented workforce to design and deliver innovative solutions to our clients around the globe to optimize their customer lifecycle experience.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Recruitment</w:t>
      </w:r>
    </w:p>
    <w:p>
      <w:pPr>
        <w:spacing w:after="0" w:line="168" w:lineRule="exact"/>
        <w:rPr>
          <w:sz w:val="20"/>
          <w:szCs w:val="20"/>
          <w:color w:val="auto"/>
        </w:rPr>
      </w:pPr>
    </w:p>
    <w:p>
      <w:pPr>
        <w:jc w:val="both"/>
        <w:ind w:left="40" w:right="39"/>
        <w:spacing w:after="0" w:line="257" w:lineRule="auto"/>
        <w:rPr>
          <w:sz w:val="20"/>
          <w:szCs w:val="20"/>
          <w:color w:val="auto"/>
        </w:rPr>
      </w:pPr>
      <w:r>
        <w:rPr>
          <w:rFonts w:ascii="Arial" w:cs="Arial" w:eastAsia="Arial" w:hAnsi="Arial"/>
          <w:sz w:val="14"/>
          <w:szCs w:val="14"/>
          <w:color w:val="auto"/>
        </w:rPr>
        <w:t>To ensure we can attract qualified employees, we strive to offer a competitive benefits package, a strong workplace culture and working environment and most importantly, competitive compensation that either meets or exceeds marketplace standards. We deploy numerous tools that are effective in attracting employees. This includes working with local government workforce agencies in all geographies where we have a presence; doing this ensures we have a presence as a local employer in every market and ensures we are included in their career fairs and are recommended consistently. Additionally, we have a strong employee referral program, which encourages our current employees to recommend us to their family and friends. We have found this to be the greatest source of qualified individuals.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Training and Coaching</w:t>
      </w:r>
    </w:p>
    <w:p>
      <w:pPr>
        <w:spacing w:after="0" w:line="16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customer-facing agents typically go through one day of orientation and between one to seven weeks of foundation skills training. This includes customer specific training such as customer service training, technical or sales training. Once agents have completed product specific training, which can last up to 240 hours depending on the client and the application, they are put into an on-the-job experience (lasting from 40 to 80 hours), during which the agents take live calls and receive hands-on training, coaching and feedback. They also experience quality assurance (QA) monitoring and reinforcement. Once agents have been trained and are on the production floor, they receive consistent coaching and guidance. The coach plays the role of facilitator to fully empower the agents. Our coaching module equips the team managers with the necessary knowledge, skills and attitude required to be successful mentors. Team managers are then able to engage effectively with mentees to address any non-performance issues and ensure our employees feel valued and recognized.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Employee Work Environment</w:t>
      </w:r>
    </w:p>
    <w:p>
      <w:pPr>
        <w:spacing w:after="0" w:line="16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Our employee work environment is anchored by our distinct culture. In addition, we provide attractive, functional physical spaces. Our workspaces are bright and modern with several common areas for rest and recreation. Our centers reflect our culture’s values with open areas for coaching and celebrating success. Our workstations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59" w:lineRule="auto"/>
        <w:rPr>
          <w:sz w:val="20"/>
          <w:szCs w:val="20"/>
          <w:color w:val="auto"/>
        </w:rPr>
      </w:pPr>
      <w:r>
        <w:rPr>
          <w:rFonts w:ascii="Arial" w:cs="Arial" w:eastAsia="Arial" w:hAnsi="Arial"/>
          <w:sz w:val="14"/>
          <w:szCs w:val="14"/>
          <w:color w:val="auto"/>
        </w:rPr>
        <w:t>are ergonomically designed to provide maximum comfort to our employees. We consider our onsite dining options, nurse’s stations and transportation services to be industry-leading. Furthermore, our technology is designed to enable the most efficient and productive work environment for our employees. Our intranet provides access to pertinent and valuable information regarding schedules, job opportunities and important company announcements. Our technological enhancements allow employees to view information regarding their individual and team results. Finally, our mobile apps and online systems allow the agents to manage their careers with us.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Retention</w:t>
      </w:r>
    </w:p>
    <w:p>
      <w:pPr>
        <w:spacing w:after="0" w:line="16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Our distinct culture, employee engagement, recruiting and training are all designed to ensure we retain our employees. As important as it is to work hard every day, we consider it as important to ensure we have time for rewarding exceptional performance, fun events, volunteering in the community and celebrating accomplishments together. In order to engender our employees’ sense that they are an integral part and valued members of our company, we strive to recognize the important times in our employees’ work life, including birthdays, birth of child and promotions. An example of our differentiated Employee Engagement program is our annual Very Important Performer event where we host the top 5% of our workforce in each of the markets in which we operate at a multi-day offsite event at a five-star resort where we celebrate their success. Our senior leadership participates in this important event, creating a bond between our leadership team and thousands of agents. This is one of our key programs to drive our industry-best retention rates and employee loyalty.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  Share ownership</w:t>
      </w:r>
    </w:p>
    <w:p>
      <w:pPr>
        <w:spacing w:after="0" w:line="18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total number of common shares beneficially owned by our directors and executive officers as of September 1, 2022 was 2,325,314 which represents 12.7% of the total shares of the Company. See table in “Item 7A. Major Shareholders.”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7.MAJOR SHAREHOLDERS AND RELATED PARTY TRANSACTIONS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  Major Shareholders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sets forth information with respect to the beneficial ownership of our common shares as of September 1, 2022 by:</w:t>
      </w:r>
    </w:p>
    <w:p>
      <w:pPr>
        <w:spacing w:after="0" w:line="170" w:lineRule="exact"/>
        <w:rPr>
          <w:sz w:val="20"/>
          <w:szCs w:val="20"/>
          <w:color w:val="auto"/>
        </w:rPr>
      </w:pPr>
    </w:p>
    <w:p>
      <w:pPr>
        <w:ind w:left="480" w:hanging="213"/>
        <w:spacing w:after="0"/>
        <w:tabs>
          <w:tab w:leader="none" w:pos="480" w:val="left"/>
        </w:tabs>
        <w:numPr>
          <w:ilvl w:val="0"/>
          <w:numId w:val="48"/>
        </w:numPr>
        <w:rPr>
          <w:rFonts w:ascii="Times New Roman" w:cs="Times New Roman" w:eastAsia="Times New Roman" w:hAnsi="Times New Roman"/>
          <w:sz w:val="15"/>
          <w:szCs w:val="15"/>
          <w:color w:val="auto"/>
        </w:rPr>
      </w:pPr>
      <w:r>
        <w:rPr>
          <w:rFonts w:ascii="Arial" w:cs="Arial" w:eastAsia="Arial" w:hAnsi="Arial"/>
          <w:sz w:val="15"/>
          <w:szCs w:val="15"/>
          <w:color w:val="auto"/>
        </w:rPr>
        <w:t>each of our directors;</w:t>
      </w:r>
    </w:p>
    <w:p>
      <w:pPr>
        <w:spacing w:after="0" w:line="17"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48"/>
        </w:numPr>
        <w:rPr>
          <w:rFonts w:ascii="Times New Roman" w:cs="Times New Roman" w:eastAsia="Times New Roman" w:hAnsi="Times New Roman"/>
          <w:sz w:val="15"/>
          <w:szCs w:val="15"/>
          <w:color w:val="auto"/>
        </w:rPr>
      </w:pPr>
      <w:r>
        <w:rPr>
          <w:rFonts w:ascii="Arial" w:cs="Arial" w:eastAsia="Arial" w:hAnsi="Arial"/>
          <w:sz w:val="15"/>
          <w:szCs w:val="15"/>
          <w:color w:val="auto"/>
        </w:rPr>
        <w:t>each of our executive officers;</w:t>
      </w:r>
    </w:p>
    <w:p>
      <w:pPr>
        <w:spacing w:after="0" w:line="3" w:lineRule="exact"/>
        <w:rPr>
          <w:rFonts w:ascii="Times New Roman" w:cs="Times New Roman" w:eastAsia="Times New Roman" w:hAnsi="Times New Roman"/>
          <w:sz w:val="15"/>
          <w:szCs w:val="15"/>
          <w:color w:val="auto"/>
        </w:rPr>
      </w:pPr>
    </w:p>
    <w:p>
      <w:pPr>
        <w:ind w:left="480" w:hanging="213"/>
        <w:spacing w:after="0"/>
        <w:tabs>
          <w:tab w:leader="none" w:pos="480" w:val="left"/>
        </w:tabs>
        <w:numPr>
          <w:ilvl w:val="0"/>
          <w:numId w:val="48"/>
        </w:numPr>
        <w:rPr>
          <w:rFonts w:ascii="Times New Roman" w:cs="Times New Roman" w:eastAsia="Times New Roman" w:hAnsi="Times New Roman"/>
          <w:sz w:val="15"/>
          <w:szCs w:val="15"/>
          <w:color w:val="auto"/>
        </w:rPr>
      </w:pPr>
      <w:r>
        <w:rPr>
          <w:rFonts w:ascii="Arial" w:cs="Arial" w:eastAsia="Arial" w:hAnsi="Arial"/>
          <w:sz w:val="15"/>
          <w:szCs w:val="15"/>
          <w:color w:val="auto"/>
        </w:rPr>
        <w:t>all of our directors and executive officers as a group; and</w:t>
      </w:r>
    </w:p>
    <w:p>
      <w:pPr>
        <w:spacing w:after="0" w:line="3" w:lineRule="exact"/>
        <w:rPr>
          <w:rFonts w:ascii="Times New Roman" w:cs="Times New Roman" w:eastAsia="Times New Roman" w:hAnsi="Times New Roman"/>
          <w:sz w:val="15"/>
          <w:szCs w:val="15"/>
          <w:color w:val="auto"/>
        </w:rPr>
      </w:pPr>
    </w:p>
    <w:p>
      <w:pPr>
        <w:ind w:left="480" w:right="39" w:hanging="213"/>
        <w:spacing w:after="0" w:line="239" w:lineRule="auto"/>
        <w:tabs>
          <w:tab w:leader="none" w:pos="480" w:val="left"/>
        </w:tabs>
        <w:numPr>
          <w:ilvl w:val="0"/>
          <w:numId w:val="48"/>
        </w:numPr>
        <w:rPr>
          <w:rFonts w:ascii="Times New Roman" w:cs="Times New Roman" w:eastAsia="Times New Roman" w:hAnsi="Times New Roman"/>
          <w:sz w:val="15"/>
          <w:szCs w:val="15"/>
          <w:color w:val="auto"/>
        </w:rPr>
      </w:pPr>
      <w:r>
        <w:rPr>
          <w:rFonts w:ascii="Arial" w:cs="Arial" w:eastAsia="Arial" w:hAnsi="Arial"/>
          <w:sz w:val="15"/>
          <w:szCs w:val="15"/>
          <w:color w:val="auto"/>
        </w:rPr>
        <w:t>each person, or group of affiliated persons, who is known by us to beneficially own more than 5% of our common shares, and who are referred to as our major shareholders.</w:t>
      </w:r>
    </w:p>
    <w:p>
      <w:pPr>
        <w:spacing w:after="0" w:line="151"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As of September 1, 2022, we had 18,247,999 issued and outstanding common shares, which includes 104,454 unvested restricted common shares.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to receive the economic benefit of ownership of the securities, or has the right to acquire such powers within 60 days. For purposes of calculating percentage ownership in the below table, common shares subject to options, restricted stock units, warrants or other convertible or exercisable securities that are currently convertible or exercisable or convertible or exercisable within 60 days of September 1, 2022 are deemed to be outstanding and beneficially owned by the person holding such securities. Common shares issuable pursuant to share options or warrants are deemed outstanding for computing the percentage ownership of the person holding such options or warrants but are not outstanding for computing the percentage of any other person. To our knowledge, except as indicated in the footnotes to this table and pursuant to applicable community property laws, the persons named in the table have sole voting and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investment power with respect to all of our common shares. As of September 1, 2022, we had 126 holders of record in the United States with approximately 58.3% of our issued and outstanding common shares.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320" w:type="dxa"/>
            <w:vAlign w:val="bottom"/>
            <w:tcBorders>
              <w:top w:val="single" w:sz="8" w:color="auto"/>
              <w:bottom w:val="single" w:sz="8" w:color="auto"/>
            </w:tcBorders>
          </w:tcPr>
          <w:p>
            <w:pPr>
              <w:ind w:left="2880"/>
              <w:spacing w:after="0"/>
              <w:rPr>
                <w:sz w:val="20"/>
                <w:szCs w:val="20"/>
                <w:color w:val="auto"/>
              </w:rPr>
            </w:pPr>
            <w:r>
              <w:rPr>
                <w:rFonts w:ascii="Arial" w:cs="Arial" w:eastAsia="Arial" w:hAnsi="Arial"/>
                <w:sz w:val="12"/>
                <w:szCs w:val="12"/>
                <w:b w:val="1"/>
                <w:bCs w:val="1"/>
                <w:color w:val="auto"/>
              </w:rPr>
              <w:t>Name</w:t>
            </w:r>
          </w:p>
        </w:tc>
        <w:tc>
          <w:tcPr>
            <w:tcW w:w="11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Number</w:t>
            </w:r>
          </w:p>
        </w:tc>
        <w:tc>
          <w:tcPr>
            <w:tcW w:w="130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Percent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2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Major Shareholders:</w:t>
            </w:r>
          </w:p>
        </w:tc>
        <w:tc>
          <w:tcPr>
            <w:tcW w:w="1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3"/>
                <w:szCs w:val="13"/>
                <w:color w:val="auto"/>
              </w:rPr>
              <w:t>TRGI</w:t>
            </w:r>
            <w:r>
              <w:rPr>
                <w:rFonts w:ascii="Arial" w:cs="Arial" w:eastAsia="Arial" w:hAnsi="Arial"/>
                <w:sz w:val="19"/>
                <w:szCs w:val="19"/>
                <w:color w:val="auto"/>
                <w:vertAlign w:val="superscript"/>
              </w:rPr>
              <w:t>(1)</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5,378,915</w:t>
            </w:r>
          </w:p>
        </w:tc>
        <w:tc>
          <w:tcPr>
            <w:tcW w:w="14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29.5 %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PineBridge Global Emerging Markets Partners II, L.P.</w:t>
            </w:r>
            <w:r>
              <w:rPr>
                <w:rFonts w:ascii="Arial" w:cs="Arial" w:eastAsia="Arial" w:hAnsi="Arial"/>
                <w:sz w:val="19"/>
                <w:szCs w:val="19"/>
                <w:color w:val="auto"/>
                <w:vertAlign w:val="superscript"/>
              </w:rPr>
              <w:t>(2)</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2,019,739</w:t>
            </w:r>
          </w:p>
        </w:tc>
        <w:tc>
          <w:tcPr>
            <w:tcW w:w="14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11.1 %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3"/>
                <w:szCs w:val="13"/>
                <w:color w:val="auto"/>
              </w:rPr>
              <w:t>Muhammad Ziaullah Khan Chishti</w:t>
            </w:r>
            <w:r>
              <w:rPr>
                <w:rFonts w:ascii="Arial" w:cs="Arial" w:eastAsia="Arial" w:hAnsi="Arial"/>
                <w:sz w:val="19"/>
                <w:szCs w:val="19"/>
                <w:color w:val="auto"/>
                <w:vertAlign w:val="superscript"/>
              </w:rPr>
              <w:t>(3)</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1,704,160</w:t>
            </w:r>
          </w:p>
        </w:tc>
        <w:tc>
          <w:tcPr>
            <w:tcW w:w="14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9.3 %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Stowers Institute for Medical Research</w:t>
            </w:r>
            <w:r>
              <w:rPr>
                <w:rFonts w:ascii="Arial" w:cs="Arial" w:eastAsia="Arial" w:hAnsi="Arial"/>
                <w:sz w:val="19"/>
                <w:szCs w:val="19"/>
                <w:color w:val="auto"/>
                <w:vertAlign w:val="superscript"/>
              </w:rPr>
              <w:t>(4)</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1,182,380</w:t>
            </w:r>
          </w:p>
        </w:tc>
        <w:tc>
          <w:tcPr>
            <w:tcW w:w="14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3"/>
                <w:szCs w:val="13"/>
                <w:color w:val="auto"/>
              </w:rPr>
              <w:t>Ameriprise Financial, Inc.</w:t>
            </w:r>
            <w:r>
              <w:rPr>
                <w:rFonts w:ascii="Arial" w:cs="Arial" w:eastAsia="Arial" w:hAnsi="Arial"/>
                <w:sz w:val="19"/>
                <w:szCs w:val="19"/>
                <w:color w:val="auto"/>
                <w:vertAlign w:val="superscript"/>
              </w:rPr>
              <w:t>(5)</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970,088</w:t>
            </w:r>
          </w:p>
        </w:tc>
        <w:tc>
          <w:tcPr>
            <w:tcW w:w="14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5.3 %</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320" w:type="dxa"/>
            <w:vAlign w:val="bottom"/>
          </w:tcPr>
          <w:p>
            <w:pPr>
              <w:spacing w:after="0"/>
              <w:rPr>
                <w:sz w:val="20"/>
                <w:szCs w:val="20"/>
                <w:color w:val="auto"/>
              </w:rPr>
            </w:pPr>
            <w:r>
              <w:rPr>
                <w:rFonts w:ascii="Arial" w:cs="Arial" w:eastAsia="Arial" w:hAnsi="Arial"/>
                <w:sz w:val="15"/>
                <w:szCs w:val="15"/>
                <w:b w:val="1"/>
                <w:bCs w:val="1"/>
                <w:color w:val="auto"/>
              </w:rPr>
              <w:t>Executive officers and directors:</w:t>
            </w: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Mohammed Khaishgi</w:t>
            </w:r>
            <w:r>
              <w:rPr>
                <w:rFonts w:ascii="Arial" w:cs="Arial" w:eastAsia="Arial" w:hAnsi="Arial"/>
                <w:sz w:val="19"/>
                <w:szCs w:val="19"/>
                <w:color w:val="auto"/>
                <w:vertAlign w:val="superscript"/>
              </w:rPr>
              <w:t>(6)</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905,048</w:t>
            </w:r>
          </w:p>
        </w:tc>
        <w:tc>
          <w:tcPr>
            <w:tcW w:w="148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4.9 %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3"/>
                <w:szCs w:val="13"/>
                <w:color w:val="auto"/>
              </w:rPr>
              <w:t>Robert Dechant</w:t>
            </w:r>
            <w:r>
              <w:rPr>
                <w:rFonts w:ascii="Arial" w:cs="Arial" w:eastAsia="Arial" w:hAnsi="Arial"/>
                <w:sz w:val="19"/>
                <w:szCs w:val="19"/>
                <w:color w:val="auto"/>
                <w:vertAlign w:val="superscript"/>
              </w:rPr>
              <w:t>(7)</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312,257</w:t>
            </w:r>
          </w:p>
        </w:tc>
        <w:tc>
          <w:tcPr>
            <w:tcW w:w="14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Karl Gabel</w:t>
            </w:r>
            <w:r>
              <w:rPr>
                <w:rFonts w:ascii="Arial" w:cs="Arial" w:eastAsia="Arial" w:hAnsi="Arial"/>
                <w:sz w:val="19"/>
                <w:szCs w:val="19"/>
                <w:color w:val="auto"/>
                <w:vertAlign w:val="superscript"/>
              </w:rPr>
              <w:t>(8)</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146,785</w:t>
            </w:r>
          </w:p>
        </w:tc>
        <w:tc>
          <w:tcPr>
            <w:tcW w:w="13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3"/>
                <w:szCs w:val="13"/>
                <w:color w:val="auto"/>
              </w:rPr>
              <w:t>Christy O'Connor</w:t>
            </w:r>
            <w:r>
              <w:rPr>
                <w:rFonts w:ascii="Arial" w:cs="Arial" w:eastAsia="Arial" w:hAnsi="Arial"/>
                <w:sz w:val="19"/>
                <w:szCs w:val="19"/>
                <w:color w:val="auto"/>
                <w:vertAlign w:val="superscript"/>
              </w:rPr>
              <w:t>(9)</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54,528</w:t>
            </w:r>
          </w:p>
        </w:tc>
        <w:tc>
          <w:tcPr>
            <w:tcW w:w="13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David Afdahl</w:t>
            </w:r>
            <w:r>
              <w:rPr>
                <w:rFonts w:ascii="Arial" w:cs="Arial" w:eastAsia="Arial" w:hAnsi="Arial"/>
                <w:sz w:val="19"/>
                <w:szCs w:val="19"/>
                <w:color w:val="auto"/>
                <w:vertAlign w:val="superscript"/>
              </w:rPr>
              <w:t>(10)</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78,401</w:t>
            </w:r>
          </w:p>
        </w:tc>
        <w:tc>
          <w:tcPr>
            <w:tcW w:w="13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3"/>
                <w:szCs w:val="13"/>
                <w:color w:val="auto"/>
              </w:rPr>
              <w:t>Jeff Cox</w:t>
            </w:r>
            <w:r>
              <w:rPr>
                <w:rFonts w:ascii="Arial" w:cs="Arial" w:eastAsia="Arial" w:hAnsi="Arial"/>
                <w:sz w:val="19"/>
                <w:szCs w:val="19"/>
                <w:color w:val="auto"/>
                <w:vertAlign w:val="superscript"/>
              </w:rPr>
              <w:t>(11)</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462,693</w:t>
            </w:r>
          </w:p>
        </w:tc>
        <w:tc>
          <w:tcPr>
            <w:tcW w:w="14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2.5 %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Bruce Dawson</w:t>
            </w:r>
            <w:r>
              <w:rPr>
                <w:rFonts w:ascii="Arial" w:cs="Arial" w:eastAsia="Arial" w:hAnsi="Arial"/>
                <w:sz w:val="19"/>
                <w:szCs w:val="19"/>
                <w:color w:val="auto"/>
                <w:vertAlign w:val="superscript"/>
              </w:rPr>
              <w:t>(12)</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59,203</w:t>
            </w:r>
          </w:p>
        </w:tc>
        <w:tc>
          <w:tcPr>
            <w:tcW w:w="13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3"/>
                <w:szCs w:val="13"/>
                <w:color w:val="auto"/>
              </w:rPr>
              <w:t>Julie Casteel</w:t>
            </w:r>
            <w:r>
              <w:rPr>
                <w:rFonts w:ascii="Arial" w:cs="Arial" w:eastAsia="Arial" w:hAnsi="Arial"/>
                <w:sz w:val="19"/>
                <w:szCs w:val="19"/>
                <w:color w:val="auto"/>
                <w:vertAlign w:val="superscript"/>
              </w:rPr>
              <w:t>(13)</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49,846</w:t>
            </w:r>
          </w:p>
        </w:tc>
        <w:tc>
          <w:tcPr>
            <w:tcW w:w="13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Daniella Ballou-Aares</w:t>
            </w:r>
            <w:r>
              <w:rPr>
                <w:rFonts w:ascii="Arial" w:cs="Arial" w:eastAsia="Arial" w:hAnsi="Arial"/>
                <w:sz w:val="19"/>
                <w:szCs w:val="19"/>
                <w:color w:val="auto"/>
                <w:vertAlign w:val="superscript"/>
              </w:rPr>
              <w:t>(14)</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15,060</w:t>
            </w:r>
          </w:p>
        </w:tc>
        <w:tc>
          <w:tcPr>
            <w:tcW w:w="13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3"/>
                <w:szCs w:val="13"/>
                <w:color w:val="auto"/>
              </w:rPr>
              <w:t>John Jones</w:t>
            </w:r>
            <w:r>
              <w:rPr>
                <w:rFonts w:ascii="Arial" w:cs="Arial" w:eastAsia="Arial" w:hAnsi="Arial"/>
                <w:sz w:val="19"/>
                <w:szCs w:val="19"/>
                <w:color w:val="auto"/>
                <w:vertAlign w:val="superscript"/>
              </w:rPr>
              <w:t>(15)</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22,496</w:t>
            </w:r>
          </w:p>
        </w:tc>
        <w:tc>
          <w:tcPr>
            <w:tcW w:w="13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Shuja Keen</w:t>
            </w:r>
            <w:r>
              <w:rPr>
                <w:rFonts w:ascii="Arial" w:cs="Arial" w:eastAsia="Arial" w:hAnsi="Arial"/>
                <w:sz w:val="19"/>
                <w:szCs w:val="19"/>
                <w:color w:val="auto"/>
                <w:vertAlign w:val="superscript"/>
              </w:rPr>
              <w:t>(16)</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181,360</w:t>
            </w:r>
          </w:p>
        </w:tc>
        <w:tc>
          <w:tcPr>
            <w:tcW w:w="13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line="166" w:lineRule="exact"/>
              <w:rPr>
                <w:sz w:val="20"/>
                <w:szCs w:val="20"/>
                <w:color w:val="auto"/>
              </w:rPr>
            </w:pPr>
            <w:r>
              <w:rPr>
                <w:rFonts w:ascii="Arial" w:cs="Arial" w:eastAsia="Arial" w:hAnsi="Arial"/>
                <w:sz w:val="15"/>
                <w:szCs w:val="15"/>
                <w:color w:val="auto"/>
              </w:rPr>
              <w:t>John Leone</w:t>
            </w:r>
          </w:p>
        </w:tc>
        <w:tc>
          <w:tcPr>
            <w:tcW w:w="112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3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line="166" w:lineRule="exact"/>
              <w:rPr>
                <w:sz w:val="20"/>
                <w:szCs w:val="20"/>
                <w:color w:val="auto"/>
              </w:rPr>
            </w:pPr>
            <w:r>
              <w:rPr>
                <w:rFonts w:ascii="Arial" w:cs="Arial" w:eastAsia="Arial" w:hAnsi="Arial"/>
                <w:sz w:val="13"/>
                <w:szCs w:val="13"/>
                <w:color w:val="auto"/>
              </w:rPr>
              <w:t>Fiona Beck</w:t>
            </w:r>
            <w:r>
              <w:rPr>
                <w:rFonts w:ascii="Arial" w:cs="Arial" w:eastAsia="Arial" w:hAnsi="Arial"/>
                <w:sz w:val="19"/>
                <w:szCs w:val="19"/>
                <w:color w:val="auto"/>
                <w:vertAlign w:val="superscript"/>
              </w:rPr>
              <w:t>(17)</w:t>
            </w:r>
          </w:p>
        </w:tc>
        <w:tc>
          <w:tcPr>
            <w:tcW w:w="11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11,500</w:t>
            </w:r>
          </w:p>
        </w:tc>
        <w:tc>
          <w:tcPr>
            <w:tcW w:w="13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line="166" w:lineRule="exact"/>
              <w:rPr>
                <w:sz w:val="20"/>
                <w:szCs w:val="20"/>
                <w:color w:val="auto"/>
              </w:rPr>
            </w:pPr>
            <w:r>
              <w:rPr>
                <w:rFonts w:ascii="Arial" w:cs="Arial" w:eastAsia="Arial" w:hAnsi="Arial"/>
                <w:sz w:val="13"/>
                <w:szCs w:val="13"/>
                <w:color w:val="auto"/>
              </w:rPr>
              <w:t>Gerard Kleisterlee</w:t>
            </w:r>
            <w:r>
              <w:rPr>
                <w:rFonts w:ascii="Arial" w:cs="Arial" w:eastAsia="Arial" w:hAnsi="Arial"/>
                <w:sz w:val="19"/>
                <w:szCs w:val="19"/>
                <w:color w:val="auto"/>
                <w:vertAlign w:val="superscript"/>
              </w:rPr>
              <w:t>(18)</w:t>
            </w:r>
          </w:p>
        </w:tc>
        <w:tc>
          <w:tcPr>
            <w:tcW w:w="11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26,137</w:t>
            </w:r>
          </w:p>
        </w:tc>
        <w:tc>
          <w:tcPr>
            <w:tcW w:w="1300" w:type="dxa"/>
            <w:vAlign w:val="bottom"/>
            <w:tcBorders>
              <w:bottom w:val="single" w:sz="8" w:color="CCEEFF"/>
            </w:tcBorders>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20" w:type="dxa"/>
            <w:vAlign w:val="bottom"/>
            <w:shd w:val="clear" w:color="auto" w:fill="CCEEFF"/>
          </w:tcPr>
          <w:p>
            <w:pPr>
              <w:spacing w:after="0" w:line="157" w:lineRule="exact"/>
              <w:rPr>
                <w:sz w:val="20"/>
                <w:szCs w:val="20"/>
                <w:color w:val="auto"/>
              </w:rPr>
            </w:pPr>
            <w:r>
              <w:rPr>
                <w:rFonts w:ascii="Arial" w:cs="Arial" w:eastAsia="Arial" w:hAnsi="Arial"/>
                <w:sz w:val="12"/>
                <w:szCs w:val="12"/>
                <w:b w:val="1"/>
                <w:bCs w:val="1"/>
                <w:color w:val="auto"/>
              </w:rPr>
              <w:t>All executive officers and directors as a group (fourteen persons)</w:t>
            </w:r>
            <w:r>
              <w:rPr>
                <w:rFonts w:ascii="Arial" w:cs="Arial" w:eastAsia="Arial" w:hAnsi="Arial"/>
                <w:sz w:val="18"/>
                <w:szCs w:val="18"/>
                <w:b w:val="1"/>
                <w:bCs w:val="1"/>
                <w:color w:val="auto"/>
                <w:vertAlign w:val="superscript"/>
              </w:rPr>
              <w:t>(19)(20)</w:t>
            </w:r>
          </w:p>
        </w:tc>
        <w:tc>
          <w:tcPr>
            <w:tcW w:w="11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2,325,314</w:t>
            </w:r>
          </w:p>
        </w:tc>
        <w:tc>
          <w:tcPr>
            <w:tcW w:w="1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b w:val="1"/>
                <w:bCs w:val="1"/>
                <w:color w:val="auto"/>
              </w:rPr>
              <w:t xml:space="preserve">12.7 </w:t>
            </w: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00" w:hanging="265"/>
        <w:spacing w:after="0"/>
        <w:tabs>
          <w:tab w:leader="none" w:pos="300" w:val="left"/>
        </w:tabs>
        <w:numPr>
          <w:ilvl w:val="0"/>
          <w:numId w:val="49"/>
        </w:numPr>
        <w:rPr>
          <w:rFonts w:ascii="Arial" w:cs="Arial" w:eastAsia="Arial" w:hAnsi="Arial"/>
          <w:sz w:val="15"/>
          <w:szCs w:val="15"/>
          <w:color w:val="auto"/>
        </w:rPr>
      </w:pPr>
      <w:r>
        <w:rPr>
          <w:rFonts w:ascii="Arial" w:cs="Arial" w:eastAsia="Arial" w:hAnsi="Arial"/>
          <w:sz w:val="13"/>
          <w:szCs w:val="13"/>
          <w:color w:val="auto"/>
        </w:rPr>
        <w:t>Represents beneficial ownership of less than one percent (1%) of outstanding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-109220</wp:posOffset>
            </wp:positionV>
            <wp:extent cx="55626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2600" cy="6985"/>
                    </a:xfrm>
                    <a:prstGeom prst="rect">
                      <a:avLst/>
                    </a:prstGeom>
                    <a:noFill/>
                  </pic:spPr>
                </pic:pic>
              </a:graphicData>
            </a:graphic>
          </wp:anchor>
        </w:drawing>
      </w:r>
    </w:p>
    <w:p>
      <w:pPr>
        <w:jc w:val="both"/>
        <w:ind w:left="300" w:right="39" w:hanging="265"/>
        <w:spacing w:after="0" w:line="230"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TRGP is the largest shareholder of TRGI and, as a result of its relationship with TRGI, may be deemed to beneficially own the shares beneficially owned by TRGI. TRGP disclaims beneficial ownership of the shares beneficially owned by TRGI. As of June 30, 2022, TRGP beneficially owned 45.3% of TRGI’s outstanding voting securities (with an ability to vote up to 69% of TRGI’s outstanding voting securities with the consent of the CEO of TRGI). TRGI has sole voting and sole dispositive control over its shares in ibex, however, TRGP holds the economic interest in those shares. The address for TRGI is Crawford House, 50 Cedar Avenue, Hamilton HM11, Bermuda. The address for TRGP is 24</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Floor, Sky Tower West Wing, Dolmen, HC-3, Block 4, Marine Drive, Clifton, Karachi - 75600, Pakistan.</w:t>
      </w:r>
    </w:p>
    <w:p>
      <w:pPr>
        <w:spacing w:after="0" w:line="3" w:lineRule="exact"/>
        <w:rPr>
          <w:rFonts w:ascii="Arial" w:cs="Arial" w:eastAsia="Arial" w:hAnsi="Arial"/>
          <w:sz w:val="13"/>
          <w:szCs w:val="13"/>
          <w:color w:val="auto"/>
        </w:rPr>
      </w:pPr>
    </w:p>
    <w:p>
      <w:pPr>
        <w:jc w:val="both"/>
        <w:ind w:left="300" w:right="59" w:hanging="265"/>
        <w:spacing w:after="0" w:line="215"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13D filed with the SEC on January 5, 2022, PineBridge Global Emerging Markets Partners II, L.P. reported shared voting power and shared dispositive power of 2,019,739 shares. PineBridge Global Emerging Markets Partners II, L.P.’s address is 65 East 55</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Street, New York, New York 10022 United States.</w:t>
      </w:r>
    </w:p>
    <w:p>
      <w:pPr>
        <w:jc w:val="both"/>
        <w:ind w:left="300" w:right="59" w:hanging="265"/>
        <w:spacing w:after="0" w:line="248"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March 24, 2022, Muhammad Ziaullah Khan Chishti reported sole voting power and sole dispositive power of 1,704,160 shares. Muhammad Ziaullah Khan Chishti’s address is 105 Paseo Concepcion de Gilberto Gracia, Harbor Plaza 801, San Juan, PR 00901.</w:t>
      </w:r>
    </w:p>
    <w:p>
      <w:pPr>
        <w:spacing w:after="0" w:line="1" w:lineRule="exact"/>
        <w:rPr>
          <w:rFonts w:ascii="Arial" w:cs="Arial" w:eastAsia="Arial" w:hAnsi="Arial"/>
          <w:sz w:val="13"/>
          <w:szCs w:val="13"/>
          <w:color w:val="auto"/>
        </w:rPr>
      </w:pPr>
    </w:p>
    <w:p>
      <w:pPr>
        <w:jc w:val="both"/>
        <w:ind w:left="300" w:right="59" w:hanging="265"/>
        <w:spacing w:after="0" w:line="215"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4, 2022, Stowers Institute for Medical Research reported sole voting power of 1,158,188 and sole dispositive power of 1,182,380 shares. Stowers Institute for Medical Research’s address is 4500 Main St., 9</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Floor, Kansas City, MO 64111 United States.</w:t>
      </w:r>
    </w:p>
    <w:p>
      <w:pPr>
        <w:jc w:val="both"/>
        <w:ind w:left="300" w:right="39" w:hanging="265"/>
        <w:spacing w:after="0" w:line="248"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14, 2022, Ameriprise Financial, Inc. reported shared voting power of 935,053 shares and shared dispositive power of 970,088 shares. Ameriprise Financial, Inc.’s address is 145 Ameriprise Financial Center, Minneapolis, MN 55474 United States.</w:t>
      </w:r>
    </w:p>
    <w:p>
      <w:pPr>
        <w:spacing w:after="0" w:line="1" w:lineRule="exact"/>
        <w:rPr>
          <w:rFonts w:ascii="Arial" w:cs="Arial" w:eastAsia="Arial" w:hAnsi="Arial"/>
          <w:sz w:val="13"/>
          <w:szCs w:val="13"/>
          <w:color w:val="auto"/>
        </w:rPr>
      </w:pPr>
    </w:p>
    <w:p>
      <w:pPr>
        <w:ind w:left="300" w:hanging="265"/>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Khaishgi’s holdings include (a) 854,980 common shares and (b) 50,068 common shares underlying vested stock options.</w:t>
      </w:r>
    </w:p>
    <w:p>
      <w:pPr>
        <w:spacing w:after="0" w:line="5" w:lineRule="exact"/>
        <w:rPr>
          <w:rFonts w:ascii="Arial" w:cs="Arial" w:eastAsia="Arial" w:hAnsi="Arial"/>
          <w:sz w:val="13"/>
          <w:szCs w:val="13"/>
          <w:color w:val="auto"/>
        </w:rPr>
      </w:pPr>
    </w:p>
    <w:p>
      <w:pPr>
        <w:ind w:left="300" w:right="39" w:hanging="265"/>
        <w:spacing w:after="0" w:line="248"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Dechant’s holdings include (a) 215,266 common shares, (b) 10,288 unvested restricted common shares, which vest monthly in increments of 932 shares, and (c) 86,703 common shares underlying vested stock options.</w:t>
      </w:r>
    </w:p>
    <w:p>
      <w:pPr>
        <w:ind w:left="300" w:hanging="265"/>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Gabel’s holdings include (a) 119,723 common shares and (b) 27,062 common shares underlying vested stock options.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hanging="265"/>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Ms. O’Connor’s holdings include (a) 39,260 common shares and (b) 15,268 common shares underlying stock options.</w:t>
      </w:r>
    </w:p>
    <w:p>
      <w:pPr>
        <w:spacing w:after="0" w:line="17" w:lineRule="exact"/>
        <w:rPr>
          <w:rFonts w:ascii="Arial" w:cs="Arial" w:eastAsia="Arial" w:hAnsi="Arial"/>
          <w:sz w:val="13"/>
          <w:szCs w:val="13"/>
          <w:color w:val="auto"/>
        </w:rPr>
      </w:pPr>
    </w:p>
    <w:p>
      <w:pPr>
        <w:jc w:val="both"/>
        <w:ind w:left="300" w:right="59" w:hanging="265"/>
        <w:spacing w:after="0" w:line="257" w:lineRule="auto"/>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Afdahl’s holdings include (a) 50,547 common shares, (b) 552 unvested restricted common shares, which vest in October 2022, (c) 1,888 unvested restricted common shares, which vest monthly in increments of 208 shares, and (d) 25,414 common shares underlying vested stock options.</w:t>
      </w:r>
    </w:p>
    <w:p>
      <w:pPr>
        <w:spacing w:after="0" w:line="144" w:lineRule="exact"/>
        <w:rPr>
          <w:rFonts w:ascii="Arial" w:cs="Arial" w:eastAsia="Arial" w:hAnsi="Arial"/>
          <w:sz w:val="13"/>
          <w:szCs w:val="13"/>
          <w:color w:val="auto"/>
        </w:rPr>
      </w:pPr>
    </w:p>
    <w:p>
      <w:pPr>
        <w:ind w:left="300" w:right="59" w:hanging="265"/>
        <w:spacing w:after="0" w:line="248" w:lineRule="auto"/>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Cox’s holdings include (a) 439,146 common shares, (b) 2,222 unvested restricted common shares, which vest monthly in increments of 243 shares, and (c) 21,325 common shares underlying stock options.</w:t>
      </w:r>
    </w:p>
    <w:p>
      <w:pPr>
        <w:ind w:left="300" w:hanging="265"/>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Dawson’s holdings include (a) 42,765 common shares and (b) 16,438 common shares underlying vested stock options.</w:t>
      </w:r>
    </w:p>
    <w:p>
      <w:pPr>
        <w:spacing w:after="0" w:line="5" w:lineRule="exact"/>
        <w:rPr>
          <w:rFonts w:ascii="Arial" w:cs="Arial" w:eastAsia="Arial" w:hAnsi="Arial"/>
          <w:sz w:val="13"/>
          <w:szCs w:val="13"/>
          <w:color w:val="auto"/>
        </w:rPr>
      </w:pPr>
    </w:p>
    <w:p>
      <w:pPr>
        <w:ind w:left="300" w:hanging="265"/>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Ms. Casteel’s holdings include (a) 34,948 common shares and (b) 14,898 common shares underlying vested stock options.</w:t>
      </w:r>
    </w:p>
    <w:p>
      <w:pPr>
        <w:spacing w:after="0" w:line="5" w:lineRule="exact"/>
        <w:rPr>
          <w:rFonts w:ascii="Arial" w:cs="Arial" w:eastAsia="Arial" w:hAnsi="Arial"/>
          <w:sz w:val="13"/>
          <w:szCs w:val="13"/>
          <w:color w:val="auto"/>
        </w:rPr>
      </w:pPr>
    </w:p>
    <w:p>
      <w:pPr>
        <w:ind w:left="300" w:hanging="265"/>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Ms. Ballou-Aares’ holdings include (a) 12,994 common shares and (b) 2,066 common shares underlying vested stock options.</w:t>
      </w:r>
    </w:p>
    <w:p>
      <w:pPr>
        <w:spacing w:after="0" w:line="5" w:lineRule="exact"/>
        <w:rPr>
          <w:rFonts w:ascii="Arial" w:cs="Arial" w:eastAsia="Arial" w:hAnsi="Arial"/>
          <w:sz w:val="13"/>
          <w:szCs w:val="13"/>
          <w:color w:val="auto"/>
        </w:rPr>
      </w:pPr>
    </w:p>
    <w:p>
      <w:pPr>
        <w:ind w:left="300" w:hanging="265"/>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Jones’ holdings include (a) 12,994 common shares and (b) 9,502 common shares underlying vested stock options.</w:t>
      </w:r>
    </w:p>
    <w:p>
      <w:pPr>
        <w:spacing w:after="0" w:line="5" w:lineRule="exact"/>
        <w:rPr>
          <w:rFonts w:ascii="Arial" w:cs="Arial" w:eastAsia="Arial" w:hAnsi="Arial"/>
          <w:sz w:val="13"/>
          <w:szCs w:val="13"/>
          <w:color w:val="auto"/>
        </w:rPr>
      </w:pPr>
    </w:p>
    <w:p>
      <w:pPr>
        <w:ind w:left="300" w:hanging="265"/>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Keen’s holdings include (a) 178,582 common shares and (b) 2,778 common shares underlying vested stock options.</w:t>
      </w:r>
    </w:p>
    <w:p>
      <w:pPr>
        <w:spacing w:after="0" w:line="5" w:lineRule="exact"/>
        <w:rPr>
          <w:rFonts w:ascii="Arial" w:cs="Arial" w:eastAsia="Arial" w:hAnsi="Arial"/>
          <w:sz w:val="13"/>
          <w:szCs w:val="13"/>
          <w:color w:val="auto"/>
        </w:rPr>
      </w:pPr>
    </w:p>
    <w:p>
      <w:pPr>
        <w:ind w:left="300" w:hanging="265"/>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Ms. Beck’s holdings include (a) 10,953 common shares and (b) 547 unvested restricted common shares which vest October 2022.</w:t>
      </w:r>
    </w:p>
    <w:p>
      <w:pPr>
        <w:spacing w:after="0" w:line="5" w:lineRule="exact"/>
        <w:rPr>
          <w:rFonts w:ascii="Arial" w:cs="Arial" w:eastAsia="Arial" w:hAnsi="Arial"/>
          <w:sz w:val="13"/>
          <w:szCs w:val="13"/>
          <w:color w:val="auto"/>
        </w:rPr>
      </w:pPr>
    </w:p>
    <w:p>
      <w:pPr>
        <w:ind w:left="300" w:right="59" w:hanging="265"/>
        <w:spacing w:after="0" w:line="248" w:lineRule="auto"/>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Kleisterlee’s holdings include (a) 21,987 common shares, and (b) 1,250 unvested restricted common shares which vest quarterly in increments of 625 shares, and (c) 2,900 common shares underlying vested stock options.</w:t>
      </w:r>
    </w:p>
    <w:p>
      <w:pPr>
        <w:ind w:left="300" w:hanging="265"/>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Total executive officer and director holdings include (a) 2,034,145 common shares and (b) 16,747 unvested restricted common shares and</w:t>
      </w:r>
    </w:p>
    <w:p>
      <w:pPr>
        <w:spacing w:after="0" w:line="5" w:lineRule="exact"/>
        <w:rPr>
          <w:rFonts w:ascii="Arial" w:cs="Arial" w:eastAsia="Arial" w:hAnsi="Arial"/>
          <w:sz w:val="13"/>
          <w:szCs w:val="13"/>
          <w:color w:val="auto"/>
        </w:rPr>
      </w:pPr>
    </w:p>
    <w:p>
      <w:pPr>
        <w:ind w:left="300"/>
        <w:spacing w:after="0"/>
        <w:rPr>
          <w:rFonts w:ascii="Arial" w:cs="Arial" w:eastAsia="Arial" w:hAnsi="Arial"/>
          <w:sz w:val="13"/>
          <w:szCs w:val="13"/>
          <w:color w:val="auto"/>
        </w:rPr>
      </w:pPr>
      <w:r>
        <w:rPr>
          <w:rFonts w:ascii="Arial" w:cs="Arial" w:eastAsia="Arial" w:hAnsi="Arial"/>
          <w:sz w:val="13"/>
          <w:szCs w:val="13"/>
          <w:color w:val="auto"/>
        </w:rPr>
        <w:t>(c) 274,422 common shares underlying vested stock options.</w:t>
      </w:r>
    </w:p>
    <w:p>
      <w:pPr>
        <w:spacing w:after="0" w:line="5" w:lineRule="exact"/>
        <w:rPr>
          <w:rFonts w:ascii="Arial" w:cs="Arial" w:eastAsia="Arial" w:hAnsi="Arial"/>
          <w:sz w:val="13"/>
          <w:szCs w:val="13"/>
          <w:color w:val="auto"/>
        </w:rPr>
      </w:pPr>
    </w:p>
    <w:p>
      <w:pPr>
        <w:ind w:left="300" w:right="59" w:hanging="265"/>
        <w:spacing w:after="0" w:line="268" w:lineRule="auto"/>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Except as otherwise set forth below, the address of the beneficial owner is c/o IBEX Limited, 1717 Pennsylvania Avenue NW, Suite 825, Washington, DC 20006, USA.</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  Related-Party Transactions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For more information on our related party transactions, refer to Note 23 to our audited consolidated financial statements included at the end of this annual report.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TRGH-iSky Loan</w:t>
      </w:r>
    </w:p>
    <w:p>
      <w:pPr>
        <w:spacing w:after="0" w:line="170"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4"/>
          <w:szCs w:val="14"/>
          <w:color w:val="auto"/>
        </w:rPr>
        <w:t>On August 7, 2018, TRG Holdings LLC entered into a loan agreement with iSky, Inc. to repay approximately CAD 1,459,516 (approx. US $1.1 million) related to a sales tax settlement on behalf of iSky with the Canadian Revenue Agency at an interest rate of 15% per annum with an original maturity date of August 7, 2019; provided however that such loan is payable immediately on demand upon the earlier of TRG Holdings LLC’s demand or an initial public offering of iSky Inc.’s parent company, Ibex Limited. Funds borrowed under this loan arrangement were paid directly to the Canadian Revenue Agency. Pursuant to the terms of the loan, any additional amount of interest not calculable at the time of the loan shall be paid made a part of the loan agreement and shall be repaid under the same terms as initial loan. This loan agreement was assumed by IBEX Limited from iSky, Inc. in June 2019 and the term extended to August 7, 2020. The parties have agreed to extend the loan to October 31, 2020. The outstanding balance of $1.6 million was repaid on November 2, 2020.</w:t>
      </w:r>
    </w:p>
    <w:p>
      <w:pPr>
        <w:spacing w:after="0" w:line="141"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5"/>
          <w:szCs w:val="15"/>
          <w:b w:val="1"/>
          <w:bCs w:val="1"/>
          <w:i w:val="1"/>
          <w:iCs w:val="1"/>
          <w:color w:val="auto"/>
        </w:rPr>
        <w:t>Ibex Global Solutions Limited (Pakistan), Virtual World Private Ltd, DGS Private Limited – Afiniti Software Solutions (Pvt) Limited and Afiniti, Inc. Shares Services Agreement</w:t>
      </w:r>
    </w:p>
    <w:p>
      <w:pPr>
        <w:spacing w:after="0" w:line="11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Ibex Global Solutions Limited (Pakistan), Virtual World Private Ltd, DGS Private Limited – Afiniti Software Solutions (Pvt) Limited and Afiniti, Inc. are parties to a Master Services and Cross Charge Agreement dated June 1, 2019 whereby the parties to the agreement each provide certain IT related services to the other and such services are cross charged to the other parties.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Dividend to TRGI</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On July 21, 2020, our board of directors approved a one-time dividend of $ 4.0 million to our shareholders reflecting a portion of the cash generation from the business during fiscal year 2020. The dividend was paid on July 24, 2020 to TRGI, the holder of our Series A preferred share (outstanding prior to its automatic conversion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into common shares in connection with our initial public offering), which was entitled to a dividend preference that expired upon conversion of the Series A preferred share to common shares upon the completion of our initial public offering.</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Stockholders’ Agreement</w:t>
      </w:r>
    </w:p>
    <w:p>
      <w:pPr>
        <w:spacing w:after="0" w:line="170"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We are party to a Stockholders’ Agreement with TRGI dated as of September 15, 2017. The agreement requires that we obtain TRGI’s prior written consent before we or our subsidiaries take or commit to take certain material actions, including, among others:</w:t>
      </w:r>
    </w:p>
    <w:p>
      <w:pPr>
        <w:spacing w:after="0" w:line="135" w:lineRule="exact"/>
        <w:rPr>
          <w:sz w:val="20"/>
          <w:szCs w:val="20"/>
          <w:color w:val="auto"/>
        </w:rPr>
      </w:pPr>
    </w:p>
    <w:p>
      <w:pPr>
        <w:ind w:left="680" w:right="59"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acquisition of the stock or assets of an unaffiliated entity in a single transaction or a series of related transactions with an enterprise value greater than $2.0 million;</w:t>
      </w:r>
    </w:p>
    <w:p>
      <w:pPr>
        <w:ind w:left="680" w:right="39" w:hanging="413"/>
        <w:spacing w:after="0" w:line="230" w:lineRule="auto"/>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consolidation, merger, amalgamation or other business combination with any entity other than us or a wholly-owned subsidiary of ours, or a “Change in Control” (as defined in our debt instruments);</w:t>
      </w:r>
    </w:p>
    <w:p>
      <w:pPr>
        <w:jc w:val="both"/>
        <w:ind w:left="680" w:right="39" w:hanging="413"/>
        <w:spacing w:after="0" w:line="230" w:lineRule="auto"/>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disposition or transfer, in a single transaction or a series of related transactions, to another party of our or any of our subsidiaries’ assets with a value greater than $2.0 million in the aggregate or for consideration greater than $2.0 million, other than in the ordinary course of business;</w:t>
      </w:r>
    </w:p>
    <w:p>
      <w:pPr>
        <w:spacing w:after="0" w:line="1" w:lineRule="exact"/>
        <w:rPr>
          <w:rFonts w:ascii="Times New Roman" w:cs="Times New Roman" w:eastAsia="Times New Roman" w:hAnsi="Times New Roman"/>
          <w:sz w:val="15"/>
          <w:szCs w:val="15"/>
          <w:color w:val="auto"/>
        </w:rPr>
      </w:pPr>
    </w:p>
    <w:p>
      <w:pPr>
        <w:ind w:left="680" w:right="59" w:hanging="413"/>
        <w:spacing w:after="0" w:line="230" w:lineRule="auto"/>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entry into any corporate strategic relationship involving the payment, contribution or assignment by us or any of our subsidiaries of money or assets greater than $1.0 million;</w:t>
      </w:r>
    </w:p>
    <w:p>
      <w:pPr>
        <w:jc w:val="both"/>
        <w:ind w:left="680" w:right="59" w:hanging="413"/>
        <w:spacing w:after="0" w:line="230" w:lineRule="auto"/>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creation of any new class of equity securities, issuance of additional shares of any class of equity securities, or any offering of securities (except for awards under stockholder-approved equity plans and issuances to our parent company or any of its subsidiaries);</w:t>
      </w:r>
    </w:p>
    <w:p>
      <w:pPr>
        <w:spacing w:after="0" w:line="1"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incurrence, assumption or guarantee of indebtedness by us to any third party;</w:t>
      </w:r>
    </w:p>
    <w:p>
      <w:pPr>
        <w:spacing w:after="0" w:line="3" w:lineRule="exact"/>
        <w:rPr>
          <w:rFonts w:ascii="Times New Roman" w:cs="Times New Roman" w:eastAsia="Times New Roman" w:hAnsi="Times New Roman"/>
          <w:sz w:val="15"/>
          <w:szCs w:val="15"/>
          <w:color w:val="auto"/>
        </w:rPr>
      </w:pPr>
    </w:p>
    <w:p>
      <w:pPr>
        <w:ind w:left="680" w:right="59" w:hanging="413"/>
        <w:spacing w:after="0" w:line="230" w:lineRule="auto"/>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incurrence, assumption or guarantee of incremental indebtedness (as measured from indebtedness existing on September 15, 2017) by us, in a single transaction or a series of related transactions, in an amount greater than $5.0 million;</w:t>
      </w:r>
    </w:p>
    <w:p>
      <w:pPr>
        <w:ind w:left="680"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repurchase of our equity securities or adoption of any share repurchase plan;</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capital expenditures in an aggregate amount greater than $10.0 million in any fiscal year;</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listing of any securities on any securities exchange;</w:t>
      </w:r>
    </w:p>
    <w:p>
      <w:pPr>
        <w:spacing w:after="0" w:line="3" w:lineRule="exact"/>
        <w:rPr>
          <w:rFonts w:ascii="Times New Roman" w:cs="Times New Roman" w:eastAsia="Times New Roman" w:hAnsi="Times New Roman"/>
          <w:sz w:val="15"/>
          <w:szCs w:val="15"/>
          <w:color w:val="auto"/>
        </w:rPr>
      </w:pPr>
    </w:p>
    <w:p>
      <w:pPr>
        <w:ind w:left="680" w:right="59" w:hanging="413"/>
        <w:spacing w:after="0" w:line="230" w:lineRule="auto"/>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appointment and / or removal of independent auditors or any material change in our accounting policies and principles or internal control procedures;</w:t>
      </w:r>
    </w:p>
    <w:p>
      <w:pPr>
        <w:ind w:left="680"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bankruptcy, liquidation, dissolution, winding up or similar event or action;</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any change of our principal lines of business, entry into new lines of business, or exit from the current lines of business;</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amendment, modification or repeal of any provision of our or our subsidiaries’ organizational documents; and</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2"/>
        </w:numPr>
        <w:rPr>
          <w:rFonts w:ascii="Times New Roman" w:cs="Times New Roman" w:eastAsia="Times New Roman" w:hAnsi="Times New Roman"/>
          <w:sz w:val="15"/>
          <w:szCs w:val="15"/>
          <w:color w:val="auto"/>
        </w:rPr>
      </w:pPr>
      <w:r>
        <w:rPr>
          <w:rFonts w:ascii="Arial" w:cs="Arial" w:eastAsia="Arial" w:hAnsi="Arial"/>
          <w:sz w:val="15"/>
          <w:szCs w:val="15"/>
          <w:color w:val="auto"/>
        </w:rPr>
        <w:t>commencement or settlement of any material litigation.</w:t>
      </w:r>
    </w:p>
    <w:p>
      <w:pPr>
        <w:spacing w:after="0" w:line="167"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Stockholder’s Agreement further provides that, to the fullest extent permitted by law and subject to section 97 of the Companies Act and our Bye-laws:</w:t>
      </w:r>
    </w:p>
    <w:p>
      <w:pPr>
        <w:spacing w:after="0" w:line="135" w:lineRule="exact"/>
        <w:rPr>
          <w:sz w:val="20"/>
          <w:szCs w:val="20"/>
          <w:color w:val="auto"/>
        </w:rPr>
      </w:pPr>
    </w:p>
    <w:p>
      <w:pPr>
        <w:jc w:val="both"/>
        <w:ind w:left="680" w:right="59" w:hanging="413"/>
        <w:spacing w:after="0" w:line="237" w:lineRule="auto"/>
        <w:tabs>
          <w:tab w:leader="none" w:pos="68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TRGI and its partners, principals, directors, officers, members, managers, agents, employees and / or other representatives may directly or indirectly engage in the same or similar business activities or lines of business as us or any of our subsidiaries, including those lines of business deemed to be competing with us or any of our subsidiaries;</w:t>
      </w:r>
    </w:p>
    <w:p>
      <w:pPr>
        <w:ind w:left="680" w:right="59" w:hanging="413"/>
        <w:spacing w:after="0" w:line="230" w:lineRule="auto"/>
        <w:tabs>
          <w:tab w:leader="none" w:pos="68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TRGI, its affiliates and their respective partners, principals, directors, officers, members, managers, agents, employees and / or other representatives may do business with any of our potential or actual customers or suppliers;</w:t>
      </w:r>
    </w:p>
    <w:p>
      <w:pPr>
        <w:ind w:left="680" w:right="59" w:hanging="413"/>
        <w:spacing w:after="0" w:line="230" w:lineRule="auto"/>
        <w:tabs>
          <w:tab w:leader="none" w:pos="68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TRGI, its affiliates and their respective partners, principals, directors, officers, members, managers, agents, employees and / or other representatives may employ or otherwise engage any of our officers or employees; and</w:t>
      </w:r>
    </w:p>
    <w:p>
      <w:pPr>
        <w:ind w:left="680" w:right="59" w:hanging="413"/>
        <w:spacing w:after="0" w:line="239" w:lineRule="auto"/>
        <w:tabs>
          <w:tab w:leader="none" w:pos="68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none of TRGI, its affiliates or their respective partners, principals, directors, officers, members, managers, agents, employees and / or other representatives shall have any duty to communicate or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80" w:right="59"/>
        <w:spacing w:after="0" w:line="237" w:lineRule="auto"/>
        <w:rPr>
          <w:sz w:val="20"/>
          <w:szCs w:val="20"/>
          <w:color w:val="auto"/>
        </w:rPr>
      </w:pPr>
      <w:r>
        <w:rPr>
          <w:rFonts w:ascii="Arial" w:cs="Arial" w:eastAsia="Arial" w:hAnsi="Arial"/>
          <w:sz w:val="15"/>
          <w:szCs w:val="15"/>
          <w:color w:val="auto"/>
        </w:rPr>
        <w:t>offer any business opportunity that may be presented to TRGI or those other persons to us or shall be liable to us or any of our stockholders for breach of any fiduciary or other duty by reason of the fact that TRGI or such persons pursues that business opportunity, directs that business opportunity to another person or fails to present that business opportunity, or information regarding that business opportunity to us unless, in the case of any such person who is a director or officer of ours, that business opportunity is expressly offered to that director or officer in writing solely in his or her capacity as our director or officer.</w:t>
      </w:r>
    </w:p>
    <w:p>
      <w:pPr>
        <w:spacing w:after="0" w:line="150" w:lineRule="exact"/>
        <w:rPr>
          <w:sz w:val="20"/>
          <w:szCs w:val="20"/>
          <w:color w:val="auto"/>
        </w:rPr>
      </w:pPr>
    </w:p>
    <w:p>
      <w:pPr>
        <w:jc w:val="both"/>
        <w:ind w:left="40" w:right="39"/>
        <w:spacing w:after="0" w:line="259" w:lineRule="auto"/>
        <w:rPr>
          <w:sz w:val="20"/>
          <w:szCs w:val="20"/>
          <w:color w:val="auto"/>
        </w:rPr>
      </w:pPr>
      <w:r>
        <w:rPr>
          <w:rFonts w:ascii="Arial" w:cs="Arial" w:eastAsia="Arial" w:hAnsi="Arial"/>
          <w:sz w:val="14"/>
          <w:szCs w:val="14"/>
          <w:color w:val="auto"/>
        </w:rPr>
        <w:t>In addition, the Stockholder’s Agreement allows TRGI to disclose non-public information concerning us to existing and potential investors in TRGI or its affiliates, potential transferees of TRGI’s equity interest in our parent company, potential participants in future transactions involving TRGI or its affiliates and other parties that TRGI deems reasonably necessary in connection with the conduct of its TRGI’s investment and business activities, subject to any such recipient agreeing to keep that information confidential. The Stockholder’s Agreement remains in effect until TRGI ceases to own 10% or more of all shares issued by us (determined on an as-converted basis).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Registration Rights Agreements</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On September 15, 2017, we entered into a registration rights agreement whereby we granted certain registration rights to TRGI, including the right, under certain circumstances and subject to certain restrictions, to require us to register under the Securities Act, our common shares held by them. In addition, we have committed to file as promptly as possible after receiving a request from TRGI a shelf registration statement registering secondary sales of our common shares held by TRGI. TRGI also has the ability to exercise certain piggyback registration rights in respect of common shares held by it in connection with registered offerings requested by other holders of registration rights or initiated by us.</w:t>
      </w:r>
    </w:p>
    <w:p>
      <w:pPr>
        <w:spacing w:after="0" w:line="15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Amazon is entitled to customary shelf and piggy-back registration rights with respect to the shares issued upon exercise of the Amazon Warrant.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Limitations of Liability and Indemnification Matters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We entered into indemnification agreements with each of our current directors and executive officers. These agreements require us to indemnify these individuals to the fullest extent permitted under Bermuda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Policies and Procedures With Respect to Related Party Transactions</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have policies and procedures whereby our Audit Committee is responsible for reviewing and approving related party transactions. In addition, our Code of Ethics requires that all of our employees and directors inform us of any material transaction or relationship that comes to their attention that could reasonably be expected to create a conflict of interest, subject to the provisions of the Stockholders’ Agreement (as described above). Further, at least annually, each director and executive officer will complete a detailed questionnaire that asks questions about any business relationship that may give rise to a conflict of interest and all transactions in which we are involved and in which the executive officer, a director or a related person has a direct or indirect material interest.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Licensing and Sublicensing Agreements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License of Clearview Software</w:t>
      </w:r>
    </w:p>
    <w:p>
      <w:pPr>
        <w:spacing w:after="0" w:line="16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iSky, Inc. and TRG Holdings LLC are party to a license agreement dated as of July 1, 2014 under which TRG Holdings has purchased 900 access licenses to iSky’s Clearview software for a fee of $1.8 million.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Software Services Agreement with Afiniti</w:t>
      </w:r>
    </w:p>
    <w:p>
      <w:pPr>
        <w:spacing w:after="0" w:line="16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Pursuant to a Standard Terms and Conditions agreement and Commercial Schedule, each dated November 14, 2017, between our subsidiary Ibex Global Solutions, Inc. f/k/a TRG Customer Solutions, Inc. dba IBEX Global Solutions and SATMAP Incorporated dba Afiniti, Inc., Afiniti Inc. may provide certain intelligent call routing services to IBEX Global Solutions in exchange for a fee equal to $1,800 per supported call center seat per year for up to 2,000 call center seats. Under these agreements, IBEX Global Solutions had a prepayment credit with Afiniti Inc. equal to $1.1 million as of June 30, 2022.</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Sublease of Office Space</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Pursuant to an agreement dated December 15, 2021, Ibex Global Solutions, Inc. and TRG Holdings LLC have agreed to sublease and share office space in Washington, D.C. leased by Ibex Global Solutions, Inc. The term of the sublease ends on October 31, 2024. The lease amount payable by TRG Holdings LLC under this sublease is $12,203 per month, commencing on November 1, 2022, plus fifty percent (50%) of all operating expenses, real estate taxes and any additional charges as such are defined in the master lease.</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Pursuant to an agreement dated June 30, 2018, Ibex Global Solutions, Inc. f/k/a TRG Customer Solutions, Inc. and iSky, Inc. agreed to sublease office space in Washington, D.C. leased by TRG Holdings, LLC. On July 1, 2018, iSky, Inc. exercised its right to terminate the sub-lease agreement and effectively Ibex Global Solutions, Inc. became the sole sub-lessee. The lease amount payable under this sublease is $26,616 per month with nominal increases that go into effect as of July 1, 2020 and thereafter. The lease was terminated effective June 30, 2021.</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Participation in Health and Welfare Plans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Our subsidiary Ibex Global Solutions, Inc. f/k/a TRG Customer Solutions, Inc. and its affiliate TRG Holdings LLC are parties to a Third Party Services Agreement dated April 1, 2013 whereby employees of TRG Holdings LLC and its affiliates are permitted to participate in the health, dental, and life insurance plans offered by Ibex Global Solutions, Inc. to its employees. TRG Holdings LLC is obligated to indemnify Ibex Global Solutions, Inc. for any claims arising out of the participation in such plans by employees of TRG Holdings and its affiliates.</w:t>
      </w:r>
    </w:p>
    <w:p>
      <w:pPr>
        <w:spacing w:after="0" w:line="151"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4"/>
          <w:szCs w:val="14"/>
          <w:b w:val="1"/>
          <w:bCs w:val="1"/>
          <w:color w:val="auto"/>
        </w:rPr>
        <w:t>FINANCIAL INFORMATION</w:t>
      </w:r>
    </w:p>
    <w:p>
      <w:pPr>
        <w:spacing w:after="0" w:line="170" w:lineRule="exact"/>
        <w:rPr>
          <w:sz w:val="20"/>
          <w:szCs w:val="20"/>
          <w:color w:val="auto"/>
        </w:rPr>
      </w:pPr>
    </w:p>
    <w:p>
      <w:pPr>
        <w:ind w:left="40" w:right="4679" w:hanging="5"/>
        <w:spacing w:after="0" w:line="477" w:lineRule="auto"/>
        <w:tabs>
          <w:tab w:leader="none" w:pos="31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Consolidated Statements and Other Financial Information Consolidated Financial Statements</w:t>
      </w:r>
    </w:p>
    <w:p>
      <w:pPr>
        <w:ind w:left="40"/>
        <w:spacing w:after="0"/>
        <w:rPr>
          <w:sz w:val="20"/>
          <w:szCs w:val="20"/>
          <w:color w:val="auto"/>
        </w:rPr>
      </w:pPr>
      <w:r>
        <w:rPr>
          <w:rFonts w:ascii="Arial" w:cs="Arial" w:eastAsia="Arial" w:hAnsi="Arial"/>
          <w:sz w:val="15"/>
          <w:szCs w:val="15"/>
          <w:color w:val="auto"/>
        </w:rPr>
        <w:t>Our audited consolidated financial statements are included at the end of this annual report, starting at page F-1.</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Legal Proceedings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are subject to various claims and legal actions in the ordinary course of business. We are currently of the opinion that these claims and legal actions will not have a material adverse impact on our consolidated position and / or the results of our operations.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Dividend Distribution Policy</w:t>
      </w:r>
    </w:p>
    <w:p>
      <w:pPr>
        <w:spacing w:after="0" w:line="170"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We currently do not plan to declare dividends on our common shares in the foreseeable future. We currently intend to retain all of our future earnings, if any, to finance the growth and development of our business. The payment of dividends, if any, would be at the discretion of our board of directors and would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  Significant Changes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are not aware of any significant changes other than what has been discussed in other parts of this annual report. Please refer to Note 30 of our audited consolidated financial statements beginning on page F-1 for a discussion of subsequent events.</w:t>
      </w:r>
    </w:p>
    <w:p>
      <w:pPr>
        <w:spacing w:after="0" w:line="135"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4"/>
          <w:szCs w:val="14"/>
          <w:b w:val="1"/>
          <w:bCs w:val="1"/>
          <w:color w:val="auto"/>
        </w:rPr>
        <w:t>THE OFFER AND LISTING</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  Offer and Listing Details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Our common shares are currently listed on the Nasdaq Global Market under the symbol “IBEX”.</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  Plan of Distribution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  Markets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Our common shares began trading on the Nasdaq Global Market under the symbol “IBEX” on August 7, 2020.</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  Selling Shareholders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r>
        <w:rPr>
          <w:rFonts w:ascii="Arial" w:cs="Arial" w:eastAsia="Arial" w:hAnsi="Arial"/>
          <w:sz w:val="15"/>
          <w:szCs w:val="15"/>
          <w:b w:val="1"/>
          <w:bCs w:val="1"/>
          <w:color w:val="auto"/>
        </w:rPr>
        <w: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  Dilution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  Expenses of the Issue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10.  ADDITIONAL INFORMATION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  Share Capital</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  Memorandum and Articles of Association</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 information set forth in our Registration Statement on Form F-1 (File No. 333-239821), as amended, originally filed with the SEC on July 10, 2020 and declared effective by the SEC on August 6, 2020, under the headings “Description of Share Capital” is incorporated herein by reference.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  Material Contracts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On August 6, 2020, we, along with TGRI, entered into an underwriting agreement with Citigroup Global Markets Inc. and RBC Capital Markets, LLC as representatives of the several underwriters named therein, with respect to the primary and secondary offering of our common shares sold in our initial public offering. We have agreed to indemnify the underwriters against certain liabilities, including liabilities under the Securities Act.</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“Item 4. Information on the Company—History and development of the company,” “Item 5. Operating and Financial Review and Prospects— Liquidity and Capital Resources—Financing Arrangements,” “Item 6.</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Directors, Senior Management and Employees—Compensation,” and “Item 7B. Related-Party Transactions” are incorporated herein by reference.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  Exchange Controls</w:t>
      </w:r>
    </w:p>
    <w:p>
      <w:pPr>
        <w:spacing w:after="0" w:line="170"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4"/>
          <w:szCs w:val="14"/>
          <w:color w:val="auto"/>
        </w:rPr>
        <w:t>We have been designated by the BMA as a non-resident for Bermuda exchange control purposes. This designation allows us to engage in transactions in currencies other than the Bermuda dollar, and there are no restrictions on our ability to transfer funds (other than funds denominated in Bermuda dollars) in and out of Bermuda or to pay dividends to U.S. residents who are holders of our common shares.</w:t>
      </w:r>
    </w:p>
    <w:p>
      <w:pPr>
        <w:spacing w:after="0" w:line="129"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BMA has pursuant to its statement of June 1, 2005 given its general permission under the Bermuda Exchange Control Act 1972 (and its related regulations) for the issue and transfer of our common shares to and between non-residents of Bermuda for exchange control purposes, provided our common shares are listed on the Nasdaq Global Market, or any other appointed stock exchange. This general permission would cease to apply if our common shares were to cease to be so listed and in such event specific permission would be required from the BMA for all issues and transfers of our common shares subject to certain exceptions set out in the BMA statement of June 1, 2005.</w:t>
      </w:r>
    </w:p>
    <w:p>
      <w:pPr>
        <w:spacing w:after="0" w:line="15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Accordingly, in giving such consent or permissions, neither the BMA nor the Registrar of Companies in Bermuda shall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BMA.</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  Taxation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MATERIAL U.S. AND BERMUDA INCOME TAX CONSEQUENCES</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following discussion is a description of the material Bermuda and U.S. federal income tax consequences of an investment in our common shares. This discussion is not exhaustive of all possible tax considerations. In particular, this discussion does not address the tax consequences under state, local, and other national (e.g., non-Bermuda and non-U.S.) tax laws. Accordingly, we urge you to consult your own tax advisor regarding your particular tax circumstances and the tax consequences under state, local, and other national tax laws. The following discussion is based upon laws and relevant interpretations thereof in effect and available as of the date hereof, all of which are subject to change, possibly with retroactive effect.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Bermuda Tax Consequences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following is a discussion of the material Bermuda tax consequences of an investment in our common shares. The following discussion is not exhaustive of all possible tax considerations. We urge you to consult your own tax advisor regarding your particular tax circumstances.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Taxation of the Companies</w:t>
      </w:r>
    </w:p>
    <w:p>
      <w:pPr>
        <w:spacing w:after="0" w:line="16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At the present time, there is no Bermuda income or profits tax, withholding tax, capital gains tax, capital transfer tax, estate duty or inheritance tax payable by us or by our shareholders in respect of our shares. We have received from the Minister of Finance of Bermuda under The Exempted Undertaking Tax Protection Act 1966, as amended, an assurance that, in the event that Bermuda enacts legislation imposing tax computed on profits,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income, any capital asset, gain or appreciation, or any tax in the nature of estate duty or inheritance, the imposition of any such tax shall not be applicable to us or to any of our operations or shares, debentures or other obligations, until March 31, 2035. The assurance does not exempt us from paying import duty on goods imported into Bermuda. In addition, all entities employing individuals in Bermuda are required to pay a payroll tax and there are other sundry taxes payable, directly or indirectly, to the Bermuda government. We and our subsidiaries incorporated in Bermuda pay annual government fees to the Bermuda government.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Taxation of Holders</w:t>
      </w:r>
    </w:p>
    <w:p>
      <w:pPr>
        <w:spacing w:after="0" w:line="16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Currently, there is no Bermuda income or profits tax, withholding tax, capital gains tax, capital transfer tax, estate duty or inheritance tax payable by our shareholders in respect of our common shares. The issue, transfer, or redemption of our common shares is not currently subject to stamp duty.</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U.S. Federal Income Tax Consequences</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following discussion of the material U.S. federal income tax consequences of the acquisition, ownership and disposition of our common shares is based upon current law and does not purport to be a comprehensive discussion of all the tax considerations that may be relevant to a decision to purchase our common shares. This summary is based on current provisions of the Internal Revenue Code of 1986, as amended, or the Code, existing, final, temporary and proposed U.S. Treasury Regulations, administrative rulings and judicial decisions, in each case, in effect and available on the date of this annual report. All of the foregoing are subject to change, which change could apply retroactively and could affect the tax consequences described below.</w:t>
      </w:r>
    </w:p>
    <w:p>
      <w:pPr>
        <w:spacing w:after="0" w:line="15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 xml:space="preserve">This section describes the material U.S. federal income tax consequences to U.S. holders, as defined below, of common shares. This discussion addresses only the U.S. federal income tax considerations for U.S. holders that acquire the common shares at their original issuance and hold the common shares as capital assets. This summary does not address all U.S. federal income tax matters that may be relevant to a particular U.S. holder. </w:t>
      </w:r>
      <w:r>
        <w:rPr>
          <w:rFonts w:ascii="Arial" w:cs="Arial" w:eastAsia="Arial" w:hAnsi="Arial"/>
          <w:sz w:val="15"/>
          <w:szCs w:val="15"/>
          <w:b w:val="1"/>
          <w:bCs w:val="1"/>
          <w:color w:val="auto"/>
        </w:rPr>
        <w:t>Each prospective investor should consult a professional tax advisor with respect to the tax</w:t>
      </w:r>
      <w:r>
        <w:rPr>
          <w:rFonts w:ascii="Arial" w:cs="Arial" w:eastAsia="Arial" w:hAnsi="Arial"/>
          <w:sz w:val="15"/>
          <w:szCs w:val="15"/>
          <w:color w:val="auto"/>
        </w:rPr>
        <w:t xml:space="preserve"> </w:t>
      </w:r>
      <w:r>
        <w:rPr>
          <w:rFonts w:ascii="Arial" w:cs="Arial" w:eastAsia="Arial" w:hAnsi="Arial"/>
          <w:sz w:val="15"/>
          <w:szCs w:val="15"/>
          <w:b w:val="1"/>
          <w:bCs w:val="1"/>
          <w:color w:val="auto"/>
        </w:rPr>
        <w:t>consequences of the acquisition, ownership or disposition of the common shares</w:t>
      </w:r>
      <w:r>
        <w:rPr>
          <w:rFonts w:ascii="Arial" w:cs="Arial" w:eastAsia="Arial" w:hAnsi="Arial"/>
          <w:sz w:val="15"/>
          <w:szCs w:val="15"/>
          <w:color w:val="auto"/>
        </w:rPr>
        <w:t>. This summary does not address tax</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considerations applicable to a holder of common shares that may be subject to special tax rules including, without limitation, the following:</w:t>
      </w:r>
    </w:p>
    <w:p>
      <w:pPr>
        <w:spacing w:after="0" w:line="151" w:lineRule="exact"/>
        <w:rPr>
          <w:sz w:val="20"/>
          <w:szCs w:val="20"/>
          <w:color w:val="auto"/>
        </w:rPr>
      </w:pP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certain financial institutions;</w:t>
      </w:r>
    </w:p>
    <w:p>
      <w:pPr>
        <w:spacing w:after="0" w:line="17"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insurance companies;</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dealers or traders in securities, currencies, or notional principal contracts;</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tax-exempt entities;</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regulated investment companies or real estate investment trusts;</w:t>
      </w:r>
    </w:p>
    <w:p>
      <w:pPr>
        <w:spacing w:after="0" w:line="3" w:lineRule="exact"/>
        <w:rPr>
          <w:rFonts w:ascii="Times New Roman" w:cs="Times New Roman" w:eastAsia="Times New Roman" w:hAnsi="Times New Roman"/>
          <w:sz w:val="15"/>
          <w:szCs w:val="15"/>
          <w:color w:val="auto"/>
        </w:rPr>
      </w:pPr>
    </w:p>
    <w:p>
      <w:pPr>
        <w:ind w:left="680" w:right="59" w:hanging="413"/>
        <w:spacing w:after="0" w:line="230" w:lineRule="auto"/>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persons that hold the common shares as part of a hedge, straddle, conversion, constructive sale or similar transaction involving more than one position;</w:t>
      </w:r>
    </w:p>
    <w:p>
      <w:pPr>
        <w:ind w:left="680" w:right="59" w:hanging="413"/>
        <w:spacing w:after="0" w:line="230" w:lineRule="auto"/>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an entity classified as a partnership and persons that hold the common shares through partnerships or certain other pass-through entities;</w:t>
      </w:r>
    </w:p>
    <w:p>
      <w:pPr>
        <w:ind w:left="680" w:right="59" w:hanging="413"/>
        <w:spacing w:after="0" w:line="230" w:lineRule="auto"/>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certain holders (whether individuals, corporations or partnerships) that are treated as expatriates for some or all U.S. federal income tax purposes;</w:t>
      </w: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persons who acquired the common shares as compensation for the performance of services;</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persons holding the common shares in connection with a trade or business conducted outside of the U.S.;</w:t>
      </w:r>
    </w:p>
    <w:p>
      <w:pPr>
        <w:spacing w:after="0" w:line="3" w:lineRule="exact"/>
        <w:rPr>
          <w:rFonts w:ascii="Times New Roman" w:cs="Times New Roman" w:eastAsia="Times New Roman" w:hAnsi="Times New Roman"/>
          <w:sz w:val="15"/>
          <w:szCs w:val="15"/>
          <w:color w:val="auto"/>
        </w:rPr>
      </w:pPr>
    </w:p>
    <w:p>
      <w:pPr>
        <w:ind w:left="680" w:right="59" w:hanging="413"/>
        <w:spacing w:after="0" w:line="230" w:lineRule="auto"/>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a U.S. holder who holds the common shares through a financial account at a foreign financial institution that does not meet the requirements for avoiding withholding with respect to certain payments under Sections 1471 through 1474 of the Code;</w:t>
      </w: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holders that own (or are deemed to own) 10% or more of our shares by vote or value; and</w:t>
      </w:r>
    </w:p>
    <w:p>
      <w:pPr>
        <w:spacing w:after="0" w:line="3" w:lineRule="exact"/>
        <w:rPr>
          <w:rFonts w:ascii="Times New Roman" w:cs="Times New Roman" w:eastAsia="Times New Roman" w:hAnsi="Times New Roman"/>
          <w:sz w:val="15"/>
          <w:szCs w:val="15"/>
          <w:color w:val="auto"/>
        </w:rPr>
      </w:pPr>
    </w:p>
    <w:p>
      <w:pPr>
        <w:ind w:left="680" w:hanging="413"/>
        <w:spacing w:after="0"/>
        <w:tabs>
          <w:tab w:leader="none" w:pos="680" w:val="left"/>
        </w:tabs>
        <w:numPr>
          <w:ilvl w:val="0"/>
          <w:numId w:val="55"/>
        </w:numPr>
        <w:rPr>
          <w:rFonts w:ascii="Times New Roman" w:cs="Times New Roman" w:eastAsia="Times New Roman" w:hAnsi="Times New Roman"/>
          <w:sz w:val="15"/>
          <w:szCs w:val="15"/>
          <w:color w:val="auto"/>
        </w:rPr>
      </w:pPr>
      <w:r>
        <w:rPr>
          <w:rFonts w:ascii="Arial" w:cs="Arial" w:eastAsia="Arial" w:hAnsi="Arial"/>
          <w:sz w:val="15"/>
          <w:szCs w:val="15"/>
          <w:color w:val="auto"/>
        </w:rPr>
        <w:t>holders that have a “functional currency” other than the U.S. dollar.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Further, this discussion does not address alternative minimum, gift or estate tax consequences or the indirect effects on the holders of equity interests in entities that own our common shares. In addition, this discussion does not consider the U.S. tax consequences to holders of common shares that are not “U.S. holders” (as defined below).</w:t>
      </w:r>
    </w:p>
    <w:p>
      <w:pPr>
        <w:spacing w:after="0" w:line="146"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For the purposes of this discussion, a “U.S. holder” is a beneficial owner of common shares that is (or is treated as), for U.S. federal income tax purposes:</w:t>
      </w:r>
    </w:p>
    <w:p>
      <w:pPr>
        <w:spacing w:after="0" w:line="135" w:lineRule="exact"/>
        <w:rPr>
          <w:sz w:val="20"/>
          <w:szCs w:val="20"/>
          <w:color w:val="auto"/>
        </w:rPr>
      </w:pPr>
    </w:p>
    <w:p>
      <w:pPr>
        <w:ind w:left="680" w:hanging="413"/>
        <w:spacing w:after="0"/>
        <w:tabs>
          <w:tab w:leader="none" w:pos="68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5"/>
          <w:szCs w:val="15"/>
          <w:color w:val="auto"/>
        </w:rPr>
        <w:t>an individual who is either a citizen or resident of the U.S.;</w:t>
      </w:r>
    </w:p>
    <w:p>
      <w:pPr>
        <w:spacing w:after="0" w:line="17" w:lineRule="exact"/>
        <w:rPr>
          <w:rFonts w:ascii="Times New Roman" w:cs="Times New Roman" w:eastAsia="Times New Roman" w:hAnsi="Times New Roman"/>
          <w:sz w:val="15"/>
          <w:szCs w:val="15"/>
          <w:color w:val="auto"/>
        </w:rPr>
      </w:pPr>
    </w:p>
    <w:p>
      <w:pPr>
        <w:ind w:left="680" w:right="59" w:hanging="413"/>
        <w:spacing w:after="0" w:line="230" w:lineRule="auto"/>
        <w:tabs>
          <w:tab w:leader="none" w:pos="68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5"/>
          <w:szCs w:val="15"/>
          <w:color w:val="auto"/>
        </w:rPr>
        <w:t>a corporation, or other entity that is treated as a corporation for U.S. federal income tax purposes, created or organized in or under the laws of the U.S. or any state of the U.S. or the District of Columbia;</w:t>
      </w:r>
    </w:p>
    <w:p>
      <w:pPr>
        <w:ind w:left="680" w:hanging="413"/>
        <w:spacing w:after="0"/>
        <w:tabs>
          <w:tab w:leader="none" w:pos="68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5"/>
          <w:szCs w:val="15"/>
          <w:color w:val="auto"/>
        </w:rPr>
        <w:t>an estate, the income of which is subject to U.S. federal income taxation regardless of its source; or</w:t>
      </w:r>
    </w:p>
    <w:p>
      <w:pPr>
        <w:spacing w:after="0" w:line="3" w:lineRule="exact"/>
        <w:rPr>
          <w:rFonts w:ascii="Times New Roman" w:cs="Times New Roman" w:eastAsia="Times New Roman" w:hAnsi="Times New Roman"/>
          <w:sz w:val="15"/>
          <w:szCs w:val="15"/>
          <w:color w:val="auto"/>
        </w:rPr>
      </w:pPr>
    </w:p>
    <w:p>
      <w:pPr>
        <w:jc w:val="both"/>
        <w:ind w:left="680" w:right="59" w:hanging="413"/>
        <w:spacing w:after="0" w:line="236" w:lineRule="auto"/>
        <w:tabs>
          <w:tab w:leader="none" w:pos="68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5"/>
          <w:szCs w:val="15"/>
          <w:color w:val="auto"/>
        </w:rPr>
        <w:t>a trust, if a court within the United States is able to exercise primary supervision over its administration and one or more U.S. persons have the authority to control all of the substantial decisions of such trust or the trust has a valid election in effect under applicable U.S. Treasury Regulations to be treated as a U.S. person within the meaning of the Code.</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If a partnership holds common shares, the tax treatment of a partner and such partnership will generally depend upon the status of the partner and upon the activities of the partnership.</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We will not seek a ruling from the U.S. Internal Revenue Service (“IRS”) with regard to the U.S. federal income tax treatment of an investment in our common shares, and we cannot assure you that that the IRS will agree with the conclusions set forth below.</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Distributions</w:t>
      </w:r>
    </w:p>
    <w:p>
      <w:pPr>
        <w:spacing w:after="0" w:line="168"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Subject to the discussion under “</w:t>
      </w:r>
      <w:r>
        <w:rPr>
          <w:rFonts w:ascii="Arial" w:cs="Arial" w:eastAsia="Arial" w:hAnsi="Arial"/>
          <w:sz w:val="15"/>
          <w:szCs w:val="15"/>
          <w:i w:val="1"/>
          <w:iCs w:val="1"/>
          <w:color w:val="auto"/>
        </w:rPr>
        <w:t>Passive Foreign Investment Company Considerations</w:t>
      </w:r>
      <w:r>
        <w:rPr>
          <w:rFonts w:ascii="Arial" w:cs="Arial" w:eastAsia="Arial" w:hAnsi="Arial"/>
          <w:sz w:val="15"/>
          <w:szCs w:val="15"/>
          <w:color w:val="auto"/>
        </w:rPr>
        <w:t>” below, the gross amount of any distribution actually or constructively received by a U.S. holder with respect to common shares will be taxable to the U.S. holder as a dividend to the extent of such U.S. holder’s pro rata share of our current and accumulated earnings and profits as determined under U.S. federal income tax principles. Distributions in excess of such pro rata share of our earnings and profits will be non-taxable to the U.S. holder to the extent of, and will be applied against and reduce, the U.S. holder’s adjusted tax basis in the common shares. Distributions in excess of the sum of such pro rata share of our earnings and profits and such adjusted tax basis will generally be taxable to the U.S. holder as capital gain from the sale or exchange of property.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The amount of any distribution of property other than cash will be the fair market value of that property on the date of distribution. A corporate U.S. holder will not be eligible for any dividends-received deduction in respect of a dividend received with respect to our common shares.</w:t>
      </w:r>
    </w:p>
    <w:p>
      <w:pPr>
        <w:spacing w:after="0" w:line="152" w:lineRule="exact"/>
        <w:rPr>
          <w:sz w:val="20"/>
          <w:szCs w:val="20"/>
          <w:color w:val="auto"/>
        </w:rPr>
      </w:pPr>
    </w:p>
    <w:p>
      <w:pPr>
        <w:jc w:val="both"/>
        <w:ind w:left="40" w:right="59"/>
        <w:spacing w:after="0" w:line="235" w:lineRule="auto"/>
        <w:rPr>
          <w:sz w:val="20"/>
          <w:szCs w:val="20"/>
          <w:color w:val="auto"/>
        </w:rPr>
      </w:pPr>
      <w:r>
        <w:rPr>
          <w:rFonts w:ascii="Arial" w:cs="Arial" w:eastAsia="Arial" w:hAnsi="Arial"/>
          <w:sz w:val="15"/>
          <w:szCs w:val="15"/>
          <w:color w:val="auto"/>
        </w:rPr>
        <w:t>While we do not currently plan to pay any dividends, the currency of any dividends that we may pay is subject to future determination. If we pay any such dividends in a currency other than U.S. dollars (a “foreign currency”), the amount of a distribution paid to a U.S. holder in a foreign currency will be the U.S. dollar value of the foreign currency calculated by reference to the spot exchange rate on the day the U.S. holder actually or constructively receives the distribution,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actually or constructively received, a U.S. holder should not be required to recognize foreign currency gain or loss in respect of the dividend.</w:t>
      </w:r>
    </w:p>
    <w:p>
      <w:pPr>
        <w:spacing w:after="0" w:line="15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Under the Code and subject to the discussion below under “Medicare Tax,” qualified dividends received by non-corporate U.S. holders (</w:t>
      </w:r>
      <w:r>
        <w:rPr>
          <w:rFonts w:ascii="Arial" w:cs="Arial" w:eastAsia="Arial" w:hAnsi="Arial"/>
          <w:sz w:val="15"/>
          <w:szCs w:val="15"/>
          <w:i w:val="1"/>
          <w:iCs w:val="1"/>
          <w:color w:val="auto"/>
        </w:rPr>
        <w:t>i.e.,</w:t>
      </w:r>
      <w:r>
        <w:rPr>
          <w:rFonts w:ascii="Arial" w:cs="Arial" w:eastAsia="Arial" w:hAnsi="Arial"/>
          <w:sz w:val="15"/>
          <w:szCs w:val="15"/>
          <w:color w:val="auto"/>
        </w:rPr>
        <w:t xml:space="preserve"> individuals and certain trusts and estates) are currently subject to a maximum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income tax rate of 20%. This reduced income tax rate is applicable to dividends paid by “qualified foreign corporations” to such non-corporate U.S. holders that meet the applicable requirements, including a minimum holding period (generally, at least 61 days without protection from the risk of loss during the 121-day period beginning 60 days before the ex-dividend date). A non-U.S. corporation (other than a corporation that is classified as a passive foreign investment company (“PFIC”) for the taxable year in which the dividend is paid or the preceding taxable year) generally will be considered to be a qualified foreign corporation: (a) if it is eligible for the benefits of a comprehensive tax treaty with the U.S. which the Secretary of the Treasury of the U.S. determines is satisfactory for purposes of this provision and which includes an exchange of information provision; or (b) with respect to any dividend it pays on shares of stock which are readily tradable on an established securities market in the U.S. Our common shares are listed on the Nasdaq Global Market, which has been determined to be an established securities market in the U.S. Based on the foregoing, we are considered a qualified foreign corporation under the Code. Accordingly, dividends paid by us to non-corporate U.S. holders with respect to shares that meet the minimum holding period and other requirements are expected to be treated as “qualified dividend income.” However, dividends paid by us will not qualify for the 20% maximum U.S. federal income tax rate if we are treated, for the tax year in which the dividends are paid or the preceding tax year, as a PFIC for U.S. federal income tax purposes, as discussed below.</w:t>
      </w:r>
    </w:p>
    <w:p>
      <w:pPr>
        <w:spacing w:after="0" w:line="157"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Dividends received by a U.S. holder with respect to common shares generally will be treated as foreign source income for the purposes of calculating that holder’s foreign tax credit limitation. For this purpose, dividends distributed by us generally will constitute “passive category income” (but, in the case of some U.S. holders, may constitute “general category income”).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Sale or Other Disposition of Common Shares</w:t>
      </w:r>
    </w:p>
    <w:p>
      <w:pPr>
        <w:spacing w:after="0" w:line="168"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A U.S. holder will generally recognize gain or loss for U.S. federal income tax purposes upon the sale or exchange of common shares in an amount equal to the difference between the U.S. dollar value of the amount realized from such sale or exchange and the U.S. holder’s tax basis for those common shares. Subject to the discussion under “Passive Foreign Investment Company Considerations” below, this gain or loss will generally be a capital gain or loss and will generally be treated as from sources within the U.S. Such capital gain or loss will be treated as long-term capital gain or loss if the U.S. holder has held the common shares for more than one year at the time of the sale or exchange. Long-term capital gains of non-corporate holders may be eligible for a preferential tax rate; the deductibility of capital losses is subject to limitations.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Medicare Tax</w:t>
      </w:r>
    </w:p>
    <w:p>
      <w:pPr>
        <w:spacing w:after="0" w:line="16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An additional 3.8% tax (“Medicare Tax”) is imposed on all or a portion of the “net investment income” (which includes taxable dividends and net capital gains, adjusted for deductions properly allocable to such dividends or net capital gains) received by: (i) U.S. holders that are individuals with modified adjusted gross income of over $200,000 ($250,000 in the case of joint filers, $125,000 in the case of married individuals filing separately); and (ii) certain trusts or estates.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Passive Foreign Investment Company Considerations</w:t>
      </w:r>
    </w:p>
    <w:p>
      <w:pPr>
        <w:spacing w:after="0" w:line="168" w:lineRule="exact"/>
        <w:rPr>
          <w:sz w:val="20"/>
          <w:szCs w:val="20"/>
          <w:color w:val="auto"/>
        </w:rPr>
      </w:pPr>
    </w:p>
    <w:p>
      <w:pPr>
        <w:jc w:val="both"/>
        <w:ind w:left="40" w:right="39"/>
        <w:spacing w:after="0" w:line="253" w:lineRule="auto"/>
        <w:rPr>
          <w:sz w:val="20"/>
          <w:szCs w:val="20"/>
          <w:color w:val="auto"/>
        </w:rPr>
      </w:pPr>
      <w:r>
        <w:rPr>
          <w:rFonts w:ascii="Arial" w:cs="Arial" w:eastAsia="Arial" w:hAnsi="Arial"/>
          <w:sz w:val="14"/>
          <w:szCs w:val="14"/>
          <w:color w:val="auto"/>
        </w:rPr>
        <w:t>A corporation organized outside the U.S. generally will be classified as a PFIC for U.S. federal income tax purposes in any taxable year in which, after applying the applicable look-through rules, either: (i) at least 75% of its gross income is passive income, or (ii) on average at least 50% of the gross value of its assets is attributable to assets that produce passive income or are held for the production of passive income. In arriving at this calculation, a pro rata portion of the income and assets of each corporation in which we own, directly or indirectly, at least a 25% interest, as determined by the value of such corporation, must be taken into account. Passive income for this purpose generally includes dividends, interest, royalties, rents and gains from commodities and securities transactions. We believe that we were not a PFIC for any previous taxable year. Based on our estimated gross income, the average value of our gross assets, and the nature of the active businesses conducted by our “25% or greater” owned subsidiaries, we do not believe that we will be classified as a PFIC in the current taxable year and do not expect to become one in any taxable year in the foreseeable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future. However, our status for any taxable year will depend on our assets and activities in each year, and because this is a factual determination made annually after the end of each taxable year, there can be no assurance that we will not be considered a PFIC for the current taxable year or any future taxable year. The market value of our assets may be determined in large part by reference to the market price of our common shares, which is likely to fluctuate (and may fluctuate considerably given that market prices of technology companies have been especially volatile). In addition, the composition of our income and assets will be affected by how, and how quickly, we spend the cash we raised in our initial public offering. If we were a PFIC for any taxable year during which a U.S. holder held common shares, under the “default PFIC regime” (i.e., in the absence of one of the elections described below), gain recognized by the U.S. holder on a sale or other disposition (including a pledge)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resulting tax liability for that taxable year. Similar rules would apply to the extent any distribution in respect of common shares exceeds 125% of the average of the annual distributions on common shares received by a U.S. holder during the preceding three years or the holder’s holding period, whichever is shorter.</w:t>
      </w:r>
    </w:p>
    <w:p>
      <w:pPr>
        <w:spacing w:after="0" w:line="155" w:lineRule="exact"/>
        <w:rPr>
          <w:sz w:val="20"/>
          <w:szCs w:val="20"/>
          <w:color w:val="auto"/>
        </w:rPr>
      </w:pPr>
    </w:p>
    <w:p>
      <w:pPr>
        <w:jc w:val="both"/>
        <w:ind w:left="40" w:right="39"/>
        <w:spacing w:after="0" w:line="249" w:lineRule="auto"/>
        <w:rPr>
          <w:sz w:val="20"/>
          <w:szCs w:val="20"/>
          <w:color w:val="auto"/>
        </w:rPr>
      </w:pPr>
      <w:r>
        <w:rPr>
          <w:rFonts w:ascii="Arial" w:cs="Arial" w:eastAsia="Arial" w:hAnsi="Arial"/>
          <w:sz w:val="14"/>
          <w:szCs w:val="14"/>
          <w:color w:val="auto"/>
        </w:rPr>
        <w:t>In the event we were treated as a PFIC, the tax consequences under the default PFIC regime described above could be avoided by either a “mark-to -market” or “qualified electing fund,” or QEF, election. A U.S. holder making a mark-to-market election (if the eligibility requirements for such an election were satisfied) generally would not be subject to the PFIC rules discussed above, except with respect to any portion of the holder’s holding period that preceded the effective date of the election. Instead, the electing holder would include in ordinary income, for each taxable year in which we were a PFIC, an amount equal to any excess of (a) the fair market value of the common shares as of the close of such taxable year over (b) the electing holder’s adjusted tax basis in such common shares. In addition, an electing holder would be allowed a deduction in an amount equal to the lesser of: (a) the excess, if any, of (i) the electing holder’s adjusted tax basis in the common shares over (ii) the fair market value of such common shares as of the close of such taxable year; or</w:t>
      </w:r>
    </w:p>
    <w:p>
      <w:pPr>
        <w:spacing w:after="0" w:line="5" w:lineRule="exact"/>
        <w:rPr>
          <w:sz w:val="20"/>
          <w:szCs w:val="20"/>
          <w:color w:val="auto"/>
        </w:rPr>
      </w:pPr>
    </w:p>
    <w:p>
      <w:pPr>
        <w:jc w:val="both"/>
        <w:ind w:left="40" w:right="39" w:hanging="5"/>
        <w:spacing w:after="0" w:line="233" w:lineRule="auto"/>
        <w:tabs>
          <w:tab w:leader="none" w:pos="272"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excess, if any, of (i) the amount included in ordinary income because of the election for prior taxable years over (ii) the amount allowed as a deduction because of the election for prior taxable years. The election would cause adjustments in the electing holder’s tax basis in the common shares to reflect the amount included in gross income or allowed as a deduction because of the election. In addition, upon a sale or other taxable disposition of common shares, an electing holder would recognize ordinary income or loss (not to exceed the excess, if any, of (a) the amount included in ordinary income because of the election for prior taxable years over (b) the amount allowed as a deduction because of the election for prior taxable years).</w:t>
      </w:r>
    </w:p>
    <w:p>
      <w:pPr>
        <w:spacing w:after="0" w:line="154"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Alternatively, a U.S. holder making a valid and timely QEF election generally would not be subject to the default PFIC regime discussed above. Instead, for each PFIC year to which such an election applied, the electing holder would be subject to U.S. federal income tax on the electing holder’s pro rata share of our net capital gain and ordinary earnings for that year, regardless of whether such amounts were actually distributed to the electing holder. Although we currently intend to make available the information necessary to permit a U.S. holder to make a valid QEF election for any taxable year that we determine we are treated as a PFIC, there can be no assurance that we will continue to do so in future years.</w:t>
      </w:r>
    </w:p>
    <w:p>
      <w:pPr>
        <w:spacing w:after="0" w:line="15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If we are considered a PFIC for the current taxable year or any future taxable year, a U.S. holder may be required to file annual information returns for such year, whether or not the U.S. holder disposed of any common shares or received any distributions in respect of common shares during such year.</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Backup Withholding and Information Reporting</w:t>
      </w:r>
    </w:p>
    <w:p>
      <w:pPr>
        <w:spacing w:after="0" w:line="16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U.S. holders generally will be subject to information reporting requirements with respect to dividends on common shares and on the proceeds from the sale, exchange or disposition of common shares that are paid within the U.S. or through U.S.-related financial intermediaries, unless the U.S. holder is an “exempt recipient.” In addition, U.S. holders may be subject to backup withholding (currently at a 24% rate) on such payments,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Foreign Account Tax Compliance Act (“FATCA”) and Related Provisions</w:t>
      </w:r>
    </w:p>
    <w:p>
      <w:pPr>
        <w:spacing w:after="0" w:line="168"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Under certain circumstances, the company or its paying agent may be required, pursuant to the FATCA provisions of the Code (or analogous provisions of non-U.S. law) and regulations or pronouncements thereunder, any “intergovernmental agreement” entered into pursuant to those provisions or any U.S. or non-U.S. fiscal or regulatory legislation, rules, guidance, notes or practices adopted pursuant to any such agreement, to withhold U.S. tax at a rate of 30% on all or a portion of payments of dividends or other corporate distributions which are treated as “foreign passthrough payments” made on or after the date that is two years after the date of publication in the Federal Register of final regulations defining the term “foreign passthrough payment,” if such payments are not exempt from such withholding. The company believes, and this discussion assumes, that the company is not a “foreign financial institution” for purposes of FATCA. The rules regarding FATCA and “foreign passthrough payments,” including the treatment of proceeds from the disposition of common shares, are not completely clear, and further guidance may be issued by the IRS that would clarify how FATCA might apply to dividends or other amounts paid on or with respect to common shares.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Specified Foreign Financial Assets</w:t>
      </w:r>
    </w:p>
    <w:p>
      <w:pPr>
        <w:spacing w:after="0" w:line="168"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Certain individual U.S. holders that own “specified foreign financial assets” with an aggregate value in excess of US$50,000 on the last day of the tax year or more than US$75,000 at any time during the tax year are generally required to file an information statement along with their tax returns, currently on IRS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common shares, including the application of the rules to their particular circumstances.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  Dividends and paying agents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  Statements by experts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H.  Documents on display</w:t>
      </w:r>
    </w:p>
    <w:p>
      <w:pPr>
        <w:spacing w:after="0" w:line="170"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The SEC maintains a website at www.sec.report that contains reports, proxy and information statements and other information regarding registrants that make electronic filings through its Electronic Data Gathering, Analysis, and Retrieval (“EDGAR”) system. All our Exchange Act reports and other SEC filings will be available through the EDGAR system. You may also access information about IBEX through our corporate website https://www.ibex.co. The information contained in both websites is not incorporated by reference into this annual report.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  Subsidiary Information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4"/>
          <w:szCs w:val="14"/>
          <w:b w:val="1"/>
          <w:bCs w:val="1"/>
          <w:color w:val="auto"/>
        </w:rPr>
        <w:t>QUANTITATIVE AND QUALITATIVE DISCLOSURE ABOUT MARKET RISK</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For further information about the market risks to which we are exposed, please see Note 22 to our audited consolidated financial statements included at the end of this annual report.</w:t>
      </w:r>
    </w:p>
    <w:p>
      <w:pPr>
        <w:spacing w:after="0" w:line="135"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4"/>
          <w:szCs w:val="14"/>
          <w:b w:val="1"/>
          <w:bCs w:val="1"/>
          <w:color w:val="auto"/>
        </w:rPr>
        <w:t>DESCRIPTION OF SECURITIES OTHER THAN EQUITY SECURITIES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7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DEFAULTS, DIVIDEND ARREARAGES AND DELINQUENCIES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right="1439"/>
        <w:spacing w:after="0" w:line="477" w:lineRule="auto"/>
        <w:rPr>
          <w:sz w:val="20"/>
          <w:szCs w:val="20"/>
          <w:color w:val="auto"/>
        </w:rPr>
      </w:pPr>
      <w:r>
        <w:rPr>
          <w:rFonts w:ascii="Arial" w:cs="Arial" w:eastAsia="Arial" w:hAnsi="Arial"/>
          <w:sz w:val="15"/>
          <w:szCs w:val="15"/>
          <w:b w:val="1"/>
          <w:bCs w:val="1"/>
          <w:color w:val="auto"/>
        </w:rPr>
        <w:t>ITEM 14. MATERIAL MODIFICATIONS TO THE RIGHTS OF SECURITY HOLDERS AND USE OF PROCEEDS Initial Public Offering</w:t>
      </w:r>
    </w:p>
    <w:p>
      <w:pPr>
        <w:jc w:val="both"/>
        <w:ind w:left="40" w:right="39"/>
        <w:spacing w:after="0" w:line="235" w:lineRule="auto"/>
        <w:rPr>
          <w:sz w:val="20"/>
          <w:szCs w:val="20"/>
          <w:color w:val="auto"/>
        </w:rPr>
      </w:pPr>
      <w:r>
        <w:rPr>
          <w:rFonts w:ascii="Arial" w:cs="Arial" w:eastAsia="Arial" w:hAnsi="Arial"/>
          <w:sz w:val="15"/>
          <w:szCs w:val="15"/>
          <w:color w:val="auto"/>
        </w:rPr>
        <w:t>In August 2020, we sold 3,571,429 common shares, each with a par value of $0.000111650536, in our initial public offering and TRGI, our largest shareholder, sold 1,190,476 common shares at a public offering price of $19.00 per share as part of the same offering. The net offering proceeds to us, before expenses, and after deducting underwriting discounts and commissions were approximately $63.1 million. The offering commenced on August 7, 2020 and did not terminate before all of the securities registered in the registration statement were sold (other than the common shares subject to the underwriters’ 30-day option to purchase additional shares). The effective date of the registration statement, File No. 333-239821, for our initial public offering of common shares was August 6, 2020, which was after the ending date of the reporting period covered by this annual report on Form 20-F. Citigroup and RBC Capital Markets acted as joint book-running managers of the offering and as representatives of the several underwriters named in the underwriting agreement.</w:t>
      </w:r>
    </w:p>
    <w:p>
      <w:pPr>
        <w:spacing w:after="0" w:line="15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$1.6 million of the net proceeds from our initial public offering has been used to pay deal related expenses. The balance is held in cash and cash equivalents and is intended to be used to build out additional facilities as well as expand existing facilities, invest in upgraded support systems that improve our internal employee management and real time financial reporting, and/or to repay high interest debt. None of the net proceeds of our initial public offering were paid directly or indirectly to any director, officer, or persons owning ten percent or more of our common shares, or to any of our related parties.</w:t>
      </w:r>
    </w:p>
    <w:p>
      <w:pPr>
        <w:spacing w:after="0" w:line="15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4"/>
          <w:szCs w:val="14"/>
          <w:b w:val="1"/>
          <w:bCs w:val="1"/>
          <w:color w:val="auto"/>
        </w:rPr>
        <w:t>CONTROLS AND PROCEDURES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7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We maintain “disclosure controls and procedures,” as this term is defined in Rules 13a-15(e) and 15d-15(e) under the Exchange Act, that are designed to provide reasonable assurance that information required to be disclosed by us in reports that we file or submit under the Exchange Act is recorded, processed, summarized, and reported within the time periods specified in the Securities and Exchange Commission’s (“SEC”)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recognize that these controls, no matter how well designed and operated, cannot provide absolute assurance that the objectives of</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these controls will be met.</w:t>
      </w:r>
    </w:p>
    <w:p>
      <w:pPr>
        <w:spacing w:after="0" w:line="170"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4"/>
          <w:szCs w:val="14"/>
          <w:color w:val="auto"/>
        </w:rPr>
        <w:t>Our management, under the supervision and with the participation of our Chief Executive Officer and Chief Financial Officer, has evaluated the effectiveness of our disclosure controls and procedures as of June 30, 2022. Based on that evaluation, our Chief Executive Officer and Chief Financial Officer concluded that our disclosure controls and procedures were effective as of June 30, 2022.</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Management’s Annual Report on Internal Control Over Financial Reporting</w:t>
      </w:r>
    </w:p>
    <w:p>
      <w:pPr>
        <w:spacing w:after="0" w:line="170"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Our management is responsible for establishing and maintaining adequate internal controls over financial reporting (as defined in Rules 13a-15(f) and 15d- 15(f) under the Exchange Act) and for the assessment of the effectiveness of our internal control over financial reporting. Our internal control over financial reporting is designed to provide reasonable assurance regarding the reliability of financial reporting and the preparation of consolidated financial statements for external purposes in accordance with IFRS.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 (iii) provide reasonable assurance that receipts and expenditures are being made only in accordance with authorizations of management and directors, and (iv) provide reasonable assurance regarding prevention or timely detection of unauthorized acquisition, use or disposition of assets that could have a material effect on the consolidated financial statements.</w:t>
      </w:r>
    </w:p>
    <w:p>
      <w:pPr>
        <w:spacing w:after="0" w:line="154"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Our management, with the participation of our Chief Executive Officer and Chief Financial Officer, has assessed the effectiveness of our internal control over financial reporting as of June 30, 2022. In making this assessment, our management used the criteria established in “Internal Control — Integrated Framework (2013)” issued by the Committee of Sponsoring Organizations of the Treadway Commission (“COSO”). As a result of this assessment, our management has determined that our internal control over financial reporting was effective as of June 30, 2022.</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management continues to evaluate and improve the internal control environment, including our disclosure controls and procedures and internal controls over financial reporting.</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There were no changes in our internal controls over financial reporting as defined in Rule 13a-15(d), under the Securities Exchange Act of 1934, as amended, that occurred during the period covered by this annual report that have materially affected, or are reasonably likely to materially affect, our internal control over financial reporting.</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See “Risk Factors—Risks Related to our Business—If we are unable to implement and maintain effective internal control over financial reporting, our results of operations and the price of our common shares could be adversely affected.”</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16A. AUDIT COMMITTEE FINANCIAL EXPERT</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Our Board has determined that Mr. John Leone is an audit committee financial expert as defined in Item 16A of Form 20-F and as determined by our board of directors. Mr. Leone is independent as such term is defined in Rule 10A-3 under the Exchange Act and under the listing standards of the Nasdaq Global Market.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16B. CODE OF ETHICS</w:t>
      </w:r>
    </w:p>
    <w:p>
      <w:pPr>
        <w:spacing w:after="0" w:line="170"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5"/>
          <w:szCs w:val="15"/>
          <w:color w:val="auto"/>
        </w:rPr>
        <w:t xml:space="preserve">We have adopted a Code of Business Conduct and Ethics that is applicable to all of the directors, executives, employees and independent contractors of IBEX and our subsidiaries. A copy of the Code of Business Conduct and Ethics is available on our website at </w:t>
      </w:r>
      <w:r>
        <w:rPr>
          <w:rFonts w:ascii="Arial" w:cs="Arial" w:eastAsia="Arial" w:hAnsi="Arial"/>
          <w:sz w:val="15"/>
          <w:szCs w:val="15"/>
          <w:i w:val="1"/>
          <w:iCs w:val="1"/>
          <w:color w:val="auto"/>
        </w:rPr>
        <w:t>www.ibex.co</w:t>
      </w:r>
      <w:r>
        <w:rPr>
          <w:rFonts w:ascii="Arial" w:cs="Arial" w:eastAsia="Arial" w:hAnsi="Arial"/>
          <w:sz w:val="15"/>
          <w:szCs w:val="15"/>
          <w:color w:val="auto"/>
        </w:rPr>
        <w:t>. The Nominating and Corporate Governance Committee of the board of directors is responsible for overseeing the Code of</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Conduct and Ethics and must approve any amendments or modifications thereof. The board of directors (in the case of a violation by a director or executive officer) or the Legal Department (in case of a violation by any other person) may in its discretion, waive a violation of the Code of Business Conduct and Ethics. We expect that any amendments to the Code of Business Conduct and Ethics, or any waivers of its requirements, will be disclosed on our website.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16C. PRINCIPAL ACCOUNTANT FEES AND SERVICES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BDO served as our independent registered public accounting firm for fiscal year 2021. Deloitte has served as our independent registered public accounting firm for fiscal year 2022. Our accountants’ fees for professional services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102235</wp:posOffset>
            </wp:positionV>
            <wp:extent cx="567499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74995" cy="6985"/>
                    </a:xfrm>
                    <a:prstGeom prst="rect">
                      <a:avLst/>
                    </a:prstGeom>
                    <a:noFill/>
                  </pic:spPr>
                </pic:pic>
              </a:graphicData>
            </a:graphic>
          </wp:anchor>
        </w:drawing>
      </w:r>
    </w:p>
    <w:p>
      <w:pPr>
        <w:spacing w:after="0" w:line="144" w:lineRule="exact"/>
        <w:rPr>
          <w:sz w:val="20"/>
          <w:szCs w:val="20"/>
          <w:color w:val="auto"/>
        </w:rPr>
      </w:pPr>
    </w:p>
    <w:p>
      <w:pPr>
        <w:ind w:left="7140"/>
        <w:spacing w:after="0"/>
        <w:rPr>
          <w:sz w:val="20"/>
          <w:szCs w:val="20"/>
          <w:color w:val="auto"/>
        </w:rPr>
      </w:pPr>
      <w:r>
        <w:rPr>
          <w:rFonts w:ascii="Arial" w:cs="Arial" w:eastAsia="Arial" w:hAnsi="Arial"/>
          <w:sz w:val="12"/>
          <w:szCs w:val="12"/>
          <w:b w:val="1"/>
          <w:bCs w:val="1"/>
          <w:color w:val="auto"/>
        </w:rPr>
        <w:t>Year ended June 30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24"/>
        </w:trPr>
        <w:tc>
          <w:tcPr>
            <w:tcW w:w="3940" w:type="dxa"/>
            <w:vAlign w:val="bottom"/>
            <w:tcBorders>
              <w:top w:val="single" w:sz="8" w:color="auto"/>
              <w:bottom w:val="single" w:sz="8" w:color="auto"/>
            </w:tcBorders>
          </w:tcPr>
          <w:p>
            <w:pPr>
              <w:spacing w:after="0"/>
              <w:rPr>
                <w:sz w:val="10"/>
                <w:szCs w:val="10"/>
                <w:color w:val="auto"/>
              </w:rPr>
            </w:pPr>
          </w:p>
        </w:tc>
        <w:tc>
          <w:tcPr>
            <w:tcW w:w="256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429"/>
              <w:spacing w:after="0" w:line="124" w:lineRule="exact"/>
              <w:rPr>
                <w:sz w:val="20"/>
                <w:szCs w:val="20"/>
                <w:color w:val="auto"/>
              </w:rPr>
            </w:pPr>
            <w:r>
              <w:rPr>
                <w:rFonts w:ascii="Arial" w:cs="Arial" w:eastAsia="Arial" w:hAnsi="Arial"/>
                <w:sz w:val="12"/>
                <w:szCs w:val="12"/>
                <w:b w:val="1"/>
                <w:bCs w:val="1"/>
                <w:color w:val="auto"/>
              </w:rPr>
              <w:t>2022</w:t>
            </w:r>
          </w:p>
        </w:tc>
        <w:tc>
          <w:tcPr>
            <w:tcW w:w="18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369"/>
              <w:spacing w:after="0" w:line="124" w:lineRule="exact"/>
              <w:rPr>
                <w:sz w:val="20"/>
                <w:szCs w:val="20"/>
                <w:color w:val="auto"/>
              </w:rPr>
            </w:pPr>
            <w:r>
              <w:rPr>
                <w:rFonts w:ascii="Arial" w:cs="Arial" w:eastAsia="Arial" w:hAnsi="Arial"/>
                <w:sz w:val="12"/>
                <w:szCs w:val="12"/>
                <w:b w:val="1"/>
                <w:bCs w:val="1"/>
                <w:color w:val="auto"/>
              </w:rPr>
              <w:t>2021</w:t>
            </w:r>
          </w:p>
        </w:tc>
      </w:tr>
      <w:tr>
        <w:trPr>
          <w:trHeight w:val="157"/>
        </w:trPr>
        <w:tc>
          <w:tcPr>
            <w:tcW w:w="394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Audit Fees</w:t>
            </w:r>
          </w:p>
        </w:tc>
        <w:tc>
          <w:tcPr>
            <w:tcW w:w="25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992,000</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1,979,654</w:t>
            </w:r>
          </w:p>
        </w:tc>
      </w:tr>
      <w:tr>
        <w:trPr>
          <w:trHeight w:val="166"/>
        </w:trPr>
        <w:tc>
          <w:tcPr>
            <w:tcW w:w="3940" w:type="dxa"/>
            <w:vAlign w:val="bottom"/>
          </w:tcPr>
          <w:p>
            <w:pPr>
              <w:spacing w:after="0" w:line="166" w:lineRule="exact"/>
              <w:rPr>
                <w:sz w:val="20"/>
                <w:szCs w:val="20"/>
                <w:color w:val="auto"/>
              </w:rPr>
            </w:pPr>
            <w:r>
              <w:rPr>
                <w:rFonts w:ascii="Arial" w:cs="Arial" w:eastAsia="Arial" w:hAnsi="Arial"/>
                <w:sz w:val="15"/>
                <w:szCs w:val="15"/>
                <w:color w:val="auto"/>
              </w:rPr>
              <w:t>Audit-related Fees</w:t>
            </w:r>
          </w:p>
        </w:tc>
        <w:tc>
          <w:tcPr>
            <w:tcW w:w="2560" w:type="dxa"/>
            <w:vAlign w:val="bottom"/>
          </w:tcPr>
          <w:p>
            <w:pPr>
              <w:spacing w:after="0"/>
              <w:rPr>
                <w:sz w:val="14"/>
                <w:szCs w:val="14"/>
                <w:color w:val="auto"/>
              </w:rPr>
            </w:pPr>
          </w:p>
        </w:tc>
        <w:tc>
          <w:tcPr>
            <w:tcW w:w="130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39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Tax Fees</w:t>
            </w:r>
          </w:p>
        </w:tc>
        <w:tc>
          <w:tcPr>
            <w:tcW w:w="25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3940" w:type="dxa"/>
            <w:vAlign w:val="bottom"/>
          </w:tcPr>
          <w:p>
            <w:pPr>
              <w:spacing w:after="0" w:line="166" w:lineRule="exact"/>
              <w:rPr>
                <w:sz w:val="20"/>
                <w:szCs w:val="20"/>
                <w:color w:val="auto"/>
              </w:rPr>
            </w:pPr>
            <w:r>
              <w:rPr>
                <w:rFonts w:ascii="Arial" w:cs="Arial" w:eastAsia="Arial" w:hAnsi="Arial"/>
                <w:sz w:val="15"/>
                <w:szCs w:val="15"/>
                <w:color w:val="auto"/>
              </w:rPr>
              <w:t>Other Fees</w:t>
            </w:r>
          </w:p>
        </w:tc>
        <w:tc>
          <w:tcPr>
            <w:tcW w:w="2560" w:type="dxa"/>
            <w:vAlign w:val="bottom"/>
          </w:tcPr>
          <w:p>
            <w:pPr>
              <w:spacing w:after="0"/>
              <w:rPr>
                <w:sz w:val="14"/>
                <w:szCs w:val="14"/>
                <w:color w:val="auto"/>
              </w:rPr>
            </w:pPr>
          </w:p>
        </w:tc>
        <w:tc>
          <w:tcPr>
            <w:tcW w:w="130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r>
      <w:tr>
        <w:trPr>
          <w:trHeight w:val="157"/>
        </w:trPr>
        <w:tc>
          <w:tcPr>
            <w:tcW w:w="394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5"/>
                <w:szCs w:val="15"/>
                <w:color w:val="auto"/>
              </w:rPr>
              <w:t>Total fees and services</w:t>
            </w:r>
          </w:p>
        </w:tc>
        <w:tc>
          <w:tcPr>
            <w:tcW w:w="2560" w:type="dxa"/>
            <w:vAlign w:val="bottom"/>
            <w:tcBorders>
              <w:top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992,000</w:t>
            </w:r>
          </w:p>
        </w:tc>
        <w:tc>
          <w:tcPr>
            <w:tcW w:w="1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1,979,654</w:t>
            </w:r>
          </w:p>
        </w:tc>
      </w:tr>
      <w:tr>
        <w:trPr>
          <w:trHeight w:val="157"/>
        </w:trPr>
        <w:tc>
          <w:tcPr>
            <w:tcW w:w="39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162"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“Audit Fees” are the aggregate fees for the audit of our annual consolidated financial statements and annual statutory financial statements, reviews of interim financial statements, review of our registration statement, and related consents.</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“Audit-related Fees” are the aggregate fees for assurance and related services that are reasonably related to the performance of the audit and are not reported under Audit Fees.</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“Tax Fees” are the aggregate fees for professional services rendered by the principal accountant for tax compliance, tax advice and tax planning related services.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Fees” are any additional amounts for products and services provided by the principal accountant.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There were no “Audit-related Fees,” or “Tax Fees,” or “Other Fees” during the fiscal years 2022 or 2021.</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audit committee has adopted a pre-approval policy for the engagement of our independent accountant to perform certain audit and non-audit services.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16D. EXEMPTION FROM THE LISTING STANDARDS FOR AUDIT COMMITTEES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16E. PURCHASES OF EQUITY SECURITIES BY THE ISSUER AND AFFILIATED PURCHASERS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On December 8, 2021, we announced that our board of directors had authorized the repurchase of up to $20 million of our common stock.</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proposed repurchases may be made from time to time through open market transactions at prevailing market prices, in privately negotiated transactions, in block trades and/or through other legally permissible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means, depending on the market conditions and in accordance with applicable rules and regulations. The actual timing, number, and dollar amount of repurchase transactions will be determined by management at its discretion and will depend on a number of factors including, but not limited to, the market price of our common shares, general market and economic conditions, and compliance with Rule 10b-18 and/or Rule 10b5-1 under the Securities Exchange Act of 1934, as amended (the “Exchange Act”).</w:t>
      </w:r>
    </w:p>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Our board of directors will review the repurchase program periodically and may authorize adjustment of its terms and size or suspend or discontinue the program. We expect to fund the repurchases under this program with our existing cash balance.</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repurchase program does not obligate us to acquire any particular amount of common shares, and the repurchase program may be suspended or discontinued at any time at our discretion.</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82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center"/>
              <w:ind w:left="66"/>
              <w:spacing w:after="0"/>
              <w:rPr>
                <w:sz w:val="20"/>
                <w:szCs w:val="20"/>
                <w:color w:val="auto"/>
              </w:rPr>
            </w:pPr>
            <w:r>
              <w:rPr>
                <w:rFonts w:ascii="Arial" w:cs="Arial" w:eastAsia="Arial" w:hAnsi="Arial"/>
                <w:sz w:val="15"/>
                <w:szCs w:val="15"/>
                <w:color w:val="auto"/>
                <w:w w:val="97"/>
              </w:rPr>
              <w:t>(a)</w:t>
            </w: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7"/>
              </w:rPr>
              <w:t>(b)</w:t>
            </w:r>
          </w:p>
        </w:tc>
        <w:tc>
          <w:tcPr>
            <w:tcW w:w="14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5"/>
                <w:szCs w:val="15"/>
                <w:color w:val="auto"/>
              </w:rPr>
              <w:t>(c)</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7"/>
              </w:rPr>
              <w:t>(d)</w:t>
            </w:r>
          </w:p>
        </w:tc>
      </w:tr>
      <w:tr>
        <w:trPr>
          <w:trHeight w:val="142"/>
        </w:trPr>
        <w:tc>
          <w:tcPr>
            <w:tcW w:w="2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5"/>
                <w:szCs w:val="15"/>
                <w:color w:val="auto"/>
                <w:w w:val="95"/>
              </w:rPr>
              <w:t>Total number of</w:t>
            </w:r>
          </w:p>
        </w:tc>
        <w:tc>
          <w:tcPr>
            <w:tcW w:w="1520" w:type="dxa"/>
            <w:vAlign w:val="bottom"/>
          </w:tcPr>
          <w:p>
            <w:pPr>
              <w:jc w:val="center"/>
              <w:spacing w:after="0" w:line="142" w:lineRule="exact"/>
              <w:rPr>
                <w:sz w:val="20"/>
                <w:szCs w:val="20"/>
                <w:color w:val="auto"/>
              </w:rPr>
            </w:pPr>
            <w:r>
              <w:rPr>
                <w:rFonts w:ascii="Arial" w:cs="Arial" w:eastAsia="Arial" w:hAnsi="Arial"/>
                <w:sz w:val="15"/>
                <w:szCs w:val="15"/>
                <w:color w:val="auto"/>
                <w:w w:val="98"/>
              </w:rPr>
              <w:t>Approximate Dollar</w:t>
            </w:r>
          </w:p>
        </w:tc>
      </w:tr>
      <w:tr>
        <w:trPr>
          <w:trHeight w:val="166"/>
        </w:trPr>
        <w:tc>
          <w:tcPr>
            <w:tcW w:w="2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jc w:val="center"/>
              <w:spacing w:after="0" w:line="166" w:lineRule="exact"/>
              <w:rPr>
                <w:sz w:val="20"/>
                <w:szCs w:val="20"/>
                <w:color w:val="auto"/>
              </w:rPr>
            </w:pPr>
            <w:r>
              <w:rPr>
                <w:rFonts w:ascii="Arial" w:cs="Arial" w:eastAsia="Arial" w:hAnsi="Arial"/>
                <w:sz w:val="15"/>
                <w:szCs w:val="15"/>
                <w:color w:val="auto"/>
                <w:w w:val="97"/>
              </w:rPr>
              <w:t>Shares Purchased as</w:t>
            </w:r>
          </w:p>
        </w:tc>
        <w:tc>
          <w:tcPr>
            <w:tcW w:w="1520" w:type="dxa"/>
            <w:vAlign w:val="bottom"/>
          </w:tcPr>
          <w:p>
            <w:pPr>
              <w:jc w:val="center"/>
              <w:spacing w:after="0" w:line="166" w:lineRule="exact"/>
              <w:rPr>
                <w:sz w:val="20"/>
                <w:szCs w:val="20"/>
                <w:color w:val="auto"/>
              </w:rPr>
            </w:pPr>
            <w:r>
              <w:rPr>
                <w:rFonts w:ascii="Arial" w:cs="Arial" w:eastAsia="Arial" w:hAnsi="Arial"/>
                <w:sz w:val="15"/>
                <w:szCs w:val="15"/>
                <w:color w:val="auto"/>
                <w:w w:val="97"/>
              </w:rPr>
              <w:t>Value of Shares that</w:t>
            </w:r>
          </w:p>
        </w:tc>
      </w:tr>
      <w:tr>
        <w:trPr>
          <w:trHeight w:val="166"/>
        </w:trPr>
        <w:tc>
          <w:tcPr>
            <w:tcW w:w="2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jc w:val="center"/>
              <w:spacing w:after="0" w:line="166" w:lineRule="exact"/>
              <w:rPr>
                <w:sz w:val="20"/>
                <w:szCs w:val="20"/>
                <w:color w:val="auto"/>
              </w:rPr>
            </w:pPr>
            <w:r>
              <w:rPr>
                <w:rFonts w:ascii="Arial" w:cs="Arial" w:eastAsia="Arial" w:hAnsi="Arial"/>
                <w:sz w:val="15"/>
                <w:szCs w:val="15"/>
                <w:color w:val="auto"/>
                <w:w w:val="99"/>
              </w:rPr>
              <w:t>Part of Publicly</w:t>
            </w:r>
          </w:p>
        </w:tc>
        <w:tc>
          <w:tcPr>
            <w:tcW w:w="1520" w:type="dxa"/>
            <w:vAlign w:val="bottom"/>
          </w:tcPr>
          <w:p>
            <w:pPr>
              <w:jc w:val="center"/>
              <w:spacing w:after="0" w:line="166" w:lineRule="exact"/>
              <w:rPr>
                <w:sz w:val="20"/>
                <w:szCs w:val="20"/>
                <w:color w:val="auto"/>
              </w:rPr>
            </w:pPr>
            <w:r>
              <w:rPr>
                <w:rFonts w:ascii="Arial" w:cs="Arial" w:eastAsia="Arial" w:hAnsi="Arial"/>
                <w:sz w:val="15"/>
                <w:szCs w:val="15"/>
                <w:color w:val="auto"/>
                <w:w w:val="97"/>
              </w:rPr>
              <w:t>May Yet be Purchased</w:t>
            </w:r>
          </w:p>
        </w:tc>
      </w:tr>
      <w:tr>
        <w:trPr>
          <w:trHeight w:val="166"/>
        </w:trPr>
        <w:tc>
          <w:tcPr>
            <w:tcW w:w="2820" w:type="dxa"/>
            <w:vAlign w:val="bottom"/>
          </w:tcPr>
          <w:p>
            <w:pPr>
              <w:spacing w:after="0"/>
              <w:rPr>
                <w:sz w:val="14"/>
                <w:szCs w:val="14"/>
                <w:color w:val="auto"/>
              </w:rPr>
            </w:pPr>
          </w:p>
        </w:tc>
        <w:tc>
          <w:tcPr>
            <w:tcW w:w="1520" w:type="dxa"/>
            <w:vAlign w:val="bottom"/>
          </w:tcPr>
          <w:p>
            <w:pPr>
              <w:jc w:val="center"/>
              <w:ind w:left="46"/>
              <w:spacing w:after="0" w:line="166" w:lineRule="exact"/>
              <w:rPr>
                <w:sz w:val="20"/>
                <w:szCs w:val="20"/>
                <w:color w:val="auto"/>
              </w:rPr>
            </w:pPr>
            <w:r>
              <w:rPr>
                <w:rFonts w:ascii="Arial" w:cs="Arial" w:eastAsia="Arial" w:hAnsi="Arial"/>
                <w:sz w:val="15"/>
                <w:szCs w:val="15"/>
                <w:color w:val="auto"/>
                <w:w w:val="96"/>
              </w:rPr>
              <w:t>Total Number of</w:t>
            </w:r>
          </w:p>
        </w:tc>
        <w:tc>
          <w:tcPr>
            <w:tcW w:w="1600" w:type="dxa"/>
            <w:vAlign w:val="bottom"/>
          </w:tcPr>
          <w:p>
            <w:pPr>
              <w:jc w:val="center"/>
              <w:spacing w:after="0" w:line="166" w:lineRule="exact"/>
              <w:rPr>
                <w:sz w:val="20"/>
                <w:szCs w:val="20"/>
                <w:color w:val="auto"/>
              </w:rPr>
            </w:pPr>
            <w:r>
              <w:rPr>
                <w:rFonts w:ascii="Arial" w:cs="Arial" w:eastAsia="Arial" w:hAnsi="Arial"/>
                <w:sz w:val="15"/>
                <w:szCs w:val="15"/>
                <w:color w:val="auto"/>
                <w:w w:val="98"/>
              </w:rPr>
              <w:t>Average Price paid per</w:t>
            </w:r>
          </w:p>
        </w:tc>
        <w:tc>
          <w:tcPr>
            <w:tcW w:w="1480" w:type="dxa"/>
            <w:vAlign w:val="bottom"/>
          </w:tcPr>
          <w:p>
            <w:pPr>
              <w:jc w:val="center"/>
              <w:spacing w:after="0" w:line="166" w:lineRule="exact"/>
              <w:rPr>
                <w:sz w:val="20"/>
                <w:szCs w:val="20"/>
                <w:color w:val="auto"/>
              </w:rPr>
            </w:pPr>
            <w:r>
              <w:rPr>
                <w:rFonts w:ascii="Arial" w:cs="Arial" w:eastAsia="Arial" w:hAnsi="Arial"/>
                <w:sz w:val="15"/>
                <w:szCs w:val="15"/>
                <w:color w:val="auto"/>
                <w:w w:val="97"/>
              </w:rPr>
              <w:t>Announced Plans or</w:t>
            </w:r>
          </w:p>
        </w:tc>
        <w:tc>
          <w:tcPr>
            <w:tcW w:w="1520" w:type="dxa"/>
            <w:vAlign w:val="bottom"/>
          </w:tcPr>
          <w:p>
            <w:pPr>
              <w:jc w:val="center"/>
              <w:spacing w:after="0" w:line="166" w:lineRule="exact"/>
              <w:rPr>
                <w:sz w:val="20"/>
                <w:szCs w:val="20"/>
                <w:color w:val="auto"/>
              </w:rPr>
            </w:pPr>
            <w:r>
              <w:rPr>
                <w:rFonts w:ascii="Arial" w:cs="Arial" w:eastAsia="Arial" w:hAnsi="Arial"/>
                <w:sz w:val="15"/>
                <w:szCs w:val="15"/>
                <w:color w:val="auto"/>
                <w:w w:val="97"/>
              </w:rPr>
              <w:t>Under the Plans or</w:t>
            </w:r>
          </w:p>
        </w:tc>
      </w:tr>
      <w:tr>
        <w:trPr>
          <w:trHeight w:val="181"/>
        </w:trPr>
        <w:tc>
          <w:tcPr>
            <w:tcW w:w="282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Month of Treasury Stock Repurchase</w:t>
            </w:r>
          </w:p>
        </w:tc>
        <w:tc>
          <w:tcPr>
            <w:tcW w:w="1520" w:type="dxa"/>
            <w:vAlign w:val="bottom"/>
            <w:tcBorders>
              <w:bottom w:val="single" w:sz="8" w:color="auto"/>
            </w:tcBorders>
          </w:tcPr>
          <w:p>
            <w:pPr>
              <w:jc w:val="center"/>
              <w:ind w:left="66"/>
              <w:spacing w:after="0"/>
              <w:rPr>
                <w:sz w:val="20"/>
                <w:szCs w:val="20"/>
                <w:color w:val="auto"/>
              </w:rPr>
            </w:pPr>
            <w:r>
              <w:rPr>
                <w:rFonts w:ascii="Arial" w:cs="Arial" w:eastAsia="Arial" w:hAnsi="Arial"/>
                <w:sz w:val="15"/>
                <w:szCs w:val="15"/>
                <w:color w:val="auto"/>
                <w:w w:val="98"/>
              </w:rPr>
              <w:t>Shares Purchased</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Share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Programs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Programs</w:t>
            </w:r>
          </w:p>
        </w:tc>
      </w:tr>
      <w:tr>
        <w:trPr>
          <w:trHeight w:val="157"/>
        </w:trPr>
        <w:tc>
          <w:tcPr>
            <w:tcW w:w="282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December 29-31, 2021</w:t>
            </w:r>
          </w:p>
        </w:tc>
        <w:tc>
          <w:tcPr>
            <w:tcW w:w="1520" w:type="dxa"/>
            <w:vAlign w:val="bottom"/>
            <w:shd w:val="clear" w:color="auto" w:fill="CCEEFF"/>
          </w:tcPr>
          <w:p>
            <w:pPr>
              <w:jc w:val="center"/>
              <w:ind w:left="106"/>
              <w:spacing w:after="0" w:line="157" w:lineRule="exact"/>
              <w:rPr>
                <w:sz w:val="20"/>
                <w:szCs w:val="20"/>
                <w:color w:val="auto"/>
              </w:rPr>
            </w:pPr>
            <w:r>
              <w:rPr>
                <w:rFonts w:ascii="Arial" w:cs="Arial" w:eastAsia="Arial" w:hAnsi="Arial"/>
                <w:sz w:val="15"/>
                <w:szCs w:val="15"/>
                <w:color w:val="auto"/>
              </w:rPr>
              <w:t>9,713</w:t>
            </w:r>
          </w:p>
        </w:tc>
        <w:tc>
          <w:tcPr>
            <w:tcW w:w="1600" w:type="dxa"/>
            <w:vAlign w:val="bottom"/>
            <w:shd w:val="clear" w:color="auto" w:fill="CCEEFF"/>
          </w:tcPr>
          <w:p>
            <w:pPr>
              <w:jc w:val="center"/>
              <w:spacing w:after="0" w:line="157" w:lineRule="exact"/>
              <w:rPr>
                <w:sz w:val="20"/>
                <w:szCs w:val="20"/>
                <w:color w:val="auto"/>
              </w:rPr>
            </w:pPr>
            <w:r>
              <w:rPr>
                <w:rFonts w:ascii="Arial" w:cs="Arial" w:eastAsia="Arial" w:hAnsi="Arial"/>
                <w:sz w:val="15"/>
                <w:szCs w:val="15"/>
                <w:color w:val="auto"/>
                <w:w w:val="95"/>
              </w:rPr>
              <w:t>$ 13.69</w:t>
            </w:r>
          </w:p>
        </w:tc>
        <w:tc>
          <w:tcPr>
            <w:tcW w:w="1480" w:type="dxa"/>
            <w:vAlign w:val="bottom"/>
            <w:shd w:val="clear" w:color="auto" w:fill="CCEEFF"/>
          </w:tcPr>
          <w:p>
            <w:pPr>
              <w:jc w:val="center"/>
              <w:spacing w:after="0" w:line="157" w:lineRule="exact"/>
              <w:rPr>
                <w:sz w:val="20"/>
                <w:szCs w:val="20"/>
                <w:color w:val="auto"/>
              </w:rPr>
            </w:pPr>
            <w:r>
              <w:rPr>
                <w:rFonts w:ascii="Arial" w:cs="Arial" w:eastAsia="Arial" w:hAnsi="Arial"/>
                <w:sz w:val="15"/>
                <w:szCs w:val="15"/>
                <w:color w:val="auto"/>
                <w:w w:val="95"/>
              </w:rPr>
              <w:t>9,713</w:t>
            </w:r>
          </w:p>
        </w:tc>
        <w:tc>
          <w:tcPr>
            <w:tcW w:w="1520" w:type="dxa"/>
            <w:vAlign w:val="bottom"/>
            <w:shd w:val="clear" w:color="auto" w:fill="CCEEFF"/>
          </w:tcPr>
          <w:p>
            <w:pPr>
              <w:jc w:val="center"/>
              <w:spacing w:after="0" w:line="157" w:lineRule="exact"/>
              <w:rPr>
                <w:sz w:val="20"/>
                <w:szCs w:val="20"/>
                <w:color w:val="auto"/>
              </w:rPr>
            </w:pPr>
            <w:r>
              <w:rPr>
                <w:rFonts w:ascii="Arial" w:cs="Arial" w:eastAsia="Arial" w:hAnsi="Arial"/>
                <w:sz w:val="15"/>
                <w:szCs w:val="15"/>
                <w:color w:val="auto"/>
                <w:w w:val="98"/>
              </w:rPr>
              <w:t>$ 19,866,779</w:t>
            </w:r>
          </w:p>
        </w:tc>
      </w:tr>
      <w:tr>
        <w:trPr>
          <w:trHeight w:val="166"/>
        </w:trPr>
        <w:tc>
          <w:tcPr>
            <w:tcW w:w="2820" w:type="dxa"/>
            <w:vAlign w:val="bottom"/>
          </w:tcPr>
          <w:p>
            <w:pPr>
              <w:ind w:left="20"/>
              <w:spacing w:after="0" w:line="166" w:lineRule="exact"/>
              <w:rPr>
                <w:sz w:val="20"/>
                <w:szCs w:val="20"/>
                <w:color w:val="auto"/>
              </w:rPr>
            </w:pPr>
            <w:r>
              <w:rPr>
                <w:rFonts w:ascii="Arial" w:cs="Arial" w:eastAsia="Arial" w:hAnsi="Arial"/>
                <w:sz w:val="15"/>
                <w:szCs w:val="15"/>
                <w:color w:val="auto"/>
              </w:rPr>
              <w:t>January 1-31, 2022</w:t>
            </w:r>
          </w:p>
        </w:tc>
        <w:tc>
          <w:tcPr>
            <w:tcW w:w="1520" w:type="dxa"/>
            <w:vAlign w:val="bottom"/>
          </w:tcPr>
          <w:p>
            <w:pPr>
              <w:jc w:val="center"/>
              <w:ind w:left="106"/>
              <w:spacing w:after="0" w:line="166" w:lineRule="exact"/>
              <w:rPr>
                <w:sz w:val="20"/>
                <w:szCs w:val="20"/>
                <w:color w:val="auto"/>
              </w:rPr>
            </w:pPr>
            <w:r>
              <w:rPr>
                <w:rFonts w:ascii="Arial" w:cs="Arial" w:eastAsia="Arial" w:hAnsi="Arial"/>
                <w:sz w:val="15"/>
                <w:szCs w:val="15"/>
                <w:color w:val="auto"/>
              </w:rPr>
              <w:t>47,275</w:t>
            </w:r>
          </w:p>
        </w:tc>
        <w:tc>
          <w:tcPr>
            <w:tcW w:w="1600" w:type="dxa"/>
            <w:vAlign w:val="bottom"/>
          </w:tcPr>
          <w:p>
            <w:pPr>
              <w:jc w:val="center"/>
              <w:spacing w:after="0" w:line="166" w:lineRule="exact"/>
              <w:rPr>
                <w:sz w:val="20"/>
                <w:szCs w:val="20"/>
                <w:color w:val="auto"/>
              </w:rPr>
            </w:pPr>
            <w:r>
              <w:rPr>
                <w:rFonts w:ascii="Arial" w:cs="Arial" w:eastAsia="Arial" w:hAnsi="Arial"/>
                <w:sz w:val="15"/>
                <w:szCs w:val="15"/>
                <w:color w:val="auto"/>
                <w:w w:val="95"/>
              </w:rPr>
              <w:t>$ 13.89</w:t>
            </w:r>
          </w:p>
        </w:tc>
        <w:tc>
          <w:tcPr>
            <w:tcW w:w="1480" w:type="dxa"/>
            <w:vAlign w:val="bottom"/>
          </w:tcPr>
          <w:p>
            <w:pPr>
              <w:jc w:val="center"/>
              <w:spacing w:after="0" w:line="166" w:lineRule="exact"/>
              <w:rPr>
                <w:sz w:val="20"/>
                <w:szCs w:val="20"/>
                <w:color w:val="auto"/>
              </w:rPr>
            </w:pPr>
            <w:r>
              <w:rPr>
                <w:rFonts w:ascii="Arial" w:cs="Arial" w:eastAsia="Arial" w:hAnsi="Arial"/>
                <w:sz w:val="15"/>
                <w:szCs w:val="15"/>
                <w:color w:val="auto"/>
                <w:w w:val="95"/>
              </w:rPr>
              <w:t>47,275</w:t>
            </w:r>
          </w:p>
        </w:tc>
        <w:tc>
          <w:tcPr>
            <w:tcW w:w="1520" w:type="dxa"/>
            <w:vAlign w:val="bottom"/>
          </w:tcPr>
          <w:p>
            <w:pPr>
              <w:jc w:val="center"/>
              <w:spacing w:after="0" w:line="166" w:lineRule="exact"/>
              <w:rPr>
                <w:sz w:val="20"/>
                <w:szCs w:val="20"/>
                <w:color w:val="auto"/>
              </w:rPr>
            </w:pPr>
            <w:r>
              <w:rPr>
                <w:rFonts w:ascii="Arial" w:cs="Arial" w:eastAsia="Arial" w:hAnsi="Arial"/>
                <w:sz w:val="15"/>
                <w:szCs w:val="15"/>
                <w:color w:val="auto"/>
                <w:w w:val="98"/>
              </w:rPr>
              <w:t>$ 19,208,598</w:t>
            </w:r>
          </w:p>
        </w:tc>
      </w:tr>
      <w:tr>
        <w:trPr>
          <w:trHeight w:val="166"/>
        </w:trPr>
        <w:tc>
          <w:tcPr>
            <w:tcW w:w="28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February 1-28, 2022</w:t>
            </w:r>
          </w:p>
        </w:tc>
        <w:tc>
          <w:tcPr>
            <w:tcW w:w="1520" w:type="dxa"/>
            <w:vAlign w:val="bottom"/>
            <w:shd w:val="clear" w:color="auto" w:fill="CCEEFF"/>
          </w:tcPr>
          <w:p>
            <w:pPr>
              <w:jc w:val="center"/>
              <w:ind w:left="106"/>
              <w:spacing w:after="0" w:line="166" w:lineRule="exact"/>
              <w:rPr>
                <w:sz w:val="20"/>
                <w:szCs w:val="20"/>
                <w:color w:val="auto"/>
              </w:rPr>
            </w:pPr>
            <w:r>
              <w:rPr>
                <w:rFonts w:ascii="Arial" w:cs="Arial" w:eastAsia="Arial" w:hAnsi="Arial"/>
                <w:sz w:val="15"/>
                <w:szCs w:val="15"/>
                <w:color w:val="auto"/>
                <w:w w:val="91"/>
              </w:rPr>
              <w:t>68,111</w:t>
            </w:r>
          </w:p>
        </w:tc>
        <w:tc>
          <w:tcPr>
            <w:tcW w:w="160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5"/>
              </w:rPr>
              <w:t>$ 14.56</w:t>
            </w:r>
          </w:p>
        </w:tc>
        <w:tc>
          <w:tcPr>
            <w:tcW w:w="148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5"/>
              </w:rPr>
              <w:t>68,111</w:t>
            </w:r>
          </w:p>
        </w:tc>
        <w:tc>
          <w:tcPr>
            <w:tcW w:w="152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$ 18,215,103</w:t>
            </w:r>
          </w:p>
        </w:tc>
      </w:tr>
      <w:tr>
        <w:trPr>
          <w:trHeight w:val="166"/>
        </w:trPr>
        <w:tc>
          <w:tcPr>
            <w:tcW w:w="2820" w:type="dxa"/>
            <w:vAlign w:val="bottom"/>
          </w:tcPr>
          <w:p>
            <w:pPr>
              <w:ind w:left="20"/>
              <w:spacing w:after="0" w:line="166" w:lineRule="exact"/>
              <w:rPr>
                <w:sz w:val="20"/>
                <w:szCs w:val="20"/>
                <w:color w:val="auto"/>
              </w:rPr>
            </w:pPr>
            <w:r>
              <w:rPr>
                <w:rFonts w:ascii="Arial" w:cs="Arial" w:eastAsia="Arial" w:hAnsi="Arial"/>
                <w:sz w:val="15"/>
                <w:szCs w:val="15"/>
                <w:color w:val="auto"/>
              </w:rPr>
              <w:t>March 1-31, 2022</w:t>
            </w:r>
          </w:p>
        </w:tc>
        <w:tc>
          <w:tcPr>
            <w:tcW w:w="1520" w:type="dxa"/>
            <w:vAlign w:val="bottom"/>
          </w:tcPr>
          <w:p>
            <w:pPr>
              <w:jc w:val="center"/>
              <w:ind w:left="106"/>
              <w:spacing w:after="0" w:line="166" w:lineRule="exact"/>
              <w:rPr>
                <w:sz w:val="20"/>
                <w:szCs w:val="20"/>
                <w:color w:val="auto"/>
              </w:rPr>
            </w:pPr>
            <w:r>
              <w:rPr>
                <w:rFonts w:ascii="Arial" w:cs="Arial" w:eastAsia="Arial" w:hAnsi="Arial"/>
                <w:sz w:val="15"/>
                <w:szCs w:val="15"/>
                <w:color w:val="auto"/>
              </w:rPr>
              <w:t>34,983</w:t>
            </w:r>
          </w:p>
        </w:tc>
        <w:tc>
          <w:tcPr>
            <w:tcW w:w="1600" w:type="dxa"/>
            <w:vAlign w:val="bottom"/>
          </w:tcPr>
          <w:p>
            <w:pPr>
              <w:jc w:val="center"/>
              <w:spacing w:after="0" w:line="166" w:lineRule="exact"/>
              <w:rPr>
                <w:sz w:val="20"/>
                <w:szCs w:val="20"/>
                <w:color w:val="auto"/>
              </w:rPr>
            </w:pPr>
            <w:r>
              <w:rPr>
                <w:rFonts w:ascii="Arial" w:cs="Arial" w:eastAsia="Arial" w:hAnsi="Arial"/>
                <w:sz w:val="15"/>
                <w:szCs w:val="15"/>
                <w:color w:val="auto"/>
                <w:w w:val="95"/>
              </w:rPr>
              <w:t>$ 15.91</w:t>
            </w:r>
          </w:p>
        </w:tc>
        <w:tc>
          <w:tcPr>
            <w:tcW w:w="1480" w:type="dxa"/>
            <w:vAlign w:val="bottom"/>
          </w:tcPr>
          <w:p>
            <w:pPr>
              <w:jc w:val="center"/>
              <w:spacing w:after="0" w:line="166" w:lineRule="exact"/>
              <w:rPr>
                <w:sz w:val="20"/>
                <w:szCs w:val="20"/>
                <w:color w:val="auto"/>
              </w:rPr>
            </w:pPr>
            <w:r>
              <w:rPr>
                <w:rFonts w:ascii="Arial" w:cs="Arial" w:eastAsia="Arial" w:hAnsi="Arial"/>
                <w:sz w:val="15"/>
                <w:szCs w:val="15"/>
                <w:color w:val="auto"/>
                <w:w w:val="95"/>
              </w:rPr>
              <w:t>34,983</w:t>
            </w:r>
          </w:p>
        </w:tc>
        <w:tc>
          <w:tcPr>
            <w:tcW w:w="1520" w:type="dxa"/>
            <w:vAlign w:val="bottom"/>
          </w:tcPr>
          <w:p>
            <w:pPr>
              <w:jc w:val="center"/>
              <w:spacing w:after="0" w:line="166" w:lineRule="exact"/>
              <w:rPr>
                <w:sz w:val="20"/>
                <w:szCs w:val="20"/>
                <w:color w:val="auto"/>
              </w:rPr>
            </w:pPr>
            <w:r>
              <w:rPr>
                <w:rFonts w:ascii="Arial" w:cs="Arial" w:eastAsia="Arial" w:hAnsi="Arial"/>
                <w:sz w:val="15"/>
                <w:szCs w:val="15"/>
                <w:color w:val="auto"/>
                <w:w w:val="98"/>
              </w:rPr>
              <w:t>$ 17,657,431</w:t>
            </w:r>
          </w:p>
        </w:tc>
      </w:tr>
      <w:tr>
        <w:trPr>
          <w:trHeight w:val="166"/>
        </w:trPr>
        <w:tc>
          <w:tcPr>
            <w:tcW w:w="28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April 1-30, 2022</w:t>
            </w:r>
          </w:p>
        </w:tc>
        <w:tc>
          <w:tcPr>
            <w:tcW w:w="1520" w:type="dxa"/>
            <w:vAlign w:val="bottom"/>
            <w:shd w:val="clear" w:color="auto" w:fill="CCEEFF"/>
          </w:tcPr>
          <w:p>
            <w:pPr>
              <w:jc w:val="center"/>
              <w:ind w:left="106"/>
              <w:spacing w:after="0" w:line="166" w:lineRule="exact"/>
              <w:rPr>
                <w:sz w:val="20"/>
                <w:szCs w:val="20"/>
                <w:color w:val="auto"/>
              </w:rPr>
            </w:pPr>
            <w:r>
              <w:rPr>
                <w:rFonts w:ascii="Arial" w:cs="Arial" w:eastAsia="Arial" w:hAnsi="Arial"/>
                <w:sz w:val="15"/>
                <w:szCs w:val="15"/>
                <w:color w:val="auto"/>
              </w:rPr>
              <w:t>35,383</w:t>
            </w:r>
          </w:p>
        </w:tc>
        <w:tc>
          <w:tcPr>
            <w:tcW w:w="160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5"/>
              </w:rPr>
              <w:t>$ 15.59</w:t>
            </w:r>
          </w:p>
        </w:tc>
        <w:tc>
          <w:tcPr>
            <w:tcW w:w="148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5"/>
              </w:rPr>
              <w:t>35,383</w:t>
            </w:r>
          </w:p>
        </w:tc>
        <w:tc>
          <w:tcPr>
            <w:tcW w:w="152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$ 17,104,733</w:t>
            </w:r>
          </w:p>
        </w:tc>
      </w:tr>
      <w:tr>
        <w:trPr>
          <w:trHeight w:val="166"/>
        </w:trPr>
        <w:tc>
          <w:tcPr>
            <w:tcW w:w="2820" w:type="dxa"/>
            <w:vAlign w:val="bottom"/>
          </w:tcPr>
          <w:p>
            <w:pPr>
              <w:ind w:left="20"/>
              <w:spacing w:after="0" w:line="166" w:lineRule="exact"/>
              <w:rPr>
                <w:sz w:val="20"/>
                <w:szCs w:val="20"/>
                <w:color w:val="auto"/>
              </w:rPr>
            </w:pPr>
            <w:r>
              <w:rPr>
                <w:rFonts w:ascii="Arial" w:cs="Arial" w:eastAsia="Arial" w:hAnsi="Arial"/>
                <w:sz w:val="15"/>
                <w:szCs w:val="15"/>
                <w:color w:val="auto"/>
              </w:rPr>
              <w:t>May 1-31, 2022</w:t>
            </w:r>
          </w:p>
        </w:tc>
        <w:tc>
          <w:tcPr>
            <w:tcW w:w="1520" w:type="dxa"/>
            <w:vAlign w:val="bottom"/>
          </w:tcPr>
          <w:p>
            <w:pPr>
              <w:jc w:val="center"/>
              <w:ind w:left="106"/>
              <w:spacing w:after="0" w:line="166" w:lineRule="exact"/>
              <w:rPr>
                <w:sz w:val="20"/>
                <w:szCs w:val="20"/>
                <w:color w:val="auto"/>
              </w:rPr>
            </w:pPr>
            <w:r>
              <w:rPr>
                <w:rFonts w:ascii="Arial" w:cs="Arial" w:eastAsia="Arial" w:hAnsi="Arial"/>
                <w:sz w:val="15"/>
                <w:szCs w:val="15"/>
                <w:color w:val="auto"/>
              </w:rPr>
              <w:t>32,423</w:t>
            </w:r>
          </w:p>
        </w:tc>
        <w:tc>
          <w:tcPr>
            <w:tcW w:w="1600" w:type="dxa"/>
            <w:vAlign w:val="bottom"/>
          </w:tcPr>
          <w:p>
            <w:pPr>
              <w:jc w:val="center"/>
              <w:spacing w:after="0" w:line="166" w:lineRule="exact"/>
              <w:rPr>
                <w:sz w:val="20"/>
                <w:szCs w:val="20"/>
                <w:color w:val="auto"/>
              </w:rPr>
            </w:pPr>
            <w:r>
              <w:rPr>
                <w:rFonts w:ascii="Arial" w:cs="Arial" w:eastAsia="Arial" w:hAnsi="Arial"/>
                <w:sz w:val="15"/>
                <w:szCs w:val="15"/>
                <w:color w:val="auto"/>
                <w:w w:val="95"/>
              </w:rPr>
              <w:t>$ 15.73</w:t>
            </w:r>
          </w:p>
        </w:tc>
        <w:tc>
          <w:tcPr>
            <w:tcW w:w="1480" w:type="dxa"/>
            <w:vAlign w:val="bottom"/>
          </w:tcPr>
          <w:p>
            <w:pPr>
              <w:jc w:val="center"/>
              <w:spacing w:after="0" w:line="166" w:lineRule="exact"/>
              <w:rPr>
                <w:sz w:val="20"/>
                <w:szCs w:val="20"/>
                <w:color w:val="auto"/>
              </w:rPr>
            </w:pPr>
            <w:r>
              <w:rPr>
                <w:rFonts w:ascii="Arial" w:cs="Arial" w:eastAsia="Arial" w:hAnsi="Arial"/>
                <w:sz w:val="15"/>
                <w:szCs w:val="15"/>
                <w:color w:val="auto"/>
                <w:w w:val="95"/>
              </w:rPr>
              <w:t>32,423</w:t>
            </w:r>
          </w:p>
        </w:tc>
        <w:tc>
          <w:tcPr>
            <w:tcW w:w="1520" w:type="dxa"/>
            <w:vAlign w:val="bottom"/>
          </w:tcPr>
          <w:p>
            <w:pPr>
              <w:jc w:val="center"/>
              <w:spacing w:after="0" w:line="166" w:lineRule="exact"/>
              <w:rPr>
                <w:sz w:val="20"/>
                <w:szCs w:val="20"/>
                <w:color w:val="auto"/>
              </w:rPr>
            </w:pPr>
            <w:r>
              <w:rPr>
                <w:rFonts w:ascii="Arial" w:cs="Arial" w:eastAsia="Arial" w:hAnsi="Arial"/>
                <w:sz w:val="15"/>
                <w:szCs w:val="15"/>
                <w:color w:val="auto"/>
                <w:w w:val="98"/>
              </w:rPr>
              <w:t>$ 16,593,650</w:t>
            </w:r>
          </w:p>
        </w:tc>
      </w:tr>
      <w:tr>
        <w:trPr>
          <w:trHeight w:val="166"/>
        </w:trPr>
        <w:tc>
          <w:tcPr>
            <w:tcW w:w="28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June 1-30, 2022</w:t>
            </w:r>
          </w:p>
        </w:tc>
        <w:tc>
          <w:tcPr>
            <w:tcW w:w="1520" w:type="dxa"/>
            <w:vAlign w:val="bottom"/>
            <w:shd w:val="clear" w:color="auto" w:fill="CCEEFF"/>
          </w:tcPr>
          <w:p>
            <w:pPr>
              <w:jc w:val="center"/>
              <w:ind w:left="86"/>
              <w:spacing w:after="0" w:line="166" w:lineRule="exact"/>
              <w:rPr>
                <w:sz w:val="20"/>
                <w:szCs w:val="20"/>
                <w:color w:val="auto"/>
              </w:rPr>
            </w:pPr>
            <w:r>
              <w:rPr>
                <w:rFonts w:ascii="Arial" w:cs="Arial" w:eastAsia="Arial" w:hAnsi="Arial"/>
                <w:sz w:val="15"/>
                <w:szCs w:val="15"/>
                <w:color w:val="auto"/>
                <w:w w:val="95"/>
              </w:rPr>
              <w:t>1</w:t>
            </w:r>
          </w:p>
        </w:tc>
        <w:tc>
          <w:tcPr>
            <w:tcW w:w="160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5"/>
              </w:rPr>
              <w:t>$ 16.00</w:t>
            </w:r>
          </w:p>
        </w:tc>
        <w:tc>
          <w:tcPr>
            <w:tcW w:w="148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5"/>
              </w:rPr>
              <w:t>1</w:t>
            </w:r>
          </w:p>
        </w:tc>
        <w:tc>
          <w:tcPr>
            <w:tcW w:w="152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$ 16,593,634</w:t>
            </w:r>
          </w:p>
        </w:tc>
      </w:tr>
      <w:tr>
        <w:trPr>
          <w:trHeight w:val="177"/>
        </w:trPr>
        <w:tc>
          <w:tcPr>
            <w:tcW w:w="28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16F. CHANGE IN REGISTRANT’S CERTIFYING ACCOUNTANT</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On October 28, 2021, BDO LLP (“BDO”) resigned, at the request of the Company, as the Company’s independent registered public accounting firm. On that same date, the Company appointed Deloitte &amp; Touche LLP (“Deloitte”) as the Company’s independent registered public accounting firm for the fiscal year ending June 30, 2022, which was subsequently ratified at the annual general meeting of shareholders of the Company on March 16, 2022.</w:t>
      </w:r>
    </w:p>
    <w:p>
      <w:pPr>
        <w:spacing w:after="0" w:line="2"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information required to be disclosed pursuant to this Item 16F was previously reported on Form 6-K, filed with the SEC on October 29, 2021.</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16G. CORPORATE GOVERNANCE</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As a “foreign private issuer,” as defined by the SEC, we are permitted to follow home country corporate governance practices, instead of certain corporate governance practices required by the Nasdaq Global Market for U.S. domestic issuers. While we intend to follow most Nasdaq Global Market corporate governance listing standards, we follow Bermuda corporate governance practices in lieu of Nasdaq Global Market corporate governance listing standards as follows:</w:t>
      </w:r>
    </w:p>
    <w:p>
      <w:pPr>
        <w:spacing w:after="0" w:line="151" w:lineRule="exact"/>
        <w:rPr>
          <w:sz w:val="20"/>
          <w:szCs w:val="20"/>
          <w:color w:val="auto"/>
        </w:rPr>
      </w:pPr>
    </w:p>
    <w:p>
      <w:pPr>
        <w:ind w:left="680" w:right="59" w:hanging="413"/>
        <w:spacing w:after="0"/>
        <w:tabs>
          <w:tab w:leader="none" w:pos="680" w:val="left"/>
        </w:tabs>
        <w:numPr>
          <w:ilvl w:val="0"/>
          <w:numId w:val="58"/>
        </w:numPr>
        <w:rPr>
          <w:rFonts w:ascii="Times New Roman" w:cs="Times New Roman" w:eastAsia="Times New Roman" w:hAnsi="Times New Roman"/>
          <w:sz w:val="15"/>
          <w:szCs w:val="15"/>
          <w:color w:val="auto"/>
        </w:rPr>
      </w:pPr>
      <w:r>
        <w:rPr>
          <w:rFonts w:ascii="Arial" w:cs="Arial" w:eastAsia="Arial" w:hAnsi="Arial"/>
          <w:sz w:val="15"/>
          <w:szCs w:val="15"/>
          <w:color w:val="auto"/>
        </w:rPr>
        <w:t>Exemption from the requirement to have a compensation committee comprised solely of independent members of the board of directors;</w:t>
      </w:r>
    </w:p>
    <w:p>
      <w:pPr>
        <w:jc w:val="both"/>
        <w:ind w:left="680" w:right="59" w:hanging="413"/>
        <w:spacing w:after="0" w:line="236" w:lineRule="auto"/>
        <w:tabs>
          <w:tab w:leader="none" w:pos="680" w:val="left"/>
        </w:tabs>
        <w:numPr>
          <w:ilvl w:val="0"/>
          <w:numId w:val="58"/>
        </w:numPr>
        <w:rPr>
          <w:rFonts w:ascii="Times New Roman" w:cs="Times New Roman" w:eastAsia="Times New Roman" w:hAnsi="Times New Roman"/>
          <w:sz w:val="15"/>
          <w:szCs w:val="15"/>
          <w:color w:val="auto"/>
        </w:rPr>
      </w:pPr>
      <w:r>
        <w:rPr>
          <w:rFonts w:ascii="Arial" w:cs="Arial" w:eastAsia="Arial" w:hAnsi="Arial"/>
          <w:sz w:val="15"/>
          <w:szCs w:val="15"/>
          <w:color w:val="auto"/>
        </w:rPr>
        <w:t>Exemption from quorum requirements applicable to meetings of shareholders. Such quorum requirements are not required under Bermuda law. In accordance with generally accepted business practice, our amended and restated articles of association provide alternative quorum requirements that are generally applicable to meetings of shareholders;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80" w:right="59" w:hanging="413"/>
        <w:spacing w:after="0" w:line="234" w:lineRule="auto"/>
        <w:tabs>
          <w:tab w:leader="none" w:pos="680" w:val="left"/>
        </w:tabs>
        <w:numPr>
          <w:ilvl w:val="0"/>
          <w:numId w:val="59"/>
        </w:numPr>
        <w:rPr>
          <w:rFonts w:ascii="Times New Roman" w:cs="Times New Roman" w:eastAsia="Times New Roman" w:hAnsi="Times New Roman"/>
          <w:sz w:val="15"/>
          <w:szCs w:val="15"/>
          <w:color w:val="auto"/>
        </w:rPr>
      </w:pPr>
      <w:r>
        <w:rPr>
          <w:rFonts w:ascii="Arial" w:cs="Arial" w:eastAsia="Arial" w:hAnsi="Arial"/>
          <w:sz w:val="15"/>
          <w:szCs w:val="15"/>
          <w:color w:val="auto"/>
        </w:rPr>
        <w:t>Exemption from the Nasdaq Global Market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Global Market corporate governance listing standards, as permitted by the foreign private issuer exemption; and</w:t>
      </w:r>
    </w:p>
    <w:p>
      <w:pPr>
        <w:spacing w:after="0" w:line="2" w:lineRule="exact"/>
        <w:rPr>
          <w:rFonts w:ascii="Times New Roman" w:cs="Times New Roman" w:eastAsia="Times New Roman" w:hAnsi="Times New Roman"/>
          <w:sz w:val="15"/>
          <w:szCs w:val="15"/>
          <w:color w:val="auto"/>
        </w:rPr>
      </w:pPr>
    </w:p>
    <w:p>
      <w:pPr>
        <w:ind w:left="680" w:right="39" w:hanging="413"/>
        <w:spacing w:after="0" w:line="239" w:lineRule="auto"/>
        <w:tabs>
          <w:tab w:leader="none" w:pos="680" w:val="left"/>
        </w:tabs>
        <w:numPr>
          <w:ilvl w:val="0"/>
          <w:numId w:val="59"/>
        </w:numPr>
        <w:rPr>
          <w:rFonts w:ascii="Times New Roman" w:cs="Times New Roman" w:eastAsia="Times New Roman" w:hAnsi="Times New Roman"/>
          <w:sz w:val="15"/>
          <w:szCs w:val="15"/>
          <w:color w:val="auto"/>
        </w:rPr>
      </w:pPr>
      <w:r>
        <w:rPr>
          <w:rFonts w:ascii="Arial" w:cs="Arial" w:eastAsia="Arial" w:hAnsi="Arial"/>
          <w:sz w:val="15"/>
          <w:szCs w:val="15"/>
          <w:color w:val="auto"/>
        </w:rPr>
        <w:t>Exemption from the requirement to obtain shareholder approval for certain issuances of securities, including shareholder approval of share option plans.</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directors and senior management are not subject to short-swing profit and insider trading reporting obligations under Section 16 of the Exchange Act. They are, however, subject to the obligations to report changes in share ownership under Section 13 of the Exchange Act and related SEC rules.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16H. MINE SAFETY DISCLOSURE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16I. DISCLOSURE REGARDING FOREIGN JURISDICTIONS THAT PREVENT INSPECTIONS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Not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III</w:t>
      </w:r>
    </w:p>
    <w:p>
      <w:pPr>
        <w:spacing w:after="0" w:line="170"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4"/>
          <w:szCs w:val="14"/>
          <w:b w:val="1"/>
          <w:bCs w:val="1"/>
          <w:color w:val="auto"/>
        </w:rPr>
        <w:t>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have elected to provide financial statements pursuant to Item 18.</w:t>
      </w:r>
    </w:p>
    <w:p>
      <w:pPr>
        <w:spacing w:after="0" w:line="170"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5"/>
          <w:szCs w:val="15"/>
          <w:b w:val="1"/>
          <w:bCs w:val="1"/>
          <w:color w:val="auto"/>
        </w:rPr>
        <w:t>ITEM 18.</w:t>
      </w:r>
      <w:r>
        <w:rPr>
          <w:sz w:val="20"/>
          <w:szCs w:val="20"/>
          <w:color w:val="auto"/>
        </w:rPr>
        <w:tab/>
      </w:r>
      <w:r>
        <w:rPr>
          <w:rFonts w:ascii="Arial" w:cs="Arial" w:eastAsia="Arial" w:hAnsi="Arial"/>
          <w:sz w:val="14"/>
          <w:szCs w:val="14"/>
          <w:b w:val="1"/>
          <w:bCs w:val="1"/>
          <w:color w:val="auto"/>
        </w:rPr>
        <w:t>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Our audited consolidated financial statements are included at the end of this annual report.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00" w:type="dxa"/>
            <w:vAlign w:val="bottom"/>
          </w:tcPr>
          <w:p>
            <w:pPr>
              <w:ind w:left="20"/>
              <w:spacing w:after="0"/>
              <w:rPr>
                <w:sz w:val="20"/>
                <w:szCs w:val="20"/>
                <w:color w:val="auto"/>
              </w:rPr>
            </w:pPr>
            <w:r>
              <w:rPr>
                <w:rFonts w:ascii="Arial" w:cs="Arial" w:eastAsia="Arial" w:hAnsi="Arial"/>
                <w:sz w:val="15"/>
                <w:szCs w:val="15"/>
                <w:b w:val="1"/>
                <w:bCs w:val="1"/>
                <w:color w:val="auto"/>
              </w:rPr>
              <w:t>ITEM 19.</w:t>
            </w:r>
          </w:p>
        </w:tc>
        <w:tc>
          <w:tcPr>
            <w:tcW w:w="8600" w:type="dxa"/>
            <w:vAlign w:val="bottom"/>
            <w:gridSpan w:val="31"/>
          </w:tcPr>
          <w:p>
            <w:pPr>
              <w:ind w:left="80"/>
              <w:spacing w:after="0"/>
              <w:rPr>
                <w:sz w:val="20"/>
                <w:szCs w:val="20"/>
                <w:color w:val="auto"/>
              </w:rPr>
            </w:pPr>
            <w:r>
              <w:rPr>
                <w:rFonts w:ascii="Arial" w:cs="Arial" w:eastAsia="Arial" w:hAnsi="Arial"/>
                <w:sz w:val="15"/>
                <w:szCs w:val="15"/>
                <w:b w:val="1"/>
                <w:bCs w:val="1"/>
                <w:color w:val="auto"/>
              </w:rPr>
              <w:t>EXHIBITS</w:t>
            </w:r>
          </w:p>
        </w:tc>
        <w:tc>
          <w:tcPr>
            <w:tcW w:w="0" w:type="dxa"/>
            <w:vAlign w:val="bottom"/>
          </w:tcPr>
          <w:p>
            <w:pPr>
              <w:spacing w:after="0"/>
              <w:rPr>
                <w:sz w:val="1"/>
                <w:szCs w:val="1"/>
                <w:color w:val="auto"/>
              </w:rPr>
            </w:pPr>
          </w:p>
        </w:tc>
      </w:tr>
      <w:tr>
        <w:trPr>
          <w:trHeight w:val="184"/>
        </w:trPr>
        <w:tc>
          <w:tcPr>
            <w:tcW w:w="9300" w:type="dxa"/>
            <w:vAlign w:val="bottom"/>
            <w:gridSpan w:val="32"/>
          </w:tcPr>
          <w:p>
            <w:pPr>
              <w:ind w:left="20"/>
              <w:spacing w:after="0"/>
              <w:rPr>
                <w:sz w:val="20"/>
                <w:szCs w:val="20"/>
                <w:color w:val="auto"/>
              </w:rPr>
            </w:pPr>
            <w:r>
              <w:rPr>
                <w:rFonts w:ascii="Arial" w:cs="Arial" w:eastAsia="Arial" w:hAnsi="Arial"/>
                <w:sz w:val="15"/>
                <w:szCs w:val="15"/>
                <w:color w:val="auto"/>
              </w:rPr>
              <w:t>The following exhibits are filed as part of this annual report on Form 20-F:</w:t>
            </w:r>
          </w:p>
        </w:tc>
        <w:tc>
          <w:tcPr>
            <w:tcW w:w="0" w:type="dxa"/>
            <w:vAlign w:val="bottom"/>
          </w:tcPr>
          <w:p>
            <w:pPr>
              <w:spacing w:after="0"/>
              <w:rPr>
                <w:sz w:val="1"/>
                <w:szCs w:val="1"/>
                <w:color w:val="auto"/>
              </w:rPr>
            </w:pPr>
          </w:p>
        </w:tc>
      </w:tr>
      <w:tr>
        <w:trPr>
          <w:trHeight w:val="133"/>
        </w:trPr>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80" w:type="dxa"/>
            <w:vAlign w:val="bottom"/>
            <w:gridSpan w:val="28"/>
          </w:tcPr>
          <w:p>
            <w:pPr>
              <w:spacing w:after="0"/>
              <w:rPr>
                <w:sz w:val="20"/>
                <w:szCs w:val="20"/>
                <w:color w:val="auto"/>
              </w:rPr>
            </w:pPr>
            <w:r>
              <w:rPr>
                <w:rFonts w:ascii="Arial" w:cs="Arial" w:eastAsia="Arial" w:hAnsi="Arial"/>
                <w:sz w:val="12"/>
                <w:szCs w:val="12"/>
                <w:b w:val="1"/>
                <w:bCs w:val="1"/>
                <w:color w:val="auto"/>
              </w:rPr>
              <w:t>Description of Document</w:t>
            </w:r>
          </w:p>
        </w:tc>
        <w:tc>
          <w:tcPr>
            <w:tcW w:w="0" w:type="dxa"/>
            <w:vAlign w:val="bottom"/>
          </w:tcPr>
          <w:p>
            <w:pPr>
              <w:spacing w:after="0"/>
              <w:rPr>
                <w:sz w:val="1"/>
                <w:szCs w:val="1"/>
                <w:color w:val="auto"/>
              </w:rPr>
            </w:pPr>
          </w:p>
        </w:tc>
      </w:tr>
      <w:tr>
        <w:trPr>
          <w:trHeight w:val="135"/>
        </w:trPr>
        <w:tc>
          <w:tcPr>
            <w:tcW w:w="70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5"/>
                <w:szCs w:val="15"/>
                <w:color w:val="auto"/>
              </w:rPr>
              <w:t>1.1</w:t>
            </w:r>
          </w:p>
        </w:tc>
        <w:tc>
          <w:tcPr>
            <w:tcW w:w="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100" w:type="dxa"/>
            <w:vAlign w:val="bottom"/>
            <w:tcBorders>
              <w:top w:val="single" w:sz="8" w:color="auto"/>
              <w:bottom w:val="single" w:sz="8" w:color="0000EE"/>
            </w:tcBorders>
            <w:gridSpan w:val="19"/>
          </w:tcPr>
          <w:p>
            <w:pPr>
              <w:spacing w:after="0" w:line="135" w:lineRule="exact"/>
              <w:rPr>
                <w:rFonts w:ascii="Arial" w:cs="Arial" w:eastAsia="Arial" w:hAnsi="Arial"/>
                <w:sz w:val="15"/>
                <w:szCs w:val="15"/>
                <w:color w:val="0000EE"/>
              </w:rPr>
            </w:pPr>
            <w:hyperlink r:id="rId151">
              <w:r>
                <w:rPr>
                  <w:rFonts w:ascii="Arial" w:cs="Arial" w:eastAsia="Arial" w:hAnsi="Arial"/>
                  <w:sz w:val="15"/>
                  <w:szCs w:val="15"/>
                  <w:color w:val="0000EE"/>
                </w:rPr>
                <w:t>Memorandum of Association (Incorporated by reference to Exhibit 3.1 to the Registration Statement on Form F-1 (File No.</w:t>
              </w:r>
            </w:hyperlink>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gridSpan w:val="25"/>
          </w:tcPr>
          <w:p>
            <w:pPr>
              <w:spacing w:after="0" w:line="146" w:lineRule="exact"/>
              <w:rPr>
                <w:rFonts w:ascii="Arial" w:cs="Arial" w:eastAsia="Arial" w:hAnsi="Arial"/>
                <w:sz w:val="15"/>
                <w:szCs w:val="15"/>
                <w:color w:val="0000EE"/>
              </w:rPr>
            </w:pPr>
            <w:hyperlink r:id="rId151">
              <w:r>
                <w:rPr>
                  <w:rFonts w:ascii="Arial" w:cs="Arial" w:eastAsia="Arial" w:hAnsi="Arial"/>
                  <w:sz w:val="15"/>
                  <w:szCs w:val="15"/>
                  <w:color w:val="0000EE"/>
                </w:rPr>
                <w:t>333-239821) as filed with the SEC on July 29,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000EE"/>
              <w:bottom w:val="single" w:sz="8" w:color="0000EE"/>
            </w:tcBorders>
            <w:gridSpan w:val="3"/>
          </w:tcPr>
          <w:p>
            <w:pPr>
              <w:spacing w:after="0" w:line="146" w:lineRule="exact"/>
              <w:rPr>
                <w:rFonts w:ascii="Arial" w:cs="Arial" w:eastAsia="Arial" w:hAnsi="Arial"/>
                <w:sz w:val="15"/>
                <w:szCs w:val="15"/>
                <w:color w:val="0000EE"/>
              </w:rPr>
            </w:pPr>
            <w:hyperlink r:id="rId152">
              <w:r>
                <w:rPr>
                  <w:rFonts w:ascii="Arial" w:cs="Arial" w:eastAsia="Arial" w:hAnsi="Arial"/>
                  <w:sz w:val="15"/>
                  <w:szCs w:val="15"/>
                  <w:color w:val="0000EE"/>
                </w:rPr>
                <w:t>Amended and Restated Bye-laws (Incorporated by</w:t>
              </w:r>
            </w:hyperlink>
          </w:p>
        </w:tc>
        <w:tc>
          <w:tcPr>
            <w:tcW w:w="4820" w:type="dxa"/>
            <w:vAlign w:val="bottom"/>
            <w:tcBorders>
              <w:bottom w:val="single" w:sz="8" w:color="0000EE"/>
            </w:tcBorders>
            <w:gridSpan w:val="23"/>
          </w:tcPr>
          <w:p>
            <w:pPr>
              <w:jc w:val="right"/>
              <w:ind w:right="320"/>
              <w:spacing w:after="0" w:line="146" w:lineRule="exact"/>
              <w:rPr>
                <w:rFonts w:ascii="Arial" w:cs="Arial" w:eastAsia="Arial" w:hAnsi="Arial"/>
                <w:sz w:val="15"/>
                <w:szCs w:val="15"/>
                <w:color w:val="0000EE"/>
                <w:w w:val="99"/>
              </w:rPr>
            </w:pPr>
            <w:hyperlink r:id="rId152">
              <w:r>
                <w:rPr>
                  <w:rFonts w:ascii="Arial" w:cs="Arial" w:eastAsia="Arial" w:hAnsi="Arial"/>
                  <w:sz w:val="15"/>
                  <w:szCs w:val="15"/>
                  <w:color w:val="0000EE"/>
                  <w:w w:val="99"/>
                </w:rPr>
                <w:t>reference to Exhibit 1.2 to the Annual Report on Form 20-F (File No.</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gridSpan w:val="28"/>
          </w:tcPr>
          <w:p>
            <w:pPr>
              <w:spacing w:after="0" w:line="168" w:lineRule="exact"/>
              <w:rPr>
                <w:rFonts w:ascii="Arial" w:cs="Arial" w:eastAsia="Arial" w:hAnsi="Arial"/>
                <w:sz w:val="15"/>
                <w:szCs w:val="15"/>
                <w:color w:val="0000EE"/>
              </w:rPr>
            </w:pPr>
            <w:hyperlink r:id="rId152">
              <w:r>
                <w:rPr>
                  <w:rFonts w:ascii="Arial" w:cs="Arial" w:eastAsia="Arial" w:hAnsi="Arial"/>
                  <w:sz w:val="15"/>
                  <w:szCs w:val="15"/>
                  <w:color w:val="0000EE"/>
                </w:rPr>
                <w:t>001-38442) as filed with the SEC on October 23, 2020).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tcPr>
          <w:p>
            <w:pPr>
              <w:ind w:left="20"/>
              <w:spacing w:after="0" w:line="168" w:lineRule="exact"/>
              <w:rPr>
                <w:sz w:val="20"/>
                <w:szCs w:val="20"/>
                <w:color w:val="auto"/>
              </w:rPr>
            </w:pPr>
            <w:r>
              <w:rPr>
                <w:rFonts w:ascii="Arial" w:cs="Arial" w:eastAsia="Arial" w:hAnsi="Arial"/>
                <w:sz w:val="15"/>
                <w:szCs w:val="15"/>
                <w:color w:val="auto"/>
              </w:rPr>
              <w:t>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gridSpan w:val="28"/>
          </w:tcPr>
          <w:p>
            <w:pPr>
              <w:spacing w:after="0" w:line="168" w:lineRule="exact"/>
              <w:rPr>
                <w:sz w:val="20"/>
                <w:szCs w:val="20"/>
                <w:color w:val="auto"/>
              </w:rPr>
            </w:pPr>
            <w:r>
              <w:rPr>
                <w:rFonts w:ascii="Arial" w:cs="Arial" w:eastAsia="Arial" w:hAnsi="Arial"/>
                <w:sz w:val="15"/>
                <w:szCs w:val="15"/>
                <w:color w:val="0000EE"/>
              </w:rPr>
              <w:t>Description of the Registrant’s securities registered pursuant to Section 12 of the Securities Exchange Act of 1934, as</w:t>
            </w: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80" w:type="dxa"/>
            <w:vAlign w:val="bottom"/>
            <w:tcBorders>
              <w:top w:val="single" w:sz="8" w:color="0000EE"/>
            </w:tcBorders>
            <w:gridSpan w:val="18"/>
          </w:tcPr>
          <w:p>
            <w:pPr>
              <w:spacing w:after="0" w:line="146" w:lineRule="exact"/>
              <w:rPr>
                <w:sz w:val="20"/>
                <w:szCs w:val="20"/>
                <w:color w:val="auto"/>
              </w:rPr>
            </w:pPr>
            <w:r>
              <w:rPr>
                <w:rFonts w:ascii="Arial" w:cs="Arial" w:eastAsia="Arial" w:hAnsi="Arial"/>
                <w:sz w:val="15"/>
                <w:szCs w:val="15"/>
                <w:color w:val="0000EE"/>
              </w:rPr>
              <w:t>amended.</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0000EE"/>
            </w:tcBorders>
          </w:tcPr>
          <w:p>
            <w:pPr>
              <w:spacing w:after="0" w:line="146" w:lineRule="exact"/>
              <w:rPr>
                <w:rFonts w:ascii="Arial" w:cs="Arial" w:eastAsia="Arial" w:hAnsi="Arial"/>
                <w:sz w:val="15"/>
                <w:szCs w:val="15"/>
                <w:color w:val="0000EE"/>
                <w:w w:val="77"/>
              </w:rPr>
            </w:pPr>
            <w:hyperlink r:id="rId153">
              <w:r>
                <w:rPr>
                  <w:rFonts w:ascii="Arial" w:cs="Arial" w:eastAsia="Arial" w:hAnsi="Arial"/>
                  <w:sz w:val="15"/>
                  <w:szCs w:val="15"/>
                  <w:color w:val="0000EE"/>
                  <w:w w:val="77"/>
                </w:rPr>
                <w:t>Registration</w:t>
              </w:r>
            </w:hyperlink>
          </w:p>
        </w:tc>
        <w:tc>
          <w:tcPr>
            <w:tcW w:w="7640" w:type="dxa"/>
            <w:vAlign w:val="bottom"/>
            <w:gridSpan w:val="27"/>
          </w:tcPr>
          <w:p>
            <w:pPr>
              <w:jc w:val="right"/>
              <w:ind w:right="360"/>
              <w:spacing w:after="0" w:line="146" w:lineRule="exact"/>
              <w:rPr>
                <w:rFonts w:ascii="Arial" w:cs="Arial" w:eastAsia="Arial" w:hAnsi="Arial"/>
                <w:sz w:val="15"/>
                <w:szCs w:val="15"/>
                <w:color w:val="0000EE"/>
              </w:rPr>
            </w:pPr>
            <w:hyperlink r:id="rId153">
              <w:r>
                <w:rPr>
                  <w:rFonts w:ascii="Arial" w:cs="Arial" w:eastAsia="Arial" w:hAnsi="Arial"/>
                  <w:sz w:val="15"/>
                  <w:szCs w:val="15"/>
                  <w:color w:val="0000EE"/>
                </w:rPr>
                <w:t>Rights Agreement, dated as of September 15, 2017, by and between IBEX Limited and The Resource Group</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60" w:type="dxa"/>
            <w:vAlign w:val="bottom"/>
            <w:tcBorders>
              <w:top w:val="single" w:sz="8" w:color="0000EE"/>
              <w:bottom w:val="single" w:sz="8" w:color="0000EE"/>
            </w:tcBorders>
            <w:gridSpan w:val="22"/>
          </w:tcPr>
          <w:p>
            <w:pPr>
              <w:spacing w:after="0" w:line="146" w:lineRule="exact"/>
              <w:rPr>
                <w:rFonts w:ascii="Arial" w:cs="Arial" w:eastAsia="Arial" w:hAnsi="Arial"/>
                <w:sz w:val="15"/>
                <w:szCs w:val="15"/>
                <w:color w:val="0000EE"/>
              </w:rPr>
            </w:pPr>
            <w:hyperlink r:id="rId153">
              <w:r>
                <w:rPr>
                  <w:rFonts w:ascii="Arial" w:cs="Arial" w:eastAsia="Arial" w:hAnsi="Arial"/>
                  <w:sz w:val="15"/>
                  <w:szCs w:val="15"/>
                  <w:color w:val="0000EE"/>
                </w:rPr>
                <w:t>International Limited (Incorporated by reference to Exhibit 10.1 to the Registration Statement on Form F-1 (File No. 333-</w:t>
              </w:r>
            </w:hyperlink>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Borders>
              <w:bottom w:val="single" w:sz="8" w:color="0000EE"/>
            </w:tcBorders>
            <w:gridSpan w:val="2"/>
          </w:tcPr>
          <w:p>
            <w:pPr>
              <w:spacing w:after="0" w:line="146" w:lineRule="exact"/>
              <w:rPr>
                <w:rFonts w:ascii="Arial" w:cs="Arial" w:eastAsia="Arial" w:hAnsi="Arial"/>
                <w:sz w:val="15"/>
                <w:szCs w:val="15"/>
                <w:color w:val="0000EE"/>
                <w:w w:val="97"/>
              </w:rPr>
            </w:pPr>
            <w:hyperlink r:id="rId153">
              <w:r>
                <w:rPr>
                  <w:rFonts w:ascii="Arial" w:cs="Arial" w:eastAsia="Arial" w:hAnsi="Arial"/>
                  <w:sz w:val="15"/>
                  <w:szCs w:val="15"/>
                  <w:color w:val="0000EE"/>
                  <w:w w:val="97"/>
                </w:rPr>
                <w:t>239821) as filed with the SEC on July 10, 2020).</w:t>
              </w:r>
            </w:hyperlink>
          </w:p>
        </w:tc>
        <w:tc>
          <w:tcPr>
            <w:tcW w:w="5040" w:type="dxa"/>
            <w:vAlign w:val="bottom"/>
            <w:gridSpan w:val="2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80" w:type="dxa"/>
            <w:vAlign w:val="bottom"/>
            <w:gridSpan w:val="28"/>
          </w:tcPr>
          <w:p>
            <w:pPr>
              <w:spacing w:after="0" w:line="146" w:lineRule="exact"/>
              <w:rPr>
                <w:rFonts w:ascii="Arial" w:cs="Arial" w:eastAsia="Arial" w:hAnsi="Arial"/>
                <w:sz w:val="15"/>
                <w:szCs w:val="15"/>
                <w:color w:val="0000EE"/>
              </w:rPr>
            </w:pPr>
            <w:hyperlink r:id="rId154">
              <w:r>
                <w:rPr>
                  <w:rFonts w:ascii="Arial" w:cs="Arial" w:eastAsia="Arial" w:hAnsi="Arial"/>
                  <w:sz w:val="15"/>
                  <w:szCs w:val="15"/>
                  <w:color w:val="0000EE"/>
                </w:rPr>
                <w:t>Stockholders’ Agreement, dated as of September 15, 2017, by and between IBEX Limited and The Resource Group</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EE"/>
              <w:bottom w:val="single" w:sz="8" w:color="0000EE"/>
            </w:tcBorders>
            <w:gridSpan w:val="11"/>
          </w:tcPr>
          <w:p>
            <w:pPr>
              <w:spacing w:after="0" w:line="146" w:lineRule="exact"/>
              <w:rPr>
                <w:rFonts w:ascii="Arial" w:cs="Arial" w:eastAsia="Arial" w:hAnsi="Arial"/>
                <w:sz w:val="15"/>
                <w:szCs w:val="15"/>
                <w:color w:val="0000EE"/>
                <w:w w:val="99"/>
              </w:rPr>
            </w:pPr>
            <w:hyperlink r:id="rId154">
              <w:r>
                <w:rPr>
                  <w:rFonts w:ascii="Arial" w:cs="Arial" w:eastAsia="Arial" w:hAnsi="Arial"/>
                  <w:sz w:val="15"/>
                  <w:szCs w:val="15"/>
                  <w:color w:val="0000EE"/>
                  <w:w w:val="99"/>
                </w:rPr>
                <w:t>International, Limited (Incorporated by reference to Exhibit 10.2 to the Registration Statement on Form F-1 (File No. 333-</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60" w:type="dxa"/>
            <w:vAlign w:val="bottom"/>
            <w:gridSpan w:val="17"/>
          </w:tcPr>
          <w:p>
            <w:pPr>
              <w:spacing w:after="0" w:line="146" w:lineRule="exact"/>
              <w:rPr>
                <w:rFonts w:ascii="Arial" w:cs="Arial" w:eastAsia="Arial" w:hAnsi="Arial"/>
                <w:sz w:val="15"/>
                <w:szCs w:val="15"/>
                <w:color w:val="0000EE"/>
              </w:rPr>
            </w:pPr>
            <w:hyperlink r:id="rId154">
              <w:r>
                <w:rPr>
                  <w:rFonts w:ascii="Arial" w:cs="Arial" w:eastAsia="Arial" w:hAnsi="Arial"/>
                  <w:sz w:val="15"/>
                  <w:szCs w:val="15"/>
                  <w:color w:val="0000EE"/>
                </w:rPr>
                <w:t>239821) as filed with the SEC on July 10,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Borders>
              <w:top w:val="single" w:sz="8" w:color="0000EE"/>
            </w:tcBorders>
            <w:gridSpan w:val="2"/>
          </w:tcPr>
          <w:p>
            <w:pPr>
              <w:spacing w:after="0" w:line="146" w:lineRule="exact"/>
              <w:rPr>
                <w:rFonts w:ascii="Arial" w:cs="Arial" w:eastAsia="Arial" w:hAnsi="Arial"/>
                <w:sz w:val="15"/>
                <w:szCs w:val="15"/>
                <w:color w:val="0000EE"/>
                <w:w w:val="97"/>
              </w:rPr>
            </w:pPr>
            <w:hyperlink r:id="rId155">
              <w:r>
                <w:rPr>
                  <w:rFonts w:ascii="Arial" w:cs="Arial" w:eastAsia="Arial" w:hAnsi="Arial"/>
                  <w:sz w:val="15"/>
                  <w:szCs w:val="15"/>
                  <w:color w:val="0000EE"/>
                  <w:w w:val="97"/>
                </w:rPr>
                <w:t>Revolving Credit and Security Agreement, dated</w:t>
              </w:r>
            </w:hyperlink>
          </w:p>
        </w:tc>
        <w:tc>
          <w:tcPr>
            <w:tcW w:w="5140" w:type="dxa"/>
            <w:vAlign w:val="bottom"/>
            <w:gridSpan w:val="26"/>
          </w:tcPr>
          <w:p>
            <w:pPr>
              <w:jc w:val="right"/>
              <w:ind w:right="360"/>
              <w:spacing w:after="0" w:line="146" w:lineRule="exact"/>
              <w:rPr>
                <w:rFonts w:ascii="Arial" w:cs="Arial" w:eastAsia="Arial" w:hAnsi="Arial"/>
                <w:sz w:val="15"/>
                <w:szCs w:val="15"/>
                <w:color w:val="0000EE"/>
              </w:rPr>
            </w:pPr>
            <w:hyperlink r:id="rId155">
              <w:r>
                <w:rPr>
                  <w:rFonts w:ascii="Arial" w:cs="Arial" w:eastAsia="Arial" w:hAnsi="Arial"/>
                  <w:sz w:val="15"/>
                  <w:szCs w:val="15"/>
                  <w:color w:val="0000EE"/>
                </w:rPr>
                <w:t>November 8, 2013, by and between TRG Customer Solutions, Inc. and</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0" w:type="dxa"/>
            <w:vAlign w:val="bottom"/>
            <w:tcBorders>
              <w:top w:val="single" w:sz="8" w:color="0000EE"/>
            </w:tcBorders>
            <w:gridSpan w:val="24"/>
          </w:tcPr>
          <w:p>
            <w:pPr>
              <w:spacing w:after="0" w:line="146" w:lineRule="exact"/>
              <w:rPr>
                <w:rFonts w:ascii="Arial" w:cs="Arial" w:eastAsia="Arial" w:hAnsi="Arial"/>
                <w:sz w:val="15"/>
                <w:szCs w:val="15"/>
                <w:color w:val="0000EE"/>
              </w:rPr>
            </w:pPr>
            <w:hyperlink r:id="rId155">
              <w:r>
                <w:rPr>
                  <w:rFonts w:ascii="Arial" w:cs="Arial" w:eastAsia="Arial" w:hAnsi="Arial"/>
                  <w:sz w:val="15"/>
                  <w:szCs w:val="15"/>
                  <w:color w:val="0000EE"/>
                </w:rPr>
                <w:t>PNC Bank, N.A. (Incorporated by reference to Exhibit 10.3 to the Registration Statement on Form F-1 (File No. 333-</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40" w:type="dxa"/>
            <w:vAlign w:val="bottom"/>
            <w:tcBorders>
              <w:top w:val="single" w:sz="8" w:color="0000EE"/>
            </w:tcBorders>
            <w:gridSpan w:val="16"/>
          </w:tcPr>
          <w:p>
            <w:pPr>
              <w:spacing w:after="0" w:line="146" w:lineRule="exact"/>
              <w:rPr>
                <w:rFonts w:ascii="Arial" w:cs="Arial" w:eastAsia="Arial" w:hAnsi="Arial"/>
                <w:sz w:val="15"/>
                <w:szCs w:val="15"/>
                <w:color w:val="0000EE"/>
              </w:rPr>
            </w:pPr>
            <w:hyperlink r:id="rId155">
              <w:r>
                <w:rPr>
                  <w:rFonts w:ascii="Arial" w:cs="Arial" w:eastAsia="Arial" w:hAnsi="Arial"/>
                  <w:sz w:val="15"/>
                  <w:szCs w:val="15"/>
                  <w:color w:val="0000EE"/>
                </w:rPr>
                <w:t>239821) as filed with the SEC on July 10,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Borders>
              <w:top w:val="single" w:sz="8" w:color="0000EE"/>
            </w:tcBorders>
            <w:gridSpan w:val="2"/>
          </w:tcPr>
          <w:p>
            <w:pPr>
              <w:spacing w:after="0" w:line="146" w:lineRule="exact"/>
              <w:rPr>
                <w:rFonts w:ascii="Arial" w:cs="Arial" w:eastAsia="Arial" w:hAnsi="Arial"/>
                <w:sz w:val="15"/>
                <w:szCs w:val="15"/>
                <w:color w:val="0000EE"/>
              </w:rPr>
            </w:pPr>
            <w:hyperlink r:id="rId156">
              <w:r>
                <w:rPr>
                  <w:rFonts w:ascii="Arial" w:cs="Arial" w:eastAsia="Arial" w:hAnsi="Arial"/>
                  <w:sz w:val="15"/>
                  <w:szCs w:val="15"/>
                  <w:color w:val="0000EE"/>
                </w:rPr>
                <w:t>First Amendment, dated May 21, 2014, to the</w:t>
              </w:r>
            </w:hyperlink>
          </w:p>
        </w:tc>
        <w:tc>
          <w:tcPr>
            <w:tcW w:w="5140" w:type="dxa"/>
            <w:vAlign w:val="bottom"/>
            <w:gridSpan w:val="26"/>
          </w:tcPr>
          <w:p>
            <w:pPr>
              <w:jc w:val="right"/>
              <w:ind w:right="360"/>
              <w:spacing w:after="0" w:line="146" w:lineRule="exact"/>
              <w:rPr>
                <w:rFonts w:ascii="Arial" w:cs="Arial" w:eastAsia="Arial" w:hAnsi="Arial"/>
                <w:sz w:val="15"/>
                <w:szCs w:val="15"/>
                <w:color w:val="0000EE"/>
                <w:w w:val="94"/>
              </w:rPr>
            </w:pPr>
            <w:hyperlink r:id="rId156">
              <w:r>
                <w:rPr>
                  <w:rFonts w:ascii="Arial" w:cs="Arial" w:eastAsia="Arial" w:hAnsi="Arial"/>
                  <w:sz w:val="15"/>
                  <w:szCs w:val="15"/>
                  <w:color w:val="0000EE"/>
                  <w:w w:val="94"/>
                </w:rPr>
                <w:t>Revolving Credit and Security Agreement, dated November 8, 2013, by and</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80" w:type="dxa"/>
            <w:vAlign w:val="bottom"/>
            <w:tcBorders>
              <w:top w:val="single" w:sz="8" w:color="0000EE"/>
            </w:tcBorders>
            <w:gridSpan w:val="13"/>
          </w:tcPr>
          <w:p>
            <w:pPr>
              <w:spacing w:after="0" w:line="146" w:lineRule="exact"/>
              <w:rPr>
                <w:rFonts w:ascii="Arial" w:cs="Arial" w:eastAsia="Arial" w:hAnsi="Arial"/>
                <w:sz w:val="15"/>
                <w:szCs w:val="15"/>
                <w:color w:val="0000EE"/>
                <w:w w:val="98"/>
              </w:rPr>
            </w:pPr>
            <w:hyperlink r:id="rId156">
              <w:r>
                <w:rPr>
                  <w:rFonts w:ascii="Arial" w:cs="Arial" w:eastAsia="Arial" w:hAnsi="Arial"/>
                  <w:sz w:val="15"/>
                  <w:szCs w:val="15"/>
                  <w:color w:val="0000EE"/>
                  <w:w w:val="98"/>
                </w:rPr>
                <w:t>between TRG Customer Solutions, Inc. and PNC Bank, N.A. (Incorporated by reference to Exhibit 10.4 to the Registration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60" w:type="dxa"/>
            <w:vAlign w:val="bottom"/>
            <w:tcBorders>
              <w:top w:val="single" w:sz="8" w:color="0000EE"/>
            </w:tcBorders>
            <w:gridSpan w:val="12"/>
          </w:tcPr>
          <w:p>
            <w:pPr>
              <w:spacing w:after="0" w:line="146" w:lineRule="exact"/>
              <w:rPr>
                <w:rFonts w:ascii="Arial" w:cs="Arial" w:eastAsia="Arial" w:hAnsi="Arial"/>
                <w:sz w:val="15"/>
                <w:szCs w:val="15"/>
                <w:color w:val="0000EE"/>
              </w:rPr>
            </w:pPr>
            <w:hyperlink r:id="rId156">
              <w:r>
                <w:rPr>
                  <w:rFonts w:ascii="Arial" w:cs="Arial" w:eastAsia="Arial" w:hAnsi="Arial"/>
                  <w:sz w:val="15"/>
                  <w:szCs w:val="15"/>
                  <w:color w:val="0000EE"/>
                </w:rPr>
                <w:t>Statement on Form F-1 (File No. 333-239821) as filed with the SEC on July 10,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tcBorders>
              <w:top w:val="single" w:sz="8" w:color="0000EE"/>
            </w:tcBorders>
            <w:gridSpan w:val="5"/>
          </w:tcPr>
          <w:p>
            <w:pPr>
              <w:spacing w:after="0" w:line="146" w:lineRule="exact"/>
              <w:rPr>
                <w:rFonts w:ascii="Arial" w:cs="Arial" w:eastAsia="Arial" w:hAnsi="Arial"/>
                <w:sz w:val="15"/>
                <w:szCs w:val="15"/>
                <w:color w:val="0000EE"/>
              </w:rPr>
            </w:pPr>
            <w:hyperlink r:id="rId157">
              <w:r>
                <w:rPr>
                  <w:rFonts w:ascii="Arial" w:cs="Arial" w:eastAsia="Arial" w:hAnsi="Arial"/>
                  <w:sz w:val="15"/>
                  <w:szCs w:val="15"/>
                  <w:color w:val="0000EE"/>
                </w:rPr>
                <w:t>Second Amendment, dated October 2, 2014, to the Revolving Credit and Security</w:t>
              </w:r>
            </w:hyperlink>
          </w:p>
        </w:tc>
        <w:tc>
          <w:tcPr>
            <w:tcW w:w="2680" w:type="dxa"/>
            <w:vAlign w:val="bottom"/>
            <w:gridSpan w:val="23"/>
          </w:tcPr>
          <w:p>
            <w:pPr>
              <w:jc w:val="right"/>
              <w:ind w:right="360"/>
              <w:spacing w:after="0" w:line="146" w:lineRule="exact"/>
              <w:rPr>
                <w:rFonts w:ascii="Arial" w:cs="Arial" w:eastAsia="Arial" w:hAnsi="Arial"/>
                <w:sz w:val="15"/>
                <w:szCs w:val="15"/>
                <w:color w:val="0000EE"/>
                <w:w w:val="91"/>
              </w:rPr>
            </w:pPr>
            <w:hyperlink r:id="rId157">
              <w:r>
                <w:rPr>
                  <w:rFonts w:ascii="Arial" w:cs="Arial" w:eastAsia="Arial" w:hAnsi="Arial"/>
                  <w:sz w:val="15"/>
                  <w:szCs w:val="15"/>
                  <w:color w:val="0000EE"/>
                  <w:w w:val="91"/>
                </w:rPr>
                <w:t>Agreement, dated November 8, 2013,</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00" w:type="dxa"/>
            <w:vAlign w:val="bottom"/>
            <w:tcBorders>
              <w:top w:val="single" w:sz="8" w:color="0000EE"/>
              <w:bottom w:val="single" w:sz="8" w:color="0000EE"/>
            </w:tcBorders>
            <w:gridSpan w:val="19"/>
          </w:tcPr>
          <w:p>
            <w:pPr>
              <w:spacing w:after="0" w:line="146" w:lineRule="exact"/>
              <w:rPr>
                <w:rFonts w:ascii="Arial" w:cs="Arial" w:eastAsia="Arial" w:hAnsi="Arial"/>
                <w:sz w:val="15"/>
                <w:szCs w:val="15"/>
                <w:color w:val="0000EE"/>
              </w:rPr>
            </w:pPr>
            <w:hyperlink r:id="rId157">
              <w:r>
                <w:rPr>
                  <w:rFonts w:ascii="Arial" w:cs="Arial" w:eastAsia="Arial" w:hAnsi="Arial"/>
                  <w:sz w:val="15"/>
                  <w:szCs w:val="15"/>
                  <w:color w:val="0000EE"/>
                </w:rPr>
                <w:t>by and between TRG Customer Solutions, Inc. and PNC Bank, N.A. (Incorporated by reference to Exhibit 10.5 to the</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100" w:type="dxa"/>
            <w:vAlign w:val="bottom"/>
            <w:tcBorders>
              <w:bottom w:val="single" w:sz="8" w:color="0000EE"/>
            </w:tcBorders>
            <w:gridSpan w:val="5"/>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40" w:type="dxa"/>
            <w:vAlign w:val="bottom"/>
            <w:tcBorders>
              <w:bottom w:val="single" w:sz="8" w:color="0000EE"/>
            </w:tcBorders>
            <w:gridSpan w:val="8"/>
          </w:tcPr>
          <w:p>
            <w:pPr>
              <w:spacing w:after="0" w:line="146" w:lineRule="exact"/>
              <w:rPr>
                <w:rFonts w:ascii="Arial" w:cs="Arial" w:eastAsia="Arial" w:hAnsi="Arial"/>
                <w:sz w:val="15"/>
                <w:szCs w:val="15"/>
                <w:color w:val="0000EE"/>
                <w:w w:val="97"/>
              </w:rPr>
            </w:pPr>
            <w:hyperlink r:id="rId157">
              <w:r>
                <w:rPr>
                  <w:rFonts w:ascii="Arial" w:cs="Arial" w:eastAsia="Arial" w:hAnsi="Arial"/>
                  <w:sz w:val="15"/>
                  <w:szCs w:val="15"/>
                  <w:color w:val="0000EE"/>
                  <w:w w:val="97"/>
                </w:rPr>
                <w:t>Registration Statement on Form F-1 (File No. 333-239821) as filed with the SEC on July 10, 2020).</w:t>
              </w:r>
            </w:hyperlink>
          </w:p>
        </w:tc>
        <w:tc>
          <w:tcPr>
            <w:tcW w:w="182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80" w:type="dxa"/>
            <w:vAlign w:val="bottom"/>
            <w:gridSpan w:val="28"/>
          </w:tcPr>
          <w:p>
            <w:pPr>
              <w:spacing w:after="0" w:line="146" w:lineRule="exact"/>
              <w:rPr>
                <w:rFonts w:ascii="Arial" w:cs="Arial" w:eastAsia="Arial" w:hAnsi="Arial"/>
                <w:sz w:val="15"/>
                <w:szCs w:val="15"/>
                <w:color w:val="0000EE"/>
              </w:rPr>
            </w:pPr>
            <w:hyperlink r:id="rId158">
              <w:r>
                <w:rPr>
                  <w:rFonts w:ascii="Arial" w:cs="Arial" w:eastAsia="Arial" w:hAnsi="Arial"/>
                  <w:sz w:val="15"/>
                  <w:szCs w:val="15"/>
                  <w:color w:val="0000EE"/>
                </w:rPr>
                <w:t>Third Amendment, dated February 23, 2015, to the Revolving Credit and Security Agreement, dated November 8, 2013,</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20" w:type="dxa"/>
            <w:vAlign w:val="bottom"/>
            <w:tcBorders>
              <w:top w:val="single" w:sz="8" w:color="0000EE"/>
            </w:tcBorders>
            <w:gridSpan w:val="10"/>
          </w:tcPr>
          <w:p>
            <w:pPr>
              <w:spacing w:after="0" w:line="146" w:lineRule="exact"/>
              <w:rPr>
                <w:rFonts w:ascii="Arial" w:cs="Arial" w:eastAsia="Arial" w:hAnsi="Arial"/>
                <w:sz w:val="15"/>
                <w:szCs w:val="15"/>
                <w:color w:val="0000EE"/>
              </w:rPr>
            </w:pPr>
            <w:hyperlink r:id="rId158">
              <w:r>
                <w:rPr>
                  <w:rFonts w:ascii="Arial" w:cs="Arial" w:eastAsia="Arial" w:hAnsi="Arial"/>
                  <w:sz w:val="15"/>
                  <w:szCs w:val="15"/>
                  <w:color w:val="0000EE"/>
                </w:rPr>
                <w:t>by and between TRG Customer Solutions, Inc. and PNC Bank, N.A. (Incorporated by reference to Exhibit 10.6 to the</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EE"/>
            </w:tcBorders>
            <w:gridSpan w:val="27"/>
          </w:tcPr>
          <w:p>
            <w:pPr>
              <w:spacing w:after="0" w:line="146" w:lineRule="exact"/>
              <w:rPr>
                <w:rFonts w:ascii="Arial" w:cs="Arial" w:eastAsia="Arial" w:hAnsi="Arial"/>
                <w:sz w:val="15"/>
                <w:szCs w:val="15"/>
                <w:color w:val="0000EE"/>
              </w:rPr>
            </w:pPr>
            <w:hyperlink r:id="rId158">
              <w:r>
                <w:rPr>
                  <w:rFonts w:ascii="Arial" w:cs="Arial" w:eastAsia="Arial" w:hAnsi="Arial"/>
                  <w:sz w:val="15"/>
                  <w:szCs w:val="15"/>
                  <w:color w:val="0000EE"/>
                </w:rPr>
                <w:t>Registration Statement on Form F-1 (File No. 333-239821) as filed with the SEC on July 10,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20" w:type="dxa"/>
            <w:vAlign w:val="bottom"/>
            <w:tcBorders>
              <w:top w:val="single" w:sz="8" w:color="0000EE"/>
            </w:tcBorders>
            <w:gridSpan w:val="7"/>
          </w:tcPr>
          <w:p>
            <w:pPr>
              <w:spacing w:after="0" w:line="146" w:lineRule="exact"/>
              <w:rPr>
                <w:rFonts w:ascii="Arial" w:cs="Arial" w:eastAsia="Arial" w:hAnsi="Arial"/>
                <w:sz w:val="15"/>
                <w:szCs w:val="15"/>
                <w:color w:val="0000EE"/>
                <w:w w:val="99"/>
              </w:rPr>
            </w:pPr>
            <w:hyperlink r:id="rId159">
              <w:r>
                <w:rPr>
                  <w:rFonts w:ascii="Arial" w:cs="Arial" w:eastAsia="Arial" w:hAnsi="Arial"/>
                  <w:sz w:val="15"/>
                  <w:szCs w:val="15"/>
                  <w:color w:val="0000EE"/>
                  <w:w w:val="99"/>
                </w:rPr>
                <w:t>Fourth Amendment, dated June 19, 2015, to the Revolving Credit and Security Agreement, dated</w:t>
              </w:r>
            </w:hyperlink>
          </w:p>
        </w:tc>
        <w:tc>
          <w:tcPr>
            <w:tcW w:w="1860" w:type="dxa"/>
            <w:vAlign w:val="bottom"/>
            <w:gridSpan w:val="21"/>
          </w:tcPr>
          <w:p>
            <w:pPr>
              <w:jc w:val="right"/>
              <w:ind w:right="360"/>
              <w:spacing w:after="0" w:line="146" w:lineRule="exact"/>
              <w:rPr>
                <w:rFonts w:ascii="Arial" w:cs="Arial" w:eastAsia="Arial" w:hAnsi="Arial"/>
                <w:sz w:val="15"/>
                <w:szCs w:val="15"/>
                <w:color w:val="0000EE"/>
              </w:rPr>
            </w:pPr>
            <w:hyperlink r:id="rId159">
              <w:r>
                <w:rPr>
                  <w:rFonts w:ascii="Arial" w:cs="Arial" w:eastAsia="Arial" w:hAnsi="Arial"/>
                  <w:sz w:val="15"/>
                  <w:szCs w:val="15"/>
                  <w:color w:val="0000EE"/>
                </w:rPr>
                <w:t>November 8, 2013, by</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00" w:type="dxa"/>
            <w:vAlign w:val="bottom"/>
            <w:tcBorders>
              <w:top w:val="single" w:sz="8" w:color="0000EE"/>
            </w:tcBorders>
            <w:gridSpan w:val="19"/>
          </w:tcPr>
          <w:p>
            <w:pPr>
              <w:spacing w:after="0" w:line="146" w:lineRule="exact"/>
              <w:rPr>
                <w:rFonts w:ascii="Arial" w:cs="Arial" w:eastAsia="Arial" w:hAnsi="Arial"/>
                <w:sz w:val="15"/>
                <w:szCs w:val="15"/>
                <w:color w:val="0000EE"/>
              </w:rPr>
            </w:pPr>
            <w:hyperlink r:id="rId159">
              <w:r>
                <w:rPr>
                  <w:rFonts w:ascii="Arial" w:cs="Arial" w:eastAsia="Arial" w:hAnsi="Arial"/>
                  <w:sz w:val="15"/>
                  <w:szCs w:val="15"/>
                  <w:color w:val="0000EE"/>
                </w:rPr>
                <w:t>and between TRG Customer Solutions, Inc. and PNC Bank, N.A. (Incorporated by reference to Exhibit 10.7 to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0" w:type="dxa"/>
            <w:vAlign w:val="bottom"/>
            <w:tcBorders>
              <w:top w:val="single" w:sz="8" w:color="0000EE"/>
            </w:tcBorders>
            <w:gridSpan w:val="14"/>
          </w:tcPr>
          <w:p>
            <w:pPr>
              <w:spacing w:after="0" w:line="146" w:lineRule="exact"/>
              <w:rPr>
                <w:rFonts w:ascii="Arial" w:cs="Arial" w:eastAsia="Arial" w:hAnsi="Arial"/>
                <w:sz w:val="15"/>
                <w:szCs w:val="15"/>
                <w:color w:val="0000EE"/>
              </w:rPr>
            </w:pPr>
            <w:hyperlink r:id="rId159">
              <w:r>
                <w:rPr>
                  <w:rFonts w:ascii="Arial" w:cs="Arial" w:eastAsia="Arial" w:hAnsi="Arial"/>
                  <w:sz w:val="15"/>
                  <w:szCs w:val="15"/>
                  <w:color w:val="0000EE"/>
                </w:rPr>
                <w:t>Registration Statement on Form F-1 (File No. 333-239821) as filed with the SEC on July 10, 2020).</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20" w:type="dxa"/>
            <w:vAlign w:val="bottom"/>
            <w:tcBorders>
              <w:top w:val="single" w:sz="8" w:color="0000EE"/>
            </w:tcBorders>
            <w:gridSpan w:val="7"/>
          </w:tcPr>
          <w:p>
            <w:pPr>
              <w:spacing w:after="0" w:line="146" w:lineRule="exact"/>
              <w:rPr>
                <w:rFonts w:ascii="Arial" w:cs="Arial" w:eastAsia="Arial" w:hAnsi="Arial"/>
                <w:sz w:val="15"/>
                <w:szCs w:val="15"/>
                <w:color w:val="0000EE"/>
              </w:rPr>
            </w:pPr>
            <w:hyperlink r:id="rId160">
              <w:r>
                <w:rPr>
                  <w:rFonts w:ascii="Arial" w:cs="Arial" w:eastAsia="Arial" w:hAnsi="Arial"/>
                  <w:sz w:val="15"/>
                  <w:szCs w:val="15"/>
                  <w:color w:val="0000EE"/>
                </w:rPr>
                <w:t>Fifth Amendment, dated June 26, 2015, to the Revolving Credit and Security Agreement, dated</w:t>
              </w:r>
            </w:hyperlink>
          </w:p>
        </w:tc>
        <w:tc>
          <w:tcPr>
            <w:tcW w:w="1860" w:type="dxa"/>
            <w:vAlign w:val="bottom"/>
            <w:gridSpan w:val="21"/>
          </w:tcPr>
          <w:p>
            <w:pPr>
              <w:jc w:val="right"/>
              <w:ind w:right="340"/>
              <w:spacing w:after="0" w:line="146" w:lineRule="exact"/>
              <w:rPr>
                <w:rFonts w:ascii="Arial" w:cs="Arial" w:eastAsia="Arial" w:hAnsi="Arial"/>
                <w:sz w:val="15"/>
                <w:szCs w:val="15"/>
                <w:color w:val="0000EE"/>
              </w:rPr>
            </w:pPr>
            <w:hyperlink r:id="rId160">
              <w:r>
                <w:rPr>
                  <w:rFonts w:ascii="Arial" w:cs="Arial" w:eastAsia="Arial" w:hAnsi="Arial"/>
                  <w:sz w:val="15"/>
                  <w:szCs w:val="15"/>
                  <w:color w:val="0000EE"/>
                </w:rPr>
                <w:t>November 8, 2013, by</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40" w:type="dxa"/>
            <w:vAlign w:val="bottom"/>
            <w:tcBorders>
              <w:top w:val="single" w:sz="8" w:color="0000EE"/>
            </w:tcBorders>
            <w:gridSpan w:val="26"/>
          </w:tcPr>
          <w:p>
            <w:pPr>
              <w:spacing w:after="0" w:line="146" w:lineRule="exact"/>
              <w:rPr>
                <w:rFonts w:ascii="Arial" w:cs="Arial" w:eastAsia="Arial" w:hAnsi="Arial"/>
                <w:sz w:val="15"/>
                <w:szCs w:val="15"/>
                <w:color w:val="0000EE"/>
              </w:rPr>
            </w:pPr>
            <w:hyperlink r:id="rId160">
              <w:r>
                <w:rPr>
                  <w:rFonts w:ascii="Arial" w:cs="Arial" w:eastAsia="Arial" w:hAnsi="Arial"/>
                  <w:sz w:val="15"/>
                  <w:szCs w:val="15"/>
                  <w:color w:val="0000EE"/>
                </w:rPr>
                <w:t>and between TRG Customer Solutions, Inc. and PNC Bank, N.A. (Incorporated by reference to Exhibit 10.8 to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0" w:type="dxa"/>
            <w:vAlign w:val="bottom"/>
            <w:tcBorders>
              <w:top w:val="single" w:sz="8" w:color="0000EE"/>
            </w:tcBorders>
            <w:gridSpan w:val="14"/>
          </w:tcPr>
          <w:p>
            <w:pPr>
              <w:spacing w:after="0" w:line="146" w:lineRule="exact"/>
              <w:rPr>
                <w:rFonts w:ascii="Arial" w:cs="Arial" w:eastAsia="Arial" w:hAnsi="Arial"/>
                <w:sz w:val="15"/>
                <w:szCs w:val="15"/>
                <w:color w:val="0000EE"/>
              </w:rPr>
            </w:pPr>
            <w:hyperlink r:id="rId160">
              <w:r>
                <w:rPr>
                  <w:rFonts w:ascii="Arial" w:cs="Arial" w:eastAsia="Arial" w:hAnsi="Arial"/>
                  <w:sz w:val="15"/>
                  <w:szCs w:val="15"/>
                  <w:color w:val="0000EE"/>
                </w:rPr>
                <w:t>Registration Statement on Form F-1 (File No. 333-239821) as filed with the SEC on July 10, 2020)</w:t>
              </w:r>
              <w:r>
                <w:rPr>
                  <w:rFonts w:ascii="Arial" w:cs="Arial" w:eastAsia="Arial" w:hAnsi="Arial"/>
                  <w:sz w:val="15"/>
                  <w:szCs w:val="15"/>
                  <w:color w:val="000000"/>
                </w:rPr>
                <w:t>.</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80" w:type="dxa"/>
            <w:vAlign w:val="bottom"/>
            <w:tcBorders>
              <w:top w:val="single" w:sz="8" w:color="0000EE"/>
            </w:tcBorders>
            <w:gridSpan w:val="6"/>
          </w:tcPr>
          <w:p>
            <w:pPr>
              <w:spacing w:after="0" w:line="146" w:lineRule="exact"/>
              <w:rPr>
                <w:rFonts w:ascii="Arial" w:cs="Arial" w:eastAsia="Arial" w:hAnsi="Arial"/>
                <w:sz w:val="15"/>
                <w:szCs w:val="15"/>
                <w:color w:val="0000EE"/>
              </w:rPr>
            </w:pPr>
            <w:hyperlink r:id="rId161">
              <w:r>
                <w:rPr>
                  <w:rFonts w:ascii="Arial" w:cs="Arial" w:eastAsia="Arial" w:hAnsi="Arial"/>
                  <w:sz w:val="15"/>
                  <w:szCs w:val="15"/>
                  <w:color w:val="0000EE"/>
                </w:rPr>
                <w:t>Sixth Amendment, dated June 30, 2015, to the Revolving Credit and Security Agreement, dated</w:t>
              </w:r>
            </w:hyperlink>
          </w:p>
        </w:tc>
        <w:tc>
          <w:tcPr>
            <w:tcW w:w="1900" w:type="dxa"/>
            <w:vAlign w:val="bottom"/>
            <w:gridSpan w:val="22"/>
          </w:tcPr>
          <w:p>
            <w:pPr>
              <w:jc w:val="right"/>
              <w:ind w:right="360"/>
              <w:spacing w:after="0" w:line="146" w:lineRule="exact"/>
              <w:rPr>
                <w:rFonts w:ascii="Arial" w:cs="Arial" w:eastAsia="Arial" w:hAnsi="Arial"/>
                <w:sz w:val="15"/>
                <w:szCs w:val="15"/>
                <w:color w:val="0000EE"/>
              </w:rPr>
            </w:pPr>
            <w:hyperlink r:id="rId161">
              <w:r>
                <w:rPr>
                  <w:rFonts w:ascii="Arial" w:cs="Arial" w:eastAsia="Arial" w:hAnsi="Arial"/>
                  <w:sz w:val="15"/>
                  <w:szCs w:val="15"/>
                  <w:color w:val="0000EE"/>
                </w:rPr>
                <w:t>November 8, 2013, by</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40" w:type="dxa"/>
            <w:vAlign w:val="bottom"/>
            <w:tcBorders>
              <w:top w:val="single" w:sz="8" w:color="0000EE"/>
            </w:tcBorders>
            <w:gridSpan w:val="21"/>
          </w:tcPr>
          <w:p>
            <w:pPr>
              <w:spacing w:after="0" w:line="146" w:lineRule="exact"/>
              <w:rPr>
                <w:rFonts w:ascii="Arial" w:cs="Arial" w:eastAsia="Arial" w:hAnsi="Arial"/>
                <w:sz w:val="15"/>
                <w:szCs w:val="15"/>
                <w:color w:val="0000EE"/>
              </w:rPr>
            </w:pPr>
            <w:hyperlink r:id="rId161">
              <w:r>
                <w:rPr>
                  <w:rFonts w:ascii="Arial" w:cs="Arial" w:eastAsia="Arial" w:hAnsi="Arial"/>
                  <w:sz w:val="15"/>
                  <w:szCs w:val="15"/>
                  <w:color w:val="0000EE"/>
                </w:rPr>
                <w:t>and between TRG Customer Solutions, Inc. and PNC Bank, N.A. (Incorporated by reference to Exhibit 10.9 to the</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0" w:type="dxa"/>
            <w:vAlign w:val="bottom"/>
            <w:tcBorders>
              <w:top w:val="single" w:sz="8" w:color="0000EE"/>
            </w:tcBorders>
            <w:gridSpan w:val="14"/>
          </w:tcPr>
          <w:p>
            <w:pPr>
              <w:spacing w:after="0" w:line="146" w:lineRule="exact"/>
              <w:rPr>
                <w:rFonts w:ascii="Arial" w:cs="Arial" w:eastAsia="Arial" w:hAnsi="Arial"/>
                <w:sz w:val="15"/>
                <w:szCs w:val="15"/>
                <w:color w:val="0000EE"/>
              </w:rPr>
            </w:pPr>
            <w:hyperlink r:id="rId161">
              <w:r>
                <w:rPr>
                  <w:rFonts w:ascii="Arial" w:cs="Arial" w:eastAsia="Arial" w:hAnsi="Arial"/>
                  <w:sz w:val="15"/>
                  <w:szCs w:val="15"/>
                  <w:color w:val="0000EE"/>
                </w:rPr>
                <w:t>Registration Statement on Form F-1 (File No. 333-239821) as filed with the SEC on July 10, 2020).</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40" w:type="dxa"/>
            <w:vAlign w:val="bottom"/>
            <w:tcBorders>
              <w:top w:val="single" w:sz="8" w:color="0000EE"/>
            </w:tcBorders>
            <w:gridSpan w:val="8"/>
          </w:tcPr>
          <w:p>
            <w:pPr>
              <w:spacing w:after="0" w:line="146" w:lineRule="exact"/>
              <w:rPr>
                <w:rFonts w:ascii="Arial" w:cs="Arial" w:eastAsia="Arial" w:hAnsi="Arial"/>
                <w:sz w:val="15"/>
                <w:szCs w:val="15"/>
                <w:color w:val="0000EE"/>
                <w:w w:val="99"/>
              </w:rPr>
            </w:pPr>
            <w:hyperlink r:id="rId162">
              <w:r>
                <w:rPr>
                  <w:rFonts w:ascii="Arial" w:cs="Arial" w:eastAsia="Arial" w:hAnsi="Arial"/>
                  <w:sz w:val="15"/>
                  <w:szCs w:val="15"/>
                  <w:color w:val="0000EE"/>
                  <w:w w:val="99"/>
                </w:rPr>
                <w:t>Seventh Amendment, dated November 7, 2016, to the Revolving Credit and Security Agreement,</w:t>
              </w:r>
            </w:hyperlink>
          </w:p>
        </w:tc>
        <w:tc>
          <w:tcPr>
            <w:tcW w:w="1840" w:type="dxa"/>
            <w:vAlign w:val="bottom"/>
            <w:gridSpan w:val="20"/>
          </w:tcPr>
          <w:p>
            <w:pPr>
              <w:jc w:val="right"/>
              <w:ind w:right="360"/>
              <w:spacing w:after="0" w:line="146" w:lineRule="exact"/>
              <w:rPr>
                <w:rFonts w:ascii="Arial" w:cs="Arial" w:eastAsia="Arial" w:hAnsi="Arial"/>
                <w:sz w:val="15"/>
                <w:szCs w:val="15"/>
                <w:color w:val="0000EE"/>
              </w:rPr>
            </w:pPr>
            <w:hyperlink r:id="rId162">
              <w:r>
                <w:rPr>
                  <w:rFonts w:ascii="Arial" w:cs="Arial" w:eastAsia="Arial" w:hAnsi="Arial"/>
                  <w:sz w:val="15"/>
                  <w:szCs w:val="15"/>
                  <w:color w:val="0000EE"/>
                </w:rPr>
                <w:t>dated November 8,</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40" w:type="dxa"/>
            <w:vAlign w:val="bottom"/>
            <w:tcBorders>
              <w:top w:val="single" w:sz="8" w:color="0000EE"/>
            </w:tcBorders>
            <w:gridSpan w:val="16"/>
          </w:tcPr>
          <w:p>
            <w:pPr>
              <w:spacing w:after="0" w:line="146" w:lineRule="exact"/>
              <w:rPr>
                <w:rFonts w:ascii="Arial" w:cs="Arial" w:eastAsia="Arial" w:hAnsi="Arial"/>
                <w:sz w:val="15"/>
                <w:szCs w:val="15"/>
                <w:color w:val="0000EE"/>
              </w:rPr>
            </w:pPr>
            <w:hyperlink r:id="rId162">
              <w:r>
                <w:rPr>
                  <w:rFonts w:ascii="Arial" w:cs="Arial" w:eastAsia="Arial" w:hAnsi="Arial"/>
                  <w:sz w:val="15"/>
                  <w:szCs w:val="15"/>
                  <w:color w:val="0000EE"/>
                </w:rPr>
                <w:t>2013, by and between TRG Customer Solutions, Inc. and PNC Bank, N.A. (Incorporated by reference to Exhibit 10.10 to</w:t>
              </w:r>
            </w:hyperlink>
          </w:p>
        </w:tc>
        <w:tc>
          <w:tcPr>
            <w:tcW w:w="80" w:type="dxa"/>
            <w:vAlign w:val="bottom"/>
            <w:gridSpan w:val="4"/>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20"/>
              <w:spacing w:after="0"/>
              <w:rPr>
                <w:sz w:val="20"/>
                <w:szCs w:val="20"/>
                <w:color w:val="auto"/>
              </w:rPr>
            </w:pPr>
            <w:r>
              <w:rPr>
                <w:rFonts w:ascii="Arial" w:cs="Arial" w:eastAsia="Arial" w:hAnsi="Arial"/>
                <w:sz w:val="15"/>
                <w:szCs w:val="15"/>
                <w:color w:val="auto"/>
              </w:rPr>
              <w:t>4.11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20" w:type="dxa"/>
            <w:vAlign w:val="bottom"/>
            <w:tcBorders>
              <w:top w:val="single" w:sz="8" w:color="0000EE"/>
            </w:tcBorders>
            <w:gridSpan w:val="15"/>
          </w:tcPr>
          <w:p>
            <w:pPr>
              <w:spacing w:after="0" w:line="146" w:lineRule="exact"/>
              <w:rPr>
                <w:rFonts w:ascii="Arial" w:cs="Arial" w:eastAsia="Arial" w:hAnsi="Arial"/>
                <w:sz w:val="15"/>
                <w:szCs w:val="15"/>
                <w:color w:val="0000EE"/>
              </w:rPr>
            </w:pPr>
            <w:hyperlink r:id="rId162">
              <w:r>
                <w:rPr>
                  <w:rFonts w:ascii="Arial" w:cs="Arial" w:eastAsia="Arial" w:hAnsi="Arial"/>
                  <w:sz w:val="15"/>
                  <w:szCs w:val="15"/>
                  <w:color w:val="0000EE"/>
                </w:rPr>
                <w:t>the Registration Statement on Form F-1 (File No. 333-239821) as filed with the SEC on July 10, 2020).</w:t>
              </w:r>
            </w:hyperlink>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60" w:type="dxa"/>
            <w:vAlign w:val="bottom"/>
            <w:tcBorders>
              <w:top w:val="single" w:sz="8" w:color="0000EE"/>
            </w:tcBorders>
            <w:gridSpan w:val="9"/>
          </w:tcPr>
          <w:p>
            <w:pPr>
              <w:spacing w:after="0" w:line="146" w:lineRule="exact"/>
              <w:rPr>
                <w:rFonts w:ascii="Arial" w:cs="Arial" w:eastAsia="Arial" w:hAnsi="Arial"/>
                <w:sz w:val="15"/>
                <w:szCs w:val="15"/>
                <w:color w:val="0000EE"/>
              </w:rPr>
            </w:pPr>
            <w:hyperlink r:id="rId163">
              <w:r>
                <w:rPr>
                  <w:rFonts w:ascii="Arial" w:cs="Arial" w:eastAsia="Arial" w:hAnsi="Arial"/>
                  <w:sz w:val="15"/>
                  <w:szCs w:val="15"/>
                  <w:color w:val="0000EE"/>
                </w:rPr>
                <w:t>Eighth Amendment, dated November 18, 2016, to the Revolving Credit and Security Agreement,</w:t>
              </w:r>
            </w:hyperlink>
          </w:p>
        </w:tc>
        <w:tc>
          <w:tcPr>
            <w:tcW w:w="1620" w:type="dxa"/>
            <w:vAlign w:val="bottom"/>
            <w:gridSpan w:val="19"/>
          </w:tcPr>
          <w:p>
            <w:pPr>
              <w:jc w:val="right"/>
              <w:ind w:right="360"/>
              <w:spacing w:after="0" w:line="146" w:lineRule="exact"/>
              <w:rPr>
                <w:rFonts w:ascii="Arial" w:cs="Arial" w:eastAsia="Arial" w:hAnsi="Arial"/>
                <w:sz w:val="15"/>
                <w:szCs w:val="15"/>
                <w:color w:val="0000EE"/>
                <w:w w:val="97"/>
              </w:rPr>
            </w:pPr>
            <w:hyperlink r:id="rId163">
              <w:r>
                <w:rPr>
                  <w:rFonts w:ascii="Arial" w:cs="Arial" w:eastAsia="Arial" w:hAnsi="Arial"/>
                  <w:sz w:val="15"/>
                  <w:szCs w:val="15"/>
                  <w:color w:val="0000EE"/>
                  <w:w w:val="97"/>
                </w:rPr>
                <w:t>dated November 8,</w:t>
              </w:r>
            </w:hyperlink>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120" w:type="dxa"/>
            <w:vAlign w:val="bottom"/>
            <w:tcBorders>
              <w:top w:val="single" w:sz="8" w:color="0000EE"/>
            </w:tcBorders>
            <w:gridSpan w:val="20"/>
          </w:tcPr>
          <w:p>
            <w:pPr>
              <w:spacing w:after="0" w:line="146" w:lineRule="exact"/>
              <w:rPr>
                <w:rFonts w:ascii="Arial" w:cs="Arial" w:eastAsia="Arial" w:hAnsi="Arial"/>
                <w:sz w:val="15"/>
                <w:szCs w:val="15"/>
                <w:color w:val="0000EE"/>
              </w:rPr>
            </w:pPr>
            <w:hyperlink r:id="rId163">
              <w:r>
                <w:rPr>
                  <w:rFonts w:ascii="Arial" w:cs="Arial" w:eastAsia="Arial" w:hAnsi="Arial"/>
                  <w:sz w:val="15"/>
                  <w:szCs w:val="15"/>
                  <w:color w:val="0000EE"/>
                </w:rPr>
                <w:t>2013, by and between TRG Customer Solutions, Inc. and PNC Bank, N.A. (Incorporated by reference to Exhibit 10.11 to</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20" w:type="dxa"/>
            <w:vAlign w:val="bottom"/>
            <w:tcBorders>
              <w:top w:val="single" w:sz="8" w:color="0000EE"/>
            </w:tcBorders>
            <w:gridSpan w:val="15"/>
          </w:tcPr>
          <w:p>
            <w:pPr>
              <w:spacing w:after="0" w:line="146" w:lineRule="exact"/>
              <w:rPr>
                <w:rFonts w:ascii="Arial" w:cs="Arial" w:eastAsia="Arial" w:hAnsi="Arial"/>
                <w:sz w:val="15"/>
                <w:szCs w:val="15"/>
                <w:color w:val="0000EE"/>
              </w:rPr>
            </w:pPr>
            <w:hyperlink r:id="rId163">
              <w:r>
                <w:rPr>
                  <w:rFonts w:ascii="Arial" w:cs="Arial" w:eastAsia="Arial" w:hAnsi="Arial"/>
                  <w:sz w:val="15"/>
                  <w:szCs w:val="15"/>
                  <w:color w:val="0000EE"/>
                </w:rPr>
                <w:t>the Registration Statement on Form F-1 (File No. 333-239821) as filed with the SEC on July 10, 2020).</w:t>
              </w:r>
            </w:hyperlink>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70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3600" w:type="dxa"/>
            <w:vAlign w:val="bottom"/>
            <w:tcBorders>
              <w:top w:val="single" w:sz="8" w:color="0000EE"/>
            </w:tcBorders>
            <w:gridSpan w:val="4"/>
          </w:tcPr>
          <w:p>
            <w:pPr>
              <w:jc w:val="right"/>
              <w:spacing w:after="0"/>
              <w:rPr>
                <w:sz w:val="20"/>
                <w:szCs w:val="20"/>
                <w:color w:val="auto"/>
              </w:rPr>
            </w:pPr>
            <w:r>
              <w:rPr>
                <w:rFonts w:ascii="Arial" w:cs="Arial" w:eastAsia="Arial" w:hAnsi="Arial"/>
                <w:sz w:val="15"/>
                <w:szCs w:val="15"/>
                <w:color w:val="auto"/>
              </w:rPr>
              <w:t>119</w:t>
            </w:r>
          </w:p>
        </w:tc>
        <w:tc>
          <w:tcPr>
            <w:tcW w:w="20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6"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00" w:type="dxa"/>
            <w:vAlign w:val="bottom"/>
          </w:tcPr>
          <w:p>
            <w:pPr>
              <w:ind w:left="20"/>
              <w:spacing w:after="0"/>
              <w:rPr>
                <w:sz w:val="20"/>
                <w:szCs w:val="20"/>
                <w:color w:val="auto"/>
              </w:rPr>
            </w:pPr>
            <w:r>
              <w:rPr>
                <w:rFonts w:ascii="Arial" w:cs="Arial" w:eastAsia="Arial" w:hAnsi="Arial"/>
                <w:sz w:val="15"/>
                <w:szCs w:val="15"/>
                <w:color w:val="auto"/>
              </w:rPr>
              <w:t>4.12</w:t>
            </w:r>
          </w:p>
        </w:tc>
        <w:tc>
          <w:tcPr>
            <w:tcW w:w="8080" w:type="dxa"/>
            <w:vAlign w:val="bottom"/>
            <w:gridSpan w:val="33"/>
          </w:tcPr>
          <w:p>
            <w:pPr>
              <w:spacing w:after="0"/>
              <w:rPr>
                <w:rFonts w:ascii="Arial" w:cs="Arial" w:eastAsia="Arial" w:hAnsi="Arial"/>
                <w:sz w:val="15"/>
                <w:szCs w:val="15"/>
                <w:color w:val="0000EE"/>
                <w:w w:val="99"/>
              </w:rPr>
            </w:pPr>
            <w:hyperlink r:id="rId164">
              <w:r>
                <w:rPr>
                  <w:rFonts w:ascii="Arial" w:cs="Arial" w:eastAsia="Arial" w:hAnsi="Arial"/>
                  <w:sz w:val="15"/>
                  <w:szCs w:val="15"/>
                  <w:color w:val="0000EE"/>
                  <w:w w:val="99"/>
                </w:rPr>
                <w:t>Ninth Amendment, dated January 22, 2018, to the Revolving Credit and Security Agreement, dated November 8, 2013, by</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40" w:type="dxa"/>
            <w:vAlign w:val="bottom"/>
            <w:tcBorders>
              <w:top w:val="single" w:sz="8" w:color="0000EE"/>
            </w:tcBorders>
            <w:gridSpan w:val="31"/>
          </w:tcPr>
          <w:p>
            <w:pPr>
              <w:spacing w:after="0" w:line="146" w:lineRule="exact"/>
              <w:rPr>
                <w:rFonts w:ascii="Arial" w:cs="Arial" w:eastAsia="Arial" w:hAnsi="Arial"/>
                <w:sz w:val="15"/>
                <w:szCs w:val="15"/>
                <w:color w:val="0000EE"/>
              </w:rPr>
            </w:pPr>
            <w:hyperlink r:id="rId164">
              <w:r>
                <w:rPr>
                  <w:rFonts w:ascii="Arial" w:cs="Arial" w:eastAsia="Arial" w:hAnsi="Arial"/>
                  <w:sz w:val="15"/>
                  <w:szCs w:val="15"/>
                  <w:color w:val="0000EE"/>
                </w:rPr>
                <w:t>and between TRG Customer Solutions, Inc. and PNC Bank, N.A. (Incorporated by reference to Exhibit 10.12 to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4.13</w:t>
            </w:r>
          </w:p>
        </w:tc>
        <w:tc>
          <w:tcPr>
            <w:tcW w:w="6460" w:type="dxa"/>
            <w:vAlign w:val="bottom"/>
            <w:tcBorders>
              <w:top w:val="single" w:sz="8" w:color="0000EE"/>
              <w:bottom w:val="single" w:sz="8" w:color="0000EE"/>
            </w:tcBorders>
            <w:gridSpan w:val="11"/>
          </w:tcPr>
          <w:p>
            <w:pPr>
              <w:spacing w:after="0" w:line="146" w:lineRule="exact"/>
              <w:rPr>
                <w:rFonts w:ascii="Arial" w:cs="Arial" w:eastAsia="Arial" w:hAnsi="Arial"/>
                <w:sz w:val="15"/>
                <w:szCs w:val="15"/>
                <w:color w:val="0000EE"/>
                <w:w w:val="98"/>
              </w:rPr>
            </w:pPr>
            <w:hyperlink r:id="rId164">
              <w:r>
                <w:rPr>
                  <w:rFonts w:ascii="Arial" w:cs="Arial" w:eastAsia="Arial" w:hAnsi="Arial"/>
                  <w:sz w:val="15"/>
                  <w:szCs w:val="15"/>
                  <w:color w:val="0000EE"/>
                  <w:w w:val="98"/>
                </w:rPr>
                <w:t>Registration Statement on Form F-1 (File No. 333-239821) as filed with the SEC on July 10, 2020).</w:t>
              </w:r>
            </w:hyperlink>
          </w:p>
        </w:tc>
        <w:tc>
          <w:tcPr>
            <w:tcW w:w="1560" w:type="dxa"/>
            <w:vAlign w:val="bottom"/>
            <w:tcBorders>
              <w:top w:val="single" w:sz="8" w:color="0000EE"/>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8080" w:type="dxa"/>
            <w:vAlign w:val="bottom"/>
            <w:gridSpan w:val="33"/>
          </w:tcPr>
          <w:p>
            <w:pPr>
              <w:spacing w:after="0" w:line="146" w:lineRule="exact"/>
              <w:rPr>
                <w:rFonts w:ascii="Arial" w:cs="Arial" w:eastAsia="Arial" w:hAnsi="Arial"/>
                <w:sz w:val="15"/>
                <w:szCs w:val="15"/>
                <w:color w:val="0000EE"/>
              </w:rPr>
            </w:pPr>
            <w:hyperlink r:id="rId165">
              <w:r>
                <w:rPr>
                  <w:rFonts w:ascii="Arial" w:cs="Arial" w:eastAsia="Arial" w:hAnsi="Arial"/>
                  <w:sz w:val="15"/>
                  <w:szCs w:val="15"/>
                  <w:color w:val="0000EE"/>
                </w:rPr>
                <w:t>Tenth Amendment, dated December 1, 2018, to the Revolving Credit and Security Agreement, dated November 8, 2013,</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940" w:type="dxa"/>
            <w:vAlign w:val="bottom"/>
            <w:tcBorders>
              <w:top w:val="single" w:sz="8" w:color="0000EE"/>
              <w:bottom w:val="single" w:sz="8" w:color="0000EE"/>
            </w:tcBorders>
            <w:gridSpan w:val="26"/>
          </w:tcPr>
          <w:p>
            <w:pPr>
              <w:spacing w:after="0" w:line="146" w:lineRule="exact"/>
              <w:rPr>
                <w:rFonts w:ascii="Arial" w:cs="Arial" w:eastAsia="Arial" w:hAnsi="Arial"/>
                <w:sz w:val="15"/>
                <w:szCs w:val="15"/>
                <w:color w:val="0000EE"/>
              </w:rPr>
            </w:pPr>
            <w:hyperlink r:id="rId165">
              <w:r>
                <w:rPr>
                  <w:rFonts w:ascii="Arial" w:cs="Arial" w:eastAsia="Arial" w:hAnsi="Arial"/>
                  <w:sz w:val="15"/>
                  <w:szCs w:val="15"/>
                  <w:color w:val="0000EE"/>
                </w:rPr>
                <w:t>by and between TRG Customer Solutions, Inc. and PNC Bank, N.A. (Incorporated by reference to Exhibit 10.13 to the</w:t>
              </w:r>
            </w:hyperlink>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4.14</w:t>
            </w:r>
          </w:p>
        </w:tc>
        <w:tc>
          <w:tcPr>
            <w:tcW w:w="7960" w:type="dxa"/>
            <w:vAlign w:val="bottom"/>
            <w:gridSpan w:val="27"/>
          </w:tcPr>
          <w:p>
            <w:pPr>
              <w:spacing w:after="0" w:line="146" w:lineRule="exact"/>
              <w:rPr>
                <w:rFonts w:ascii="Arial" w:cs="Arial" w:eastAsia="Arial" w:hAnsi="Arial"/>
                <w:sz w:val="15"/>
                <w:szCs w:val="15"/>
                <w:color w:val="0000EE"/>
              </w:rPr>
            </w:pPr>
            <w:hyperlink r:id="rId165">
              <w:r>
                <w:rPr>
                  <w:rFonts w:ascii="Arial" w:cs="Arial" w:eastAsia="Arial" w:hAnsi="Arial"/>
                  <w:sz w:val="15"/>
                  <w:szCs w:val="15"/>
                  <w:color w:val="0000EE"/>
                </w:rPr>
                <w:t>Registration Statement on Form F-1 (File No. 333-239821) as filed with the SEC on July 10,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6460" w:type="dxa"/>
            <w:vAlign w:val="bottom"/>
            <w:tcBorders>
              <w:top w:val="single" w:sz="8" w:color="0000EE"/>
            </w:tcBorders>
            <w:gridSpan w:val="11"/>
          </w:tcPr>
          <w:p>
            <w:pPr>
              <w:spacing w:after="0" w:line="146" w:lineRule="exact"/>
              <w:rPr>
                <w:rFonts w:ascii="Arial" w:cs="Arial" w:eastAsia="Arial" w:hAnsi="Arial"/>
                <w:sz w:val="15"/>
                <w:szCs w:val="15"/>
                <w:color w:val="0000EE"/>
                <w:w w:val="98"/>
              </w:rPr>
            </w:pPr>
            <w:hyperlink r:id="rId166">
              <w:r>
                <w:rPr>
                  <w:rFonts w:ascii="Arial" w:cs="Arial" w:eastAsia="Arial" w:hAnsi="Arial"/>
                  <w:sz w:val="15"/>
                  <w:szCs w:val="15"/>
                  <w:color w:val="0000EE"/>
                  <w:w w:val="98"/>
                </w:rPr>
                <w:t>Eleventh Amendment, dated April 26, 2019, to the Revolving Credit and Security Agreement, dated</w:t>
              </w:r>
            </w:hyperlink>
          </w:p>
        </w:tc>
        <w:tc>
          <w:tcPr>
            <w:tcW w:w="1620" w:type="dxa"/>
            <w:vAlign w:val="bottom"/>
            <w:gridSpan w:val="22"/>
          </w:tcPr>
          <w:p>
            <w:pPr>
              <w:jc w:val="right"/>
              <w:ind w:right="140"/>
              <w:spacing w:after="0" w:line="146" w:lineRule="exact"/>
              <w:rPr>
                <w:rFonts w:ascii="Arial" w:cs="Arial" w:eastAsia="Arial" w:hAnsi="Arial"/>
                <w:sz w:val="15"/>
                <w:szCs w:val="15"/>
                <w:color w:val="0000EE"/>
                <w:w w:val="98"/>
              </w:rPr>
            </w:pPr>
            <w:hyperlink r:id="rId166">
              <w:r>
                <w:rPr>
                  <w:rFonts w:ascii="Arial" w:cs="Arial" w:eastAsia="Arial" w:hAnsi="Arial"/>
                  <w:sz w:val="15"/>
                  <w:szCs w:val="15"/>
                  <w:color w:val="0000EE"/>
                  <w:w w:val="98"/>
                </w:rPr>
                <w:t>November 8, 2013, by</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40" w:type="dxa"/>
            <w:vAlign w:val="bottom"/>
            <w:tcBorders>
              <w:top w:val="single" w:sz="8" w:color="0000EE"/>
            </w:tcBorders>
            <w:gridSpan w:val="31"/>
          </w:tcPr>
          <w:p>
            <w:pPr>
              <w:spacing w:after="0" w:line="146" w:lineRule="exact"/>
              <w:rPr>
                <w:rFonts w:ascii="Arial" w:cs="Arial" w:eastAsia="Arial" w:hAnsi="Arial"/>
                <w:sz w:val="15"/>
                <w:szCs w:val="15"/>
                <w:color w:val="0000EE"/>
              </w:rPr>
            </w:pPr>
            <w:hyperlink r:id="rId166">
              <w:r>
                <w:rPr>
                  <w:rFonts w:ascii="Arial" w:cs="Arial" w:eastAsia="Arial" w:hAnsi="Arial"/>
                  <w:sz w:val="15"/>
                  <w:szCs w:val="15"/>
                  <w:color w:val="0000EE"/>
                </w:rPr>
                <w:t>and between TRG Customer Solutions, Inc. and PNC Bank, N.A. (Incorporated by reference to Exhibit 10.14 to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4.15</w:t>
            </w:r>
          </w:p>
        </w:tc>
        <w:tc>
          <w:tcPr>
            <w:tcW w:w="8020" w:type="dxa"/>
            <w:vAlign w:val="bottom"/>
            <w:tcBorders>
              <w:top w:val="single" w:sz="8" w:color="0000EE"/>
            </w:tcBorders>
            <w:gridSpan w:val="30"/>
          </w:tcPr>
          <w:p>
            <w:pPr>
              <w:spacing w:after="0" w:line="146" w:lineRule="exact"/>
              <w:rPr>
                <w:rFonts w:ascii="Arial" w:cs="Arial" w:eastAsia="Arial" w:hAnsi="Arial"/>
                <w:sz w:val="15"/>
                <w:szCs w:val="15"/>
                <w:color w:val="0000EE"/>
              </w:rPr>
            </w:pPr>
            <w:hyperlink r:id="rId166">
              <w:r>
                <w:rPr>
                  <w:rFonts w:ascii="Arial" w:cs="Arial" w:eastAsia="Arial" w:hAnsi="Arial"/>
                  <w:sz w:val="15"/>
                  <w:szCs w:val="15"/>
                  <w:color w:val="0000EE"/>
                </w:rPr>
                <w:t>Registration Statement on Form F-1 (File No. 333-239821) as filed with the SEC on July 10,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6440" w:type="dxa"/>
            <w:vAlign w:val="bottom"/>
            <w:tcBorders>
              <w:top w:val="single" w:sz="8" w:color="0000EE"/>
            </w:tcBorders>
            <w:gridSpan w:val="10"/>
          </w:tcPr>
          <w:p>
            <w:pPr>
              <w:spacing w:after="0" w:line="146" w:lineRule="exact"/>
              <w:rPr>
                <w:rFonts w:ascii="Arial" w:cs="Arial" w:eastAsia="Arial" w:hAnsi="Arial"/>
                <w:sz w:val="15"/>
                <w:szCs w:val="15"/>
                <w:color w:val="0000EE"/>
                <w:w w:val="99"/>
              </w:rPr>
            </w:pPr>
            <w:hyperlink r:id="rId167">
              <w:r>
                <w:rPr>
                  <w:rFonts w:ascii="Arial" w:cs="Arial" w:eastAsia="Arial" w:hAnsi="Arial"/>
                  <w:sz w:val="15"/>
                  <w:szCs w:val="15"/>
                  <w:color w:val="0000EE"/>
                  <w:w w:val="99"/>
                </w:rPr>
                <w:t>Twelfth Amendment, dated May 31, 2019, to the Revolving Credit and Security Agreement, dated</w:t>
              </w:r>
            </w:hyperlink>
          </w:p>
        </w:tc>
        <w:tc>
          <w:tcPr>
            <w:tcW w:w="1640" w:type="dxa"/>
            <w:vAlign w:val="bottom"/>
            <w:gridSpan w:val="23"/>
          </w:tcPr>
          <w:p>
            <w:pPr>
              <w:jc w:val="right"/>
              <w:ind w:right="140"/>
              <w:spacing w:after="0" w:line="146" w:lineRule="exact"/>
              <w:rPr>
                <w:rFonts w:ascii="Arial" w:cs="Arial" w:eastAsia="Arial" w:hAnsi="Arial"/>
                <w:sz w:val="15"/>
                <w:szCs w:val="15"/>
                <w:color w:val="0000EE"/>
              </w:rPr>
            </w:pPr>
            <w:hyperlink r:id="rId167">
              <w:r>
                <w:rPr>
                  <w:rFonts w:ascii="Arial" w:cs="Arial" w:eastAsia="Arial" w:hAnsi="Arial"/>
                  <w:sz w:val="15"/>
                  <w:szCs w:val="15"/>
                  <w:color w:val="0000EE"/>
                </w:rPr>
                <w:t>November 8, 2013, by</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00" w:type="dxa"/>
            <w:vAlign w:val="bottom"/>
            <w:tcBorders>
              <w:top w:val="single" w:sz="8" w:color="0000EE"/>
            </w:tcBorders>
            <w:gridSpan w:val="29"/>
          </w:tcPr>
          <w:p>
            <w:pPr>
              <w:spacing w:after="0" w:line="146" w:lineRule="exact"/>
              <w:rPr>
                <w:rFonts w:ascii="Arial" w:cs="Arial" w:eastAsia="Arial" w:hAnsi="Arial"/>
                <w:sz w:val="15"/>
                <w:szCs w:val="15"/>
                <w:color w:val="0000EE"/>
              </w:rPr>
            </w:pPr>
            <w:hyperlink r:id="rId167">
              <w:r>
                <w:rPr>
                  <w:rFonts w:ascii="Arial" w:cs="Arial" w:eastAsia="Arial" w:hAnsi="Arial"/>
                  <w:sz w:val="15"/>
                  <w:szCs w:val="15"/>
                  <w:color w:val="0000EE"/>
                </w:rPr>
                <w:t>and between TRG Customer Solutions, Inc. and PNC Bank, N.A. (Incorporated by reference to Exhibit 10.15 to the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4.16</w:t>
            </w:r>
          </w:p>
        </w:tc>
        <w:tc>
          <w:tcPr>
            <w:tcW w:w="6460" w:type="dxa"/>
            <w:vAlign w:val="bottom"/>
            <w:tcBorders>
              <w:top w:val="single" w:sz="8" w:color="0000EE"/>
              <w:bottom w:val="single" w:sz="8" w:color="0000EE"/>
            </w:tcBorders>
            <w:gridSpan w:val="11"/>
          </w:tcPr>
          <w:p>
            <w:pPr>
              <w:spacing w:after="0" w:line="146" w:lineRule="exact"/>
              <w:rPr>
                <w:rFonts w:ascii="Arial" w:cs="Arial" w:eastAsia="Arial" w:hAnsi="Arial"/>
                <w:sz w:val="15"/>
                <w:szCs w:val="15"/>
                <w:color w:val="0000EE"/>
                <w:w w:val="98"/>
              </w:rPr>
            </w:pPr>
            <w:hyperlink r:id="rId167">
              <w:r>
                <w:rPr>
                  <w:rFonts w:ascii="Arial" w:cs="Arial" w:eastAsia="Arial" w:hAnsi="Arial"/>
                  <w:sz w:val="15"/>
                  <w:szCs w:val="15"/>
                  <w:color w:val="0000EE"/>
                  <w:w w:val="98"/>
                </w:rPr>
                <w:t>Registration Statement on Form F-1 (File No. 333-239821) as filed with the SEC on July 10, 2020).</w:t>
              </w:r>
            </w:hyperlink>
          </w:p>
        </w:tc>
        <w:tc>
          <w:tcPr>
            <w:tcW w:w="1560" w:type="dxa"/>
            <w:vAlign w:val="bottom"/>
            <w:tcBorders>
              <w:top w:val="single" w:sz="8" w:color="0000EE"/>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8080" w:type="dxa"/>
            <w:vAlign w:val="bottom"/>
            <w:gridSpan w:val="33"/>
          </w:tcPr>
          <w:p>
            <w:pPr>
              <w:spacing w:after="0" w:line="146" w:lineRule="exact"/>
              <w:rPr>
                <w:rFonts w:ascii="Arial" w:cs="Arial" w:eastAsia="Arial" w:hAnsi="Arial"/>
                <w:sz w:val="15"/>
                <w:szCs w:val="15"/>
                <w:color w:val="0000EE"/>
              </w:rPr>
            </w:pPr>
            <w:hyperlink r:id="rId168">
              <w:r>
                <w:rPr>
                  <w:rFonts w:ascii="Arial" w:cs="Arial" w:eastAsia="Arial" w:hAnsi="Arial"/>
                  <w:sz w:val="15"/>
                  <w:szCs w:val="15"/>
                  <w:color w:val="0000EE"/>
                </w:rPr>
                <w:t>Thirteenth Amendment, dated April 15, 2020, to the Revolving Credit and Security Agreement, dated November 8, 2013,</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940" w:type="dxa"/>
            <w:vAlign w:val="bottom"/>
            <w:tcBorders>
              <w:top w:val="single" w:sz="8" w:color="0000EE"/>
              <w:bottom w:val="single" w:sz="8" w:color="0000EE"/>
            </w:tcBorders>
            <w:gridSpan w:val="26"/>
          </w:tcPr>
          <w:p>
            <w:pPr>
              <w:spacing w:after="0" w:line="146" w:lineRule="exact"/>
              <w:rPr>
                <w:rFonts w:ascii="Arial" w:cs="Arial" w:eastAsia="Arial" w:hAnsi="Arial"/>
                <w:sz w:val="15"/>
                <w:szCs w:val="15"/>
                <w:color w:val="0000EE"/>
              </w:rPr>
            </w:pPr>
            <w:hyperlink r:id="rId168">
              <w:r>
                <w:rPr>
                  <w:rFonts w:ascii="Arial" w:cs="Arial" w:eastAsia="Arial" w:hAnsi="Arial"/>
                  <w:sz w:val="15"/>
                  <w:szCs w:val="15"/>
                  <w:color w:val="0000EE"/>
                </w:rPr>
                <w:t>by and between TRG Customer Solutions, Inc. and PNC Bank, N.A. (Incorporated by reference to Exhibit 4.14 to the</w:t>
              </w:r>
            </w:hyperlink>
          </w:p>
        </w:tc>
        <w:tc>
          <w:tcPr>
            <w:tcW w:w="40" w:type="dxa"/>
            <w:vAlign w:val="bottom"/>
            <w:tcBorders>
              <w:bottom w:val="single" w:sz="8" w:color="0000EE"/>
            </w:tcBorders>
            <w:gridSpan w:val="2"/>
          </w:tcPr>
          <w:p>
            <w:pPr>
              <w:spacing w:after="0"/>
              <w:rPr>
                <w:sz w:val="12"/>
                <w:szCs w:val="12"/>
                <w:color w:val="auto"/>
              </w:rPr>
            </w:pPr>
          </w:p>
        </w:tc>
        <w:tc>
          <w:tcPr>
            <w:tcW w:w="80" w:type="dxa"/>
            <w:vAlign w:val="bottom"/>
            <w:tcBorders>
              <w:bottom w:val="single" w:sz="8" w:color="0000EE"/>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4.17</w:t>
            </w:r>
          </w:p>
        </w:tc>
        <w:tc>
          <w:tcPr>
            <w:tcW w:w="8060" w:type="dxa"/>
            <w:vAlign w:val="bottom"/>
            <w:gridSpan w:val="32"/>
          </w:tcPr>
          <w:p>
            <w:pPr>
              <w:spacing w:after="0" w:line="146" w:lineRule="exact"/>
              <w:rPr>
                <w:rFonts w:ascii="Arial" w:cs="Arial" w:eastAsia="Arial" w:hAnsi="Arial"/>
                <w:sz w:val="15"/>
                <w:szCs w:val="15"/>
                <w:color w:val="0000EE"/>
              </w:rPr>
            </w:pPr>
            <w:hyperlink r:id="rId168">
              <w:r>
                <w:rPr>
                  <w:rFonts w:ascii="Arial" w:cs="Arial" w:eastAsia="Arial" w:hAnsi="Arial"/>
                  <w:sz w:val="15"/>
                  <w:szCs w:val="15"/>
                  <w:color w:val="0000EE"/>
                </w:rPr>
                <w:t>Annual Report on Form 20-F (File No. 001-38442) as filed with the SEC on October 23, 2020</w:t>
              </w:r>
              <w:r>
                <w:rPr>
                  <w:rFonts w:ascii="Arial" w:cs="Arial" w:eastAsia="Arial" w:hAnsi="Arial"/>
                  <w:sz w:val="15"/>
                  <w:szCs w:val="15"/>
                  <w:color w:val="000000"/>
                </w:rPr>
                <w: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6060" w:type="dxa"/>
            <w:vAlign w:val="bottom"/>
            <w:tcBorders>
              <w:top w:val="single" w:sz="8" w:color="0000EE"/>
            </w:tcBorders>
            <w:gridSpan w:val="9"/>
          </w:tcPr>
          <w:p>
            <w:pPr>
              <w:spacing w:after="0" w:line="146" w:lineRule="exact"/>
              <w:rPr>
                <w:rFonts w:ascii="Arial" w:cs="Arial" w:eastAsia="Arial" w:hAnsi="Arial"/>
                <w:sz w:val="15"/>
                <w:szCs w:val="15"/>
                <w:color w:val="0000EE"/>
                <w:w w:val="95"/>
              </w:rPr>
            </w:pPr>
            <w:hyperlink r:id="rId169">
              <w:r>
                <w:rPr>
                  <w:rFonts w:ascii="Arial" w:cs="Arial" w:eastAsia="Arial" w:hAnsi="Arial"/>
                  <w:sz w:val="15"/>
                  <w:szCs w:val="15"/>
                  <w:color w:val="0000EE"/>
                  <w:w w:val="95"/>
                </w:rPr>
                <w:t>Fourteenth Amendment, dated March 2, 2021, to the Revolving Credit and Security Agreement,</w:t>
              </w:r>
            </w:hyperlink>
          </w:p>
        </w:tc>
        <w:tc>
          <w:tcPr>
            <w:tcW w:w="2020" w:type="dxa"/>
            <w:vAlign w:val="bottom"/>
            <w:gridSpan w:val="24"/>
          </w:tcPr>
          <w:p>
            <w:pPr>
              <w:ind w:left="200"/>
              <w:spacing w:after="0" w:line="146" w:lineRule="exact"/>
              <w:rPr>
                <w:rFonts w:ascii="Arial" w:cs="Arial" w:eastAsia="Arial" w:hAnsi="Arial"/>
                <w:sz w:val="15"/>
                <w:szCs w:val="15"/>
                <w:color w:val="0000EE"/>
              </w:rPr>
            </w:pPr>
            <w:hyperlink r:id="rId169">
              <w:r>
                <w:rPr>
                  <w:rFonts w:ascii="Arial" w:cs="Arial" w:eastAsia="Arial" w:hAnsi="Arial"/>
                  <w:sz w:val="15"/>
                  <w:szCs w:val="15"/>
                  <w:color w:val="0000EE"/>
                </w:rPr>
                <w:t>dated November 8, 2013,</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920" w:type="dxa"/>
            <w:vAlign w:val="bottom"/>
            <w:tcBorders>
              <w:top w:val="single" w:sz="8" w:color="0000EE"/>
            </w:tcBorders>
            <w:gridSpan w:val="25"/>
          </w:tcPr>
          <w:p>
            <w:pPr>
              <w:spacing w:after="0" w:line="146" w:lineRule="exact"/>
              <w:rPr>
                <w:rFonts w:ascii="Arial" w:cs="Arial" w:eastAsia="Arial" w:hAnsi="Arial"/>
                <w:sz w:val="15"/>
                <w:szCs w:val="15"/>
                <w:color w:val="0000EE"/>
              </w:rPr>
            </w:pPr>
            <w:hyperlink r:id="rId169">
              <w:r>
                <w:rPr>
                  <w:rFonts w:ascii="Arial" w:cs="Arial" w:eastAsia="Arial" w:hAnsi="Arial"/>
                  <w:sz w:val="15"/>
                  <w:szCs w:val="15"/>
                  <w:color w:val="0000EE"/>
                </w:rPr>
                <w:t>by and among Ibex Global Solutions, Inc., Digital Globe Services, LLC, TelSatOnline, LLC, 7 Degrees, LLC, and PNC</w:t>
              </w:r>
            </w:hyperlink>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660" w:type="dxa"/>
            <w:vAlign w:val="bottom"/>
            <w:tcBorders>
              <w:top w:val="single" w:sz="8" w:color="0000EE"/>
              <w:bottom w:val="single" w:sz="8" w:color="0000EE"/>
            </w:tcBorders>
            <w:gridSpan w:val="15"/>
          </w:tcPr>
          <w:p>
            <w:pPr>
              <w:spacing w:after="0" w:line="146" w:lineRule="exact"/>
              <w:rPr>
                <w:rFonts w:ascii="Arial" w:cs="Arial" w:eastAsia="Arial" w:hAnsi="Arial"/>
                <w:sz w:val="15"/>
                <w:szCs w:val="15"/>
                <w:color w:val="0000EE"/>
                <w:w w:val="97"/>
              </w:rPr>
            </w:pPr>
            <w:hyperlink r:id="rId169">
              <w:r>
                <w:rPr>
                  <w:rFonts w:ascii="Arial" w:cs="Arial" w:eastAsia="Arial" w:hAnsi="Arial"/>
                  <w:sz w:val="15"/>
                  <w:szCs w:val="15"/>
                  <w:color w:val="0000EE"/>
                  <w:w w:val="97"/>
                </w:rPr>
                <w:t>Bank, N.A. (Incorporated by reference to Exhibit 4.17 to the Annual Report on Form 20-F (File No. 001-38442) as filed</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4.18#</w:t>
            </w:r>
          </w:p>
        </w:tc>
        <w:tc>
          <w:tcPr>
            <w:tcW w:w="7700" w:type="dxa"/>
            <w:vAlign w:val="bottom"/>
            <w:gridSpan w:val="17"/>
          </w:tcPr>
          <w:p>
            <w:pPr>
              <w:spacing w:after="0" w:line="146" w:lineRule="exact"/>
              <w:rPr>
                <w:rFonts w:ascii="Arial" w:cs="Arial" w:eastAsia="Arial" w:hAnsi="Arial"/>
                <w:sz w:val="15"/>
                <w:szCs w:val="15"/>
                <w:color w:val="0000EE"/>
              </w:rPr>
            </w:pPr>
            <w:hyperlink r:id="rId169">
              <w:r>
                <w:rPr>
                  <w:rFonts w:ascii="Arial" w:cs="Arial" w:eastAsia="Arial" w:hAnsi="Arial"/>
                  <w:sz w:val="15"/>
                  <w:szCs w:val="15"/>
                  <w:color w:val="0000EE"/>
                </w:rPr>
                <w:t>with the SEC on October 14,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8080" w:type="dxa"/>
            <w:vAlign w:val="bottom"/>
            <w:gridSpan w:val="33"/>
          </w:tcPr>
          <w:p>
            <w:pPr>
              <w:spacing w:after="0" w:line="146" w:lineRule="exact"/>
              <w:rPr>
                <w:rFonts w:ascii="Arial" w:cs="Arial" w:eastAsia="Arial" w:hAnsi="Arial"/>
                <w:sz w:val="15"/>
                <w:szCs w:val="15"/>
                <w:color w:val="0000EE"/>
              </w:rPr>
            </w:pPr>
            <w:hyperlink r:id="rId170">
              <w:r>
                <w:rPr>
                  <w:rFonts w:ascii="Arial" w:cs="Arial" w:eastAsia="Arial" w:hAnsi="Arial"/>
                  <w:sz w:val="15"/>
                  <w:szCs w:val="15"/>
                  <w:color w:val="0000EE"/>
                </w:rPr>
                <w:t>Fifteenth Amendment, dated September 30, 2021, to the Revolving Credit and Security Agreement, dated November</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600" w:type="dxa"/>
            <w:vAlign w:val="bottom"/>
            <w:tcBorders>
              <w:top w:val="single" w:sz="8" w:color="0000EE"/>
            </w:tcBorders>
            <w:gridSpan w:val="12"/>
          </w:tcPr>
          <w:p>
            <w:pPr>
              <w:spacing w:after="0" w:line="146" w:lineRule="exact"/>
              <w:rPr>
                <w:rFonts w:ascii="Arial" w:cs="Arial" w:eastAsia="Arial" w:hAnsi="Arial"/>
                <w:sz w:val="15"/>
                <w:szCs w:val="15"/>
                <w:color w:val="0000EE"/>
                <w:w w:val="98"/>
              </w:rPr>
            </w:pPr>
            <w:hyperlink r:id="rId170">
              <w:r>
                <w:rPr>
                  <w:rFonts w:ascii="Arial" w:cs="Arial" w:eastAsia="Arial" w:hAnsi="Arial"/>
                  <w:sz w:val="15"/>
                  <w:szCs w:val="15"/>
                  <w:color w:val="0000EE"/>
                  <w:w w:val="98"/>
                </w:rPr>
                <w:t>8,2013, by and among Ibex Global Solutions, Inc., Digital Globe Services, LLC, TelSatOnline, LLC, 7 Degrees, LLC,</w:t>
              </w:r>
            </w:hyperlink>
          </w:p>
        </w:tc>
        <w:tc>
          <w:tcPr>
            <w:tcW w:w="480" w:type="dxa"/>
            <w:vAlign w:val="bottom"/>
            <w:gridSpan w:val="21"/>
          </w:tcPr>
          <w:p>
            <w:pPr>
              <w:spacing w:after="0" w:line="146" w:lineRule="exact"/>
              <w:rPr>
                <w:rFonts w:ascii="Arial" w:cs="Arial" w:eastAsia="Arial" w:hAnsi="Arial"/>
                <w:sz w:val="15"/>
                <w:szCs w:val="15"/>
                <w:color w:val="0000EE"/>
              </w:rPr>
            </w:pPr>
            <w:hyperlink r:id="rId170">
              <w:r>
                <w:rPr>
                  <w:rFonts w:ascii="Arial" w:cs="Arial" w:eastAsia="Arial" w:hAnsi="Arial"/>
                  <w:sz w:val="15"/>
                  <w:szCs w:val="15"/>
                  <w:color w:val="0000EE"/>
                </w:rPr>
                <w:t>iSky,</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880" w:type="dxa"/>
            <w:vAlign w:val="bottom"/>
            <w:tcBorders>
              <w:top w:val="single" w:sz="8" w:color="0000EE"/>
            </w:tcBorders>
            <w:gridSpan w:val="23"/>
          </w:tcPr>
          <w:p>
            <w:pPr>
              <w:spacing w:after="0" w:line="146" w:lineRule="exact"/>
              <w:rPr>
                <w:rFonts w:ascii="Arial" w:cs="Arial" w:eastAsia="Arial" w:hAnsi="Arial"/>
                <w:sz w:val="15"/>
                <w:szCs w:val="15"/>
                <w:color w:val="0000EE"/>
              </w:rPr>
            </w:pPr>
            <w:hyperlink r:id="rId170">
              <w:r>
                <w:rPr>
                  <w:rFonts w:ascii="Arial" w:cs="Arial" w:eastAsia="Arial" w:hAnsi="Arial"/>
                  <w:sz w:val="15"/>
                  <w:szCs w:val="15"/>
                  <w:color w:val="0000EE"/>
                </w:rPr>
                <w:t>LLC and PNC Bank, N.A. (Incorporated by reference to Exhibit 4.18 to the Annual Report on Form 20-F (File No.001-</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4.19*#</w:t>
            </w:r>
          </w:p>
        </w:tc>
        <w:tc>
          <w:tcPr>
            <w:tcW w:w="7620" w:type="dxa"/>
            <w:vAlign w:val="bottom"/>
            <w:tcBorders>
              <w:top w:val="single" w:sz="8" w:color="0000EE"/>
            </w:tcBorders>
            <w:gridSpan w:val="13"/>
          </w:tcPr>
          <w:p>
            <w:pPr>
              <w:spacing w:after="0" w:line="146" w:lineRule="exact"/>
              <w:rPr>
                <w:rFonts w:ascii="Arial" w:cs="Arial" w:eastAsia="Arial" w:hAnsi="Arial"/>
                <w:sz w:val="15"/>
                <w:szCs w:val="15"/>
                <w:color w:val="0000EE"/>
              </w:rPr>
            </w:pPr>
            <w:hyperlink r:id="rId170">
              <w:r>
                <w:rPr>
                  <w:rFonts w:ascii="Arial" w:cs="Arial" w:eastAsia="Arial" w:hAnsi="Arial"/>
                  <w:sz w:val="15"/>
                  <w:szCs w:val="15"/>
                  <w:color w:val="0000EE"/>
                </w:rPr>
                <w:t>38442) as filed with the SEC on October 14, 2021)</w:t>
              </w:r>
              <w:r>
                <w:rPr>
                  <w:rFonts w:ascii="Arial" w:cs="Arial" w:eastAsia="Arial" w:hAnsi="Arial"/>
                  <w:sz w:val="15"/>
                  <w:szCs w:val="15"/>
                  <w:color w:val="000000"/>
                </w:rPr>
                <w: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3300" w:type="dxa"/>
            <w:vAlign w:val="bottom"/>
            <w:tcBorders>
              <w:top w:val="single" w:sz="8" w:color="0000EE"/>
            </w:tcBorders>
            <w:gridSpan w:val="5"/>
          </w:tcPr>
          <w:p>
            <w:pPr>
              <w:spacing w:after="0" w:line="146" w:lineRule="exact"/>
              <w:rPr>
                <w:sz w:val="20"/>
                <w:szCs w:val="20"/>
                <w:color w:val="auto"/>
              </w:rPr>
            </w:pPr>
            <w:r>
              <w:rPr>
                <w:rFonts w:ascii="Arial" w:cs="Arial" w:eastAsia="Arial" w:hAnsi="Arial"/>
                <w:sz w:val="15"/>
                <w:szCs w:val="15"/>
                <w:color w:val="0000EE"/>
              </w:rPr>
              <w:t>Sixteenth Amendment, dated June 1, 2022 to the</w:t>
            </w:r>
          </w:p>
        </w:tc>
        <w:tc>
          <w:tcPr>
            <w:tcW w:w="4780" w:type="dxa"/>
            <w:vAlign w:val="bottom"/>
            <w:gridSpan w:val="28"/>
          </w:tcPr>
          <w:p>
            <w:pPr>
              <w:jc w:val="center"/>
              <w:ind w:right="220"/>
              <w:spacing w:after="0" w:line="146" w:lineRule="exact"/>
              <w:rPr>
                <w:sz w:val="20"/>
                <w:szCs w:val="20"/>
                <w:color w:val="auto"/>
              </w:rPr>
            </w:pPr>
            <w:r>
              <w:rPr>
                <w:rFonts w:ascii="Arial" w:cs="Arial" w:eastAsia="Arial" w:hAnsi="Arial"/>
                <w:sz w:val="15"/>
                <w:szCs w:val="15"/>
                <w:color w:val="0000EE"/>
                <w:w w:val="97"/>
              </w:rPr>
              <w:t>Revolving Credit and Security Agreement, dated November 8, 2013 by</w:t>
            </w: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860" w:type="dxa"/>
            <w:vAlign w:val="bottom"/>
            <w:tcBorders>
              <w:top w:val="single" w:sz="8" w:color="0000EE"/>
            </w:tcBorders>
            <w:gridSpan w:val="22"/>
          </w:tcPr>
          <w:p>
            <w:pPr>
              <w:spacing w:after="0" w:line="146" w:lineRule="exact"/>
              <w:rPr>
                <w:sz w:val="20"/>
                <w:szCs w:val="20"/>
                <w:color w:val="auto"/>
              </w:rPr>
            </w:pPr>
            <w:r>
              <w:rPr>
                <w:rFonts w:ascii="Arial" w:cs="Arial" w:eastAsia="Arial" w:hAnsi="Arial"/>
                <w:sz w:val="15"/>
                <w:szCs w:val="15"/>
                <w:color w:val="0000EE"/>
                <w:w w:val="99"/>
              </w:rPr>
              <w:t>and among Ibex Global Solutions, Inc., Digital Globe Services, LLC, TelSatOnline, LLC, 7 Degrees, LLC, iSky, LLC and</w:t>
            </w: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4.20</w:t>
            </w:r>
          </w:p>
        </w:tc>
        <w:tc>
          <w:tcPr>
            <w:tcW w:w="7740" w:type="dxa"/>
            <w:vAlign w:val="bottom"/>
            <w:tcBorders>
              <w:top w:val="single" w:sz="8" w:color="0000EE"/>
            </w:tcBorders>
            <w:gridSpan w:val="19"/>
          </w:tcPr>
          <w:p>
            <w:pPr>
              <w:spacing w:after="0" w:line="146" w:lineRule="exact"/>
              <w:rPr>
                <w:sz w:val="20"/>
                <w:szCs w:val="20"/>
                <w:color w:val="auto"/>
              </w:rPr>
            </w:pPr>
            <w:r>
              <w:rPr>
                <w:rFonts w:ascii="Arial" w:cs="Arial" w:eastAsia="Arial" w:hAnsi="Arial"/>
                <w:sz w:val="15"/>
                <w:szCs w:val="15"/>
                <w:color w:val="0000EE"/>
              </w:rPr>
              <w:t>PNC Bank, N.A</w:t>
            </w:r>
            <w:r>
              <w:rPr>
                <w:rFonts w:ascii="Arial" w:cs="Arial" w:eastAsia="Arial" w:hAnsi="Arial"/>
                <w:sz w:val="15"/>
                <w:szCs w:val="15"/>
                <w:color w:val="000000"/>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1020" w:type="dxa"/>
            <w:vAlign w:val="bottom"/>
            <w:tcBorders>
              <w:top w:val="single" w:sz="8" w:color="0000EE"/>
            </w:tcBorders>
          </w:tcPr>
          <w:p>
            <w:pPr>
              <w:spacing w:after="0" w:line="146" w:lineRule="exact"/>
              <w:rPr>
                <w:rFonts w:ascii="Arial" w:cs="Arial" w:eastAsia="Arial" w:hAnsi="Arial"/>
                <w:sz w:val="15"/>
                <w:szCs w:val="15"/>
                <w:color w:val="0000EE"/>
              </w:rPr>
            </w:pPr>
            <w:hyperlink r:id="rId171">
              <w:r>
                <w:rPr>
                  <w:rFonts w:ascii="Arial" w:cs="Arial" w:eastAsia="Arial" w:hAnsi="Arial"/>
                  <w:sz w:val="15"/>
                  <w:szCs w:val="15"/>
                  <w:color w:val="0000EE"/>
                </w:rPr>
                <w:t>Amended and</w:t>
              </w:r>
            </w:hyperlink>
          </w:p>
        </w:tc>
        <w:tc>
          <w:tcPr>
            <w:tcW w:w="7060" w:type="dxa"/>
            <w:vAlign w:val="bottom"/>
            <w:gridSpan w:val="32"/>
          </w:tcPr>
          <w:p>
            <w:pPr>
              <w:spacing w:after="0" w:line="146" w:lineRule="exact"/>
              <w:rPr>
                <w:rFonts w:ascii="Arial" w:cs="Arial" w:eastAsia="Arial" w:hAnsi="Arial"/>
                <w:sz w:val="15"/>
                <w:szCs w:val="15"/>
                <w:color w:val="0000EE"/>
                <w:w w:val="99"/>
              </w:rPr>
            </w:pPr>
            <w:hyperlink r:id="rId171">
              <w:r>
                <w:rPr>
                  <w:rFonts w:ascii="Arial" w:cs="Arial" w:eastAsia="Arial" w:hAnsi="Arial"/>
                  <w:sz w:val="15"/>
                  <w:szCs w:val="15"/>
                  <w:color w:val="0000EE"/>
                  <w:w w:val="99"/>
                </w:rPr>
                <w:t>Restated Collateral Pledge Agreement, dated September 30, 2021, by and between Ibex Global Solutions,</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900" w:type="dxa"/>
            <w:vAlign w:val="bottom"/>
            <w:tcBorders>
              <w:top w:val="single" w:sz="8" w:color="0000EE"/>
            </w:tcBorders>
            <w:gridSpan w:val="24"/>
          </w:tcPr>
          <w:p>
            <w:pPr>
              <w:spacing w:after="0" w:line="146" w:lineRule="exact"/>
              <w:rPr>
                <w:rFonts w:ascii="Arial" w:cs="Arial" w:eastAsia="Arial" w:hAnsi="Arial"/>
                <w:sz w:val="15"/>
                <w:szCs w:val="15"/>
                <w:color w:val="0000EE"/>
              </w:rPr>
            </w:pPr>
            <w:hyperlink r:id="rId171">
              <w:r>
                <w:rPr>
                  <w:rFonts w:ascii="Arial" w:cs="Arial" w:eastAsia="Arial" w:hAnsi="Arial"/>
                  <w:sz w:val="15"/>
                  <w:szCs w:val="15"/>
                  <w:color w:val="0000EE"/>
                </w:rPr>
                <w:t>Inc., and PNC Bank, N.A. (Incorporated by reference to Exhibit 4.19 to the Annual Report on Form 20-F (File No. 001-</w:t>
              </w:r>
            </w:hyperlink>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4.21</w:t>
            </w:r>
          </w:p>
        </w:tc>
        <w:tc>
          <w:tcPr>
            <w:tcW w:w="7680" w:type="dxa"/>
            <w:vAlign w:val="bottom"/>
            <w:tcBorders>
              <w:top w:val="single" w:sz="8" w:color="0000EE"/>
            </w:tcBorders>
            <w:gridSpan w:val="16"/>
          </w:tcPr>
          <w:p>
            <w:pPr>
              <w:spacing w:after="0" w:line="146" w:lineRule="exact"/>
              <w:rPr>
                <w:rFonts w:ascii="Arial" w:cs="Arial" w:eastAsia="Arial" w:hAnsi="Arial"/>
                <w:sz w:val="15"/>
                <w:szCs w:val="15"/>
                <w:color w:val="0000EE"/>
              </w:rPr>
            </w:pPr>
            <w:hyperlink r:id="rId171">
              <w:r>
                <w:rPr>
                  <w:rFonts w:ascii="Arial" w:cs="Arial" w:eastAsia="Arial" w:hAnsi="Arial"/>
                  <w:sz w:val="15"/>
                  <w:szCs w:val="15"/>
                  <w:color w:val="0000EE"/>
                </w:rPr>
                <w:t>38442) as filed with the SEC on October 14, 2021).</w:t>
              </w:r>
            </w:hyperlink>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3340" w:type="dxa"/>
            <w:vAlign w:val="bottom"/>
            <w:tcBorders>
              <w:top w:val="single" w:sz="8" w:color="0000EE"/>
            </w:tcBorders>
            <w:gridSpan w:val="6"/>
          </w:tcPr>
          <w:p>
            <w:pPr>
              <w:spacing w:after="0" w:line="146" w:lineRule="exact"/>
              <w:rPr>
                <w:rFonts w:ascii="Arial" w:cs="Arial" w:eastAsia="Arial" w:hAnsi="Arial"/>
                <w:sz w:val="15"/>
                <w:szCs w:val="15"/>
                <w:color w:val="0000EE"/>
                <w:w w:val="97"/>
              </w:rPr>
            </w:pPr>
            <w:hyperlink r:id="rId172">
              <w:r>
                <w:rPr>
                  <w:rFonts w:ascii="Arial" w:cs="Arial" w:eastAsia="Arial" w:hAnsi="Arial"/>
                  <w:sz w:val="15"/>
                  <w:szCs w:val="15"/>
                  <w:color w:val="0000EE"/>
                  <w:w w:val="97"/>
                </w:rPr>
                <w:t>Collateral Pledge Agreement, dated September 30,</w:t>
              </w:r>
            </w:hyperlink>
          </w:p>
        </w:tc>
        <w:tc>
          <w:tcPr>
            <w:tcW w:w="4740" w:type="dxa"/>
            <w:vAlign w:val="bottom"/>
            <w:gridSpan w:val="27"/>
          </w:tcPr>
          <w:p>
            <w:pPr>
              <w:jc w:val="center"/>
              <w:ind w:right="260"/>
              <w:spacing w:after="0" w:line="146" w:lineRule="exact"/>
              <w:rPr>
                <w:rFonts w:ascii="Arial" w:cs="Arial" w:eastAsia="Arial" w:hAnsi="Arial"/>
                <w:sz w:val="15"/>
                <w:szCs w:val="15"/>
                <w:color w:val="0000EE"/>
                <w:w w:val="98"/>
              </w:rPr>
            </w:pPr>
            <w:hyperlink r:id="rId172">
              <w:r>
                <w:rPr>
                  <w:rFonts w:ascii="Arial" w:cs="Arial" w:eastAsia="Arial" w:hAnsi="Arial"/>
                  <w:sz w:val="15"/>
                  <w:szCs w:val="15"/>
                  <w:color w:val="0000EE"/>
                  <w:w w:val="98"/>
                </w:rPr>
                <w:t>2021, by and between Digital Globe Services, LLC, and PNC Bank,</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780" w:type="dxa"/>
            <w:vAlign w:val="bottom"/>
            <w:tcBorders>
              <w:top w:val="single" w:sz="8" w:color="0000EE"/>
              <w:bottom w:val="single" w:sz="8" w:color="0000EE"/>
            </w:tcBorders>
            <w:gridSpan w:val="20"/>
          </w:tcPr>
          <w:p>
            <w:pPr>
              <w:spacing w:after="0" w:line="146" w:lineRule="exact"/>
              <w:rPr>
                <w:rFonts w:ascii="Arial" w:cs="Arial" w:eastAsia="Arial" w:hAnsi="Arial"/>
                <w:sz w:val="15"/>
                <w:szCs w:val="15"/>
                <w:color w:val="0000EE"/>
                <w:w w:val="97"/>
              </w:rPr>
            </w:pPr>
            <w:hyperlink r:id="rId172">
              <w:r>
                <w:rPr>
                  <w:rFonts w:ascii="Arial" w:cs="Arial" w:eastAsia="Arial" w:hAnsi="Arial"/>
                  <w:sz w:val="15"/>
                  <w:szCs w:val="15"/>
                  <w:color w:val="0000EE"/>
                  <w:w w:val="97"/>
                </w:rPr>
                <w:t>N.A. (Incorporated by reference to Exhibit 4.20 to the Annual Report on Form 20-F (File No. 001-38442) as filed with the</w:t>
              </w:r>
            </w:hyperlink>
          </w:p>
        </w:tc>
        <w:tc>
          <w:tcPr>
            <w:tcW w:w="40" w:type="dxa"/>
            <w:vAlign w:val="bottom"/>
            <w:tcBorders>
              <w:bottom w:val="single" w:sz="8" w:color="0000EE"/>
            </w:tcBorders>
          </w:tcPr>
          <w:p>
            <w:pPr>
              <w:spacing w:after="0"/>
              <w:rPr>
                <w:sz w:val="12"/>
                <w:szCs w:val="12"/>
                <w:color w:val="auto"/>
              </w:rPr>
            </w:pPr>
          </w:p>
        </w:tc>
        <w:tc>
          <w:tcPr>
            <w:tcW w:w="16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4.22</w:t>
            </w:r>
          </w:p>
        </w:tc>
        <w:tc>
          <w:tcPr>
            <w:tcW w:w="1780" w:type="dxa"/>
            <w:vAlign w:val="bottom"/>
            <w:tcBorders>
              <w:bottom w:val="single" w:sz="8" w:color="0000EE"/>
            </w:tcBorders>
            <w:gridSpan w:val="2"/>
          </w:tcPr>
          <w:p>
            <w:pPr>
              <w:spacing w:after="0" w:line="146" w:lineRule="exact"/>
              <w:rPr>
                <w:rFonts w:ascii="Arial" w:cs="Arial" w:eastAsia="Arial" w:hAnsi="Arial"/>
                <w:sz w:val="15"/>
                <w:szCs w:val="15"/>
                <w:color w:val="0000EE"/>
                <w:w w:val="97"/>
              </w:rPr>
            </w:pPr>
            <w:hyperlink r:id="rId172">
              <w:r>
                <w:rPr>
                  <w:rFonts w:ascii="Arial" w:cs="Arial" w:eastAsia="Arial" w:hAnsi="Arial"/>
                  <w:sz w:val="15"/>
                  <w:szCs w:val="15"/>
                  <w:color w:val="0000EE"/>
                  <w:w w:val="97"/>
                </w:rPr>
                <w:t>SEC on October 14, 2021).</w:t>
              </w:r>
            </w:hyperlink>
          </w:p>
        </w:tc>
        <w:tc>
          <w:tcPr>
            <w:tcW w:w="6040" w:type="dxa"/>
            <w:vAlign w:val="bottom"/>
            <w:gridSpan w:val="19"/>
          </w:tcPr>
          <w:p>
            <w:pPr>
              <w:spacing w:after="0"/>
              <w:rPr>
                <w:sz w:val="12"/>
                <w:szCs w:val="12"/>
                <w:color w:val="auto"/>
              </w:rPr>
            </w:pPr>
          </w:p>
        </w:tc>
        <w:tc>
          <w:tcPr>
            <w:tcW w:w="16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7640" w:type="dxa"/>
            <w:vAlign w:val="bottom"/>
            <w:tcBorders>
              <w:bottom w:val="single" w:sz="8" w:color="0000EE"/>
            </w:tcBorders>
            <w:gridSpan w:val="14"/>
          </w:tcPr>
          <w:p>
            <w:pPr>
              <w:spacing w:after="0" w:line="146" w:lineRule="exact"/>
              <w:rPr>
                <w:rFonts w:ascii="Arial" w:cs="Arial" w:eastAsia="Arial" w:hAnsi="Arial"/>
                <w:sz w:val="15"/>
                <w:szCs w:val="15"/>
                <w:color w:val="0000EE"/>
                <w:w w:val="97"/>
              </w:rPr>
            </w:pPr>
            <w:hyperlink r:id="rId173">
              <w:r>
                <w:rPr>
                  <w:rFonts w:ascii="Arial" w:cs="Arial" w:eastAsia="Arial" w:hAnsi="Arial"/>
                  <w:sz w:val="15"/>
                  <w:szCs w:val="15"/>
                  <w:color w:val="0000EE"/>
                  <w:w w:val="97"/>
                </w:rPr>
                <w:t>Trademark Security Agreement, dated September 30, 2021, by and among Ibex Global Solutions, Inc., iSky, LLC and</w:t>
              </w:r>
            </w:hyperlink>
          </w:p>
        </w:tc>
        <w:tc>
          <w:tcPr>
            <w:tcW w:w="44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80" w:type="dxa"/>
            <w:vAlign w:val="bottom"/>
            <w:gridSpan w:val="33"/>
          </w:tcPr>
          <w:p>
            <w:pPr>
              <w:spacing w:after="0" w:line="146" w:lineRule="exact"/>
              <w:rPr>
                <w:rFonts w:ascii="Arial" w:cs="Arial" w:eastAsia="Arial" w:hAnsi="Arial"/>
                <w:sz w:val="15"/>
                <w:szCs w:val="15"/>
                <w:color w:val="0000EE"/>
              </w:rPr>
            </w:pPr>
            <w:hyperlink r:id="rId173">
              <w:r>
                <w:rPr>
                  <w:rFonts w:ascii="Arial" w:cs="Arial" w:eastAsia="Arial" w:hAnsi="Arial"/>
                  <w:sz w:val="15"/>
                  <w:szCs w:val="15"/>
                  <w:color w:val="0000EE"/>
                </w:rPr>
                <w:t>PNC Bank, N.A. (Incorporated by reference to Exhibit 4.21 to the Annual Report on Form 20-F (File No. 001-38442) as</w:t>
              </w:r>
            </w:hyperlink>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4.23</w:t>
            </w:r>
          </w:p>
        </w:tc>
        <w:tc>
          <w:tcPr>
            <w:tcW w:w="7720" w:type="dxa"/>
            <w:vAlign w:val="bottom"/>
            <w:tcBorders>
              <w:top w:val="single" w:sz="8" w:color="0000EE"/>
            </w:tcBorders>
            <w:gridSpan w:val="18"/>
          </w:tcPr>
          <w:p>
            <w:pPr>
              <w:spacing w:after="0" w:line="146" w:lineRule="exact"/>
              <w:rPr>
                <w:rFonts w:ascii="Arial" w:cs="Arial" w:eastAsia="Arial" w:hAnsi="Arial"/>
                <w:sz w:val="15"/>
                <w:szCs w:val="15"/>
                <w:color w:val="0000EE"/>
              </w:rPr>
            </w:pPr>
            <w:hyperlink r:id="rId173">
              <w:r>
                <w:rPr>
                  <w:rFonts w:ascii="Arial" w:cs="Arial" w:eastAsia="Arial" w:hAnsi="Arial"/>
                  <w:sz w:val="15"/>
                  <w:szCs w:val="15"/>
                  <w:color w:val="0000EE"/>
                </w:rPr>
                <w:t>filed with the SEC on October 14, 2021).</w:t>
              </w:r>
            </w:hyperlink>
          </w:p>
        </w:tc>
        <w:tc>
          <w:tcPr>
            <w:tcW w:w="260" w:type="dxa"/>
            <w:vAlign w:val="bottom"/>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2640" w:type="dxa"/>
            <w:vAlign w:val="bottom"/>
            <w:tcBorders>
              <w:top w:val="single" w:sz="8" w:color="0000EE"/>
            </w:tcBorders>
            <w:gridSpan w:val="4"/>
          </w:tcPr>
          <w:p>
            <w:pPr>
              <w:spacing w:after="0" w:line="146" w:lineRule="exact"/>
              <w:rPr>
                <w:rFonts w:ascii="Arial" w:cs="Arial" w:eastAsia="Arial" w:hAnsi="Arial"/>
                <w:sz w:val="15"/>
                <w:szCs w:val="15"/>
                <w:color w:val="0000EE"/>
              </w:rPr>
            </w:pPr>
            <w:hyperlink r:id="rId174">
              <w:r>
                <w:rPr>
                  <w:rFonts w:ascii="Arial" w:cs="Arial" w:eastAsia="Arial" w:hAnsi="Arial"/>
                  <w:sz w:val="15"/>
                  <w:szCs w:val="15"/>
                  <w:color w:val="0000EE"/>
                </w:rPr>
                <w:t>IBEX Holdings Limited 2018 Restricted</w:t>
              </w:r>
            </w:hyperlink>
          </w:p>
        </w:tc>
        <w:tc>
          <w:tcPr>
            <w:tcW w:w="5440" w:type="dxa"/>
            <w:vAlign w:val="bottom"/>
            <w:gridSpan w:val="29"/>
          </w:tcPr>
          <w:p>
            <w:pPr>
              <w:jc w:val="right"/>
              <w:ind w:right="140"/>
              <w:spacing w:after="0" w:line="146" w:lineRule="exact"/>
              <w:rPr>
                <w:rFonts w:ascii="Arial" w:cs="Arial" w:eastAsia="Arial" w:hAnsi="Arial"/>
                <w:sz w:val="15"/>
                <w:szCs w:val="15"/>
                <w:color w:val="0000EE"/>
              </w:rPr>
            </w:pPr>
            <w:hyperlink r:id="rId174">
              <w:r>
                <w:rPr>
                  <w:rFonts w:ascii="Arial" w:cs="Arial" w:eastAsia="Arial" w:hAnsi="Arial"/>
                  <w:sz w:val="15"/>
                  <w:szCs w:val="15"/>
                  <w:color w:val="0000EE"/>
                </w:rPr>
                <w:t>Share Plan (Incorporated by reference to Exhibit 10.35 to the Registration</w:t>
              </w:r>
            </w:hyperlink>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4.24</w:t>
            </w:r>
          </w:p>
        </w:tc>
        <w:tc>
          <w:tcPr>
            <w:tcW w:w="8000" w:type="dxa"/>
            <w:vAlign w:val="bottom"/>
            <w:tcBorders>
              <w:top w:val="single" w:sz="8" w:color="0000EE"/>
            </w:tcBorders>
            <w:gridSpan w:val="29"/>
          </w:tcPr>
          <w:p>
            <w:pPr>
              <w:spacing w:after="0" w:line="146" w:lineRule="exact"/>
              <w:rPr>
                <w:rFonts w:ascii="Arial" w:cs="Arial" w:eastAsia="Arial" w:hAnsi="Arial"/>
                <w:sz w:val="15"/>
                <w:szCs w:val="15"/>
                <w:color w:val="0000EE"/>
              </w:rPr>
            </w:pPr>
            <w:hyperlink r:id="rId174">
              <w:r>
                <w:rPr>
                  <w:rFonts w:ascii="Arial" w:cs="Arial" w:eastAsia="Arial" w:hAnsi="Arial"/>
                  <w:sz w:val="15"/>
                  <w:szCs w:val="15"/>
                  <w:color w:val="0000EE"/>
                </w:rPr>
                <w:t>Statement on Form F-1 (File No. 333-239821) as filed with the SEC on July 10, 2020).</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5620" w:type="dxa"/>
            <w:vAlign w:val="bottom"/>
            <w:tcBorders>
              <w:top w:val="single" w:sz="8" w:color="0000EE"/>
            </w:tcBorders>
            <w:gridSpan w:val="8"/>
          </w:tcPr>
          <w:p>
            <w:pPr>
              <w:spacing w:after="0" w:line="146" w:lineRule="exact"/>
              <w:rPr>
                <w:rFonts w:ascii="Arial" w:cs="Arial" w:eastAsia="Arial" w:hAnsi="Arial"/>
                <w:sz w:val="15"/>
                <w:szCs w:val="15"/>
                <w:color w:val="0000EE"/>
              </w:rPr>
            </w:pPr>
            <w:hyperlink r:id="rId175">
              <w:r>
                <w:rPr>
                  <w:rFonts w:ascii="Arial" w:cs="Arial" w:eastAsia="Arial" w:hAnsi="Arial"/>
                  <w:sz w:val="15"/>
                  <w:szCs w:val="15"/>
                  <w:color w:val="0000EE"/>
                </w:rPr>
                <w:t>Form of Restricted Share Agreement (A) (Incorporated by reference to Exhibit 10.36</w:t>
              </w:r>
            </w:hyperlink>
          </w:p>
        </w:tc>
        <w:tc>
          <w:tcPr>
            <w:tcW w:w="2460" w:type="dxa"/>
            <w:vAlign w:val="bottom"/>
            <w:gridSpan w:val="25"/>
          </w:tcPr>
          <w:p>
            <w:pPr>
              <w:jc w:val="right"/>
              <w:ind w:right="140"/>
              <w:spacing w:after="0" w:line="146" w:lineRule="exact"/>
              <w:rPr>
                <w:rFonts w:ascii="Arial" w:cs="Arial" w:eastAsia="Arial" w:hAnsi="Arial"/>
                <w:sz w:val="15"/>
                <w:szCs w:val="15"/>
                <w:color w:val="0000EE"/>
              </w:rPr>
            </w:pPr>
            <w:hyperlink r:id="rId175">
              <w:r>
                <w:rPr>
                  <w:rFonts w:ascii="Arial" w:cs="Arial" w:eastAsia="Arial" w:hAnsi="Arial"/>
                  <w:sz w:val="15"/>
                  <w:szCs w:val="15"/>
                  <w:color w:val="0000EE"/>
                </w:rPr>
                <w:t>to the Registration Statement on</w:t>
              </w:r>
            </w:hyperlink>
          </w:p>
        </w:tc>
        <w:tc>
          <w:tcPr>
            <w:tcW w:w="0" w:type="dxa"/>
            <w:vAlign w:val="bottom"/>
          </w:tcPr>
          <w:p>
            <w:pPr>
              <w:spacing w:after="0"/>
              <w:rPr>
                <w:sz w:val="1"/>
                <w:szCs w:val="1"/>
                <w:color w:val="auto"/>
              </w:rPr>
            </w:pPr>
          </w:p>
        </w:tc>
      </w:tr>
      <w:tr>
        <w:trPr>
          <w:trHeight w:val="146"/>
        </w:trPr>
        <w:tc>
          <w:tcPr>
            <w:tcW w:w="1000" w:type="dxa"/>
            <w:vAlign w:val="bottom"/>
            <w:vMerge w:val="restart"/>
          </w:tcPr>
          <w:p>
            <w:pPr>
              <w:ind w:left="20"/>
              <w:spacing w:after="0"/>
              <w:rPr>
                <w:sz w:val="20"/>
                <w:szCs w:val="20"/>
                <w:color w:val="auto"/>
              </w:rPr>
            </w:pPr>
            <w:r>
              <w:rPr>
                <w:rFonts w:ascii="Arial" w:cs="Arial" w:eastAsia="Arial" w:hAnsi="Arial"/>
                <w:sz w:val="15"/>
                <w:szCs w:val="15"/>
                <w:color w:val="auto"/>
              </w:rPr>
              <w:t>4.25</w:t>
            </w:r>
          </w:p>
        </w:tc>
        <w:tc>
          <w:tcPr>
            <w:tcW w:w="4700" w:type="dxa"/>
            <w:vAlign w:val="bottom"/>
            <w:tcBorders>
              <w:top w:val="single" w:sz="8" w:color="0000EE"/>
              <w:bottom w:val="single" w:sz="8" w:color="0000EE"/>
            </w:tcBorders>
            <w:gridSpan w:val="7"/>
          </w:tcPr>
          <w:p>
            <w:pPr>
              <w:spacing w:after="0" w:line="146" w:lineRule="exact"/>
              <w:rPr>
                <w:rFonts w:ascii="Arial" w:cs="Arial" w:eastAsia="Arial" w:hAnsi="Arial"/>
                <w:sz w:val="15"/>
                <w:szCs w:val="15"/>
                <w:color w:val="0000EE"/>
                <w:w w:val="97"/>
              </w:rPr>
            </w:pPr>
            <w:hyperlink r:id="rId175">
              <w:r>
                <w:rPr>
                  <w:rFonts w:ascii="Arial" w:cs="Arial" w:eastAsia="Arial" w:hAnsi="Arial"/>
                  <w:sz w:val="15"/>
                  <w:szCs w:val="15"/>
                  <w:color w:val="0000EE"/>
                  <w:w w:val="97"/>
                </w:rPr>
                <w:t>Form F-1 (File No. 333-239821) as filed with the SEC on July 10, 2020).</w:t>
              </w:r>
            </w:hyperlink>
          </w:p>
        </w:tc>
        <w:tc>
          <w:tcPr>
            <w:tcW w:w="3280" w:type="dxa"/>
            <w:vAlign w:val="bottom"/>
            <w:tcBorders>
              <w:top w:val="single" w:sz="8" w:color="0000EE"/>
            </w:tcBorders>
            <w:gridSpan w:val="21"/>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vMerge w:val="continue"/>
          </w:tcPr>
          <w:p>
            <w:pPr>
              <w:spacing w:after="0"/>
              <w:rPr>
                <w:sz w:val="12"/>
                <w:szCs w:val="12"/>
                <w:color w:val="auto"/>
              </w:rPr>
            </w:pPr>
          </w:p>
        </w:tc>
        <w:tc>
          <w:tcPr>
            <w:tcW w:w="8080" w:type="dxa"/>
            <w:vAlign w:val="bottom"/>
            <w:gridSpan w:val="33"/>
          </w:tcPr>
          <w:p>
            <w:pPr>
              <w:spacing w:after="0" w:line="146" w:lineRule="exact"/>
              <w:rPr>
                <w:rFonts w:ascii="Arial" w:cs="Arial" w:eastAsia="Arial" w:hAnsi="Arial"/>
                <w:sz w:val="15"/>
                <w:szCs w:val="15"/>
                <w:color w:val="0000EE"/>
              </w:rPr>
            </w:pPr>
            <w:hyperlink r:id="rId176">
              <w:r>
                <w:rPr>
                  <w:rFonts w:ascii="Arial" w:cs="Arial" w:eastAsia="Arial" w:hAnsi="Arial"/>
                  <w:sz w:val="15"/>
                  <w:szCs w:val="15"/>
                  <w:color w:val="0000EE"/>
                </w:rPr>
                <w:t>Form of Restricted Share Agreement (B) (Incorporated by reference to Exhibit 10.37 to the Registration Statement on</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7980" w:type="dxa"/>
            <w:vAlign w:val="bottom"/>
            <w:tcBorders>
              <w:top w:val="single" w:sz="8" w:color="0000EE"/>
            </w:tcBorders>
            <w:gridSpan w:val="28"/>
          </w:tcPr>
          <w:p>
            <w:pPr>
              <w:spacing w:after="0" w:line="146" w:lineRule="exact"/>
              <w:rPr>
                <w:rFonts w:ascii="Arial" w:cs="Arial" w:eastAsia="Arial" w:hAnsi="Arial"/>
                <w:sz w:val="15"/>
                <w:szCs w:val="15"/>
                <w:color w:val="0000EE"/>
              </w:rPr>
            </w:pPr>
            <w:hyperlink r:id="rId176">
              <w:r>
                <w:rPr>
                  <w:rFonts w:ascii="Arial" w:cs="Arial" w:eastAsia="Arial" w:hAnsi="Arial"/>
                  <w:sz w:val="15"/>
                  <w:szCs w:val="15"/>
                  <w:color w:val="0000EE"/>
                </w:rPr>
                <w:t>Form F-1 (File No. 333-239821) as filed with the SEC on July 10, 2020).</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1000" w:type="dxa"/>
            <w:vAlign w:val="bottom"/>
          </w:tcPr>
          <w:p>
            <w:pPr>
              <w:spacing w:after="0"/>
              <w:rPr>
                <w:sz w:val="24"/>
                <w:szCs w:val="24"/>
                <w:color w:val="auto"/>
              </w:rPr>
            </w:pPr>
          </w:p>
        </w:tc>
        <w:tc>
          <w:tcPr>
            <w:tcW w:w="4700" w:type="dxa"/>
            <w:vAlign w:val="bottom"/>
            <w:tcBorders>
              <w:top w:val="single" w:sz="8" w:color="0000EE"/>
            </w:tcBorders>
            <w:gridSpan w:val="7"/>
          </w:tcPr>
          <w:p>
            <w:pPr>
              <w:ind w:left="3360"/>
              <w:spacing w:after="0"/>
              <w:rPr>
                <w:sz w:val="20"/>
                <w:szCs w:val="20"/>
                <w:color w:val="auto"/>
              </w:rPr>
            </w:pPr>
            <w:r>
              <w:rPr>
                <w:rFonts w:ascii="Arial" w:cs="Arial" w:eastAsia="Arial" w:hAnsi="Arial"/>
                <w:sz w:val="15"/>
                <w:szCs w:val="15"/>
                <w:color w:val="auto"/>
              </w:rPr>
              <w:t>120</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6"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980" w:type="dxa"/>
            <w:vAlign w:val="bottom"/>
          </w:tcPr>
          <w:p>
            <w:pPr>
              <w:spacing w:after="0"/>
              <w:rPr>
                <w:sz w:val="20"/>
                <w:szCs w:val="20"/>
                <w:color w:val="auto"/>
              </w:rPr>
            </w:pPr>
            <w:r>
              <w:rPr>
                <w:rFonts w:ascii="Arial" w:cs="Arial" w:eastAsia="Arial" w:hAnsi="Arial"/>
                <w:sz w:val="15"/>
                <w:szCs w:val="15"/>
                <w:color w:val="auto"/>
              </w:rPr>
              <w:t>4.26</w:t>
            </w:r>
          </w:p>
        </w:tc>
        <w:tc>
          <w:tcPr>
            <w:tcW w:w="8160" w:type="dxa"/>
            <w:vAlign w:val="bottom"/>
            <w:gridSpan w:val="27"/>
          </w:tcPr>
          <w:p>
            <w:pPr>
              <w:spacing w:after="0"/>
              <w:rPr>
                <w:rFonts w:ascii="Arial" w:cs="Arial" w:eastAsia="Arial" w:hAnsi="Arial"/>
                <w:sz w:val="15"/>
                <w:szCs w:val="15"/>
                <w:color w:val="0000EE"/>
              </w:rPr>
            </w:pPr>
            <w:hyperlink r:id="rId177">
              <w:r>
                <w:rPr>
                  <w:rFonts w:ascii="Arial" w:cs="Arial" w:eastAsia="Arial" w:hAnsi="Arial"/>
                  <w:sz w:val="15"/>
                  <w:szCs w:val="15"/>
                  <w:color w:val="0000EE"/>
                </w:rPr>
                <w:t>IBEX Holdings Limited UK Sub-Plan of the 2018 Restricted Share Plan (Incorporated by reference to Exhibit 10.38 to the</w:t>
              </w:r>
            </w:hyperlink>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4.27</w:t>
            </w:r>
          </w:p>
        </w:tc>
        <w:tc>
          <w:tcPr>
            <w:tcW w:w="8040" w:type="dxa"/>
            <w:vAlign w:val="bottom"/>
            <w:tcBorders>
              <w:top w:val="single" w:sz="8" w:color="0000EE"/>
            </w:tcBorders>
            <w:gridSpan w:val="21"/>
          </w:tcPr>
          <w:p>
            <w:pPr>
              <w:spacing w:after="0" w:line="146" w:lineRule="exact"/>
              <w:rPr>
                <w:rFonts w:ascii="Arial" w:cs="Arial" w:eastAsia="Arial" w:hAnsi="Arial"/>
                <w:sz w:val="15"/>
                <w:szCs w:val="15"/>
                <w:color w:val="0000EE"/>
              </w:rPr>
            </w:pPr>
            <w:hyperlink r:id="rId177">
              <w:r>
                <w:rPr>
                  <w:rFonts w:ascii="Arial" w:cs="Arial" w:eastAsia="Arial" w:hAnsi="Arial"/>
                  <w:sz w:val="15"/>
                  <w:szCs w:val="15"/>
                  <w:color w:val="0000EE"/>
                </w:rPr>
                <w:t>Registration Statement on Form F-1 (File No. 333-239821) as filed with the SEC on July 10, 2020</w:t>
              </w:r>
              <w:r>
                <w:rPr>
                  <w:rFonts w:ascii="Arial" w:cs="Arial" w:eastAsia="Arial" w:hAnsi="Arial"/>
                  <w:sz w:val="15"/>
                  <w:szCs w:val="15"/>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6340" w:type="dxa"/>
            <w:vAlign w:val="bottom"/>
            <w:tcBorders>
              <w:top w:val="single" w:sz="8" w:color="0000EE"/>
            </w:tcBorders>
            <w:gridSpan w:val="12"/>
          </w:tcPr>
          <w:p>
            <w:pPr>
              <w:spacing w:after="0" w:line="146" w:lineRule="exact"/>
              <w:rPr>
                <w:rFonts w:ascii="Arial" w:cs="Arial" w:eastAsia="Arial" w:hAnsi="Arial"/>
                <w:sz w:val="15"/>
                <w:szCs w:val="15"/>
                <w:color w:val="0000EE"/>
                <w:w w:val="99"/>
              </w:rPr>
            </w:pPr>
            <w:hyperlink r:id="rId178">
              <w:r>
                <w:rPr>
                  <w:rFonts w:ascii="Arial" w:cs="Arial" w:eastAsia="Arial" w:hAnsi="Arial"/>
                  <w:sz w:val="15"/>
                  <w:szCs w:val="15"/>
                  <w:color w:val="0000EE"/>
                  <w:w w:val="99"/>
                </w:rPr>
                <w:t>2020 Long Term Incentive Plan, dated as of May 20, 2020 (Incorporated by reference to Exhibit</w:t>
              </w:r>
            </w:hyperlink>
          </w:p>
        </w:tc>
        <w:tc>
          <w:tcPr>
            <w:tcW w:w="1820" w:type="dxa"/>
            <w:vAlign w:val="bottom"/>
            <w:gridSpan w:val="15"/>
          </w:tcPr>
          <w:p>
            <w:pPr>
              <w:jc w:val="right"/>
              <w:ind w:right="220"/>
              <w:spacing w:after="0" w:line="146" w:lineRule="exact"/>
              <w:rPr>
                <w:rFonts w:ascii="Arial" w:cs="Arial" w:eastAsia="Arial" w:hAnsi="Arial"/>
                <w:sz w:val="15"/>
                <w:szCs w:val="15"/>
                <w:color w:val="0000EE"/>
                <w:w w:val="96"/>
              </w:rPr>
            </w:pPr>
            <w:hyperlink r:id="rId178">
              <w:r>
                <w:rPr>
                  <w:rFonts w:ascii="Arial" w:cs="Arial" w:eastAsia="Arial" w:hAnsi="Arial"/>
                  <w:sz w:val="15"/>
                  <w:szCs w:val="15"/>
                  <w:color w:val="0000EE"/>
                  <w:w w:val="96"/>
                </w:rPr>
                <w:t>10.39 to the Registration</w:t>
              </w:r>
            </w:hyperlink>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4.28</w:t>
            </w:r>
          </w:p>
        </w:tc>
        <w:tc>
          <w:tcPr>
            <w:tcW w:w="8040" w:type="dxa"/>
            <w:vAlign w:val="bottom"/>
            <w:tcBorders>
              <w:top w:val="single" w:sz="8" w:color="0000EE"/>
            </w:tcBorders>
            <w:gridSpan w:val="21"/>
          </w:tcPr>
          <w:p>
            <w:pPr>
              <w:spacing w:after="0" w:line="146" w:lineRule="exact"/>
              <w:rPr>
                <w:rFonts w:ascii="Arial" w:cs="Arial" w:eastAsia="Arial" w:hAnsi="Arial"/>
                <w:sz w:val="15"/>
                <w:szCs w:val="15"/>
                <w:color w:val="0000EE"/>
              </w:rPr>
            </w:pPr>
            <w:hyperlink r:id="rId178">
              <w:r>
                <w:rPr>
                  <w:rFonts w:ascii="Arial" w:cs="Arial" w:eastAsia="Arial" w:hAnsi="Arial"/>
                  <w:sz w:val="15"/>
                  <w:szCs w:val="15"/>
                  <w:color w:val="0000EE"/>
                </w:rPr>
                <w:t>Statement on Form F-1 (File No. 333-239821) as filed with the SEC on July 10, 2020)</w:t>
              </w:r>
              <w:r>
                <w:rPr>
                  <w:rFonts w:ascii="Arial" w:cs="Arial" w:eastAsia="Arial" w:hAnsi="Arial"/>
                  <w:sz w:val="15"/>
                  <w:szCs w:val="15"/>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5580" w:type="dxa"/>
            <w:vAlign w:val="bottom"/>
            <w:tcBorders>
              <w:top w:val="single" w:sz="8" w:color="0000EE"/>
            </w:tcBorders>
            <w:gridSpan w:val="11"/>
          </w:tcPr>
          <w:p>
            <w:pPr>
              <w:spacing w:after="0" w:line="146" w:lineRule="exact"/>
              <w:rPr>
                <w:rFonts w:ascii="Arial" w:cs="Arial" w:eastAsia="Arial" w:hAnsi="Arial"/>
                <w:sz w:val="15"/>
                <w:szCs w:val="15"/>
                <w:color w:val="auto"/>
              </w:rPr>
            </w:pPr>
            <w:hyperlink r:id="rId179">
              <w:r>
                <w:rPr>
                  <w:rFonts w:ascii="Arial" w:cs="Arial" w:eastAsia="Arial" w:hAnsi="Arial"/>
                  <w:sz w:val="15"/>
                  <w:szCs w:val="15"/>
                  <w:color w:val="auto"/>
                </w:rPr>
                <w:t>I</w:t>
              </w:r>
              <w:r>
                <w:rPr>
                  <w:rFonts w:ascii="Arial" w:cs="Arial" w:eastAsia="Arial" w:hAnsi="Arial"/>
                  <w:sz w:val="15"/>
                  <w:szCs w:val="15"/>
                  <w:color w:val="0000EE"/>
                </w:rPr>
                <w:t>BEX Limited Amended 2020 Long-Term Incentive Plan, dated January 14, 2022,</w:t>
              </w:r>
            </w:hyperlink>
          </w:p>
        </w:tc>
        <w:tc>
          <w:tcPr>
            <w:tcW w:w="2580" w:type="dxa"/>
            <w:vAlign w:val="bottom"/>
            <w:gridSpan w:val="16"/>
          </w:tcPr>
          <w:p>
            <w:pPr>
              <w:jc w:val="right"/>
              <w:ind w:right="220"/>
              <w:spacing w:after="0" w:line="146" w:lineRule="exact"/>
              <w:rPr>
                <w:rFonts w:ascii="Arial" w:cs="Arial" w:eastAsia="Arial" w:hAnsi="Arial"/>
                <w:sz w:val="15"/>
                <w:szCs w:val="15"/>
                <w:color w:val="0000EE"/>
                <w:w w:val="96"/>
              </w:rPr>
            </w:pPr>
            <w:hyperlink r:id="rId179">
              <w:r>
                <w:rPr>
                  <w:rFonts w:ascii="Arial" w:cs="Arial" w:eastAsia="Arial" w:hAnsi="Arial"/>
                  <w:sz w:val="15"/>
                  <w:szCs w:val="15"/>
                  <w:color w:val="0000EE"/>
                  <w:w w:val="96"/>
                </w:rPr>
                <w:t>(Incorporated by reference to Exhibit</w:t>
              </w:r>
            </w:hyperlink>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4.29+</w:t>
            </w:r>
          </w:p>
        </w:tc>
        <w:tc>
          <w:tcPr>
            <w:tcW w:w="40" w:type="dxa"/>
            <w:vAlign w:val="bottom"/>
            <w:tcBorders>
              <w:bottom w:val="single" w:sz="8" w:color="0000EE"/>
            </w:tcBorders>
          </w:tcPr>
          <w:p>
            <w:pPr>
              <w:spacing w:after="0"/>
              <w:rPr>
                <w:sz w:val="12"/>
                <w:szCs w:val="12"/>
                <w:color w:val="auto"/>
              </w:rPr>
            </w:pPr>
          </w:p>
        </w:tc>
        <w:tc>
          <w:tcPr>
            <w:tcW w:w="7220" w:type="dxa"/>
            <w:vAlign w:val="bottom"/>
            <w:tcBorders>
              <w:top w:val="single" w:sz="8" w:color="0000EE"/>
              <w:bottom w:val="single" w:sz="8" w:color="0000EE"/>
            </w:tcBorders>
            <w:gridSpan w:val="14"/>
          </w:tcPr>
          <w:p>
            <w:pPr>
              <w:spacing w:after="0" w:line="146" w:lineRule="exact"/>
              <w:rPr>
                <w:rFonts w:ascii="Arial" w:cs="Arial" w:eastAsia="Arial" w:hAnsi="Arial"/>
                <w:sz w:val="15"/>
                <w:szCs w:val="15"/>
                <w:color w:val="0000EE"/>
                <w:w w:val="97"/>
              </w:rPr>
            </w:pPr>
            <w:hyperlink r:id="rId179">
              <w:r>
                <w:rPr>
                  <w:rFonts w:ascii="Arial" w:cs="Arial" w:eastAsia="Arial" w:hAnsi="Arial"/>
                  <w:sz w:val="15"/>
                  <w:szCs w:val="15"/>
                  <w:color w:val="0000EE"/>
                  <w:w w:val="97"/>
                </w:rPr>
                <w:t>99.</w:t>
              </w:r>
              <w:r>
                <w:rPr>
                  <w:rFonts w:ascii="Arial" w:cs="Arial" w:eastAsia="Arial" w:hAnsi="Arial"/>
                  <w:sz w:val="15"/>
                  <w:szCs w:val="15"/>
                  <w:u w:val="single" w:color="auto"/>
                  <w:color w:val="0000EE"/>
                  <w:w w:val="97"/>
                </w:rPr>
                <w:t>1</w:t>
              </w:r>
              <w:r>
                <w:rPr>
                  <w:rFonts w:ascii="Arial" w:cs="Arial" w:eastAsia="Arial" w:hAnsi="Arial"/>
                  <w:sz w:val="15"/>
                  <w:szCs w:val="15"/>
                  <w:color w:val="0000EE"/>
                  <w:w w:val="97"/>
                </w:rPr>
                <w:t xml:space="preserve"> to the Registration Statement on Form S-8 (File No. 333-263228) as filed with the SEC on March 2, 2022).</w:t>
              </w:r>
            </w:hyperlink>
          </w:p>
        </w:tc>
        <w:tc>
          <w:tcPr>
            <w:tcW w:w="760" w:type="dxa"/>
            <w:vAlign w:val="bottom"/>
            <w:tcBorders>
              <w:top w:val="single" w:sz="8" w:color="0000EE"/>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8160" w:type="dxa"/>
            <w:vAlign w:val="bottom"/>
            <w:gridSpan w:val="27"/>
          </w:tcPr>
          <w:p>
            <w:pPr>
              <w:spacing w:after="0" w:line="146" w:lineRule="exact"/>
              <w:rPr>
                <w:rFonts w:ascii="Arial" w:cs="Arial" w:eastAsia="Arial" w:hAnsi="Arial"/>
                <w:sz w:val="15"/>
                <w:szCs w:val="15"/>
                <w:color w:val="0000EE"/>
              </w:rPr>
            </w:pPr>
            <w:hyperlink r:id="rId180">
              <w:r>
                <w:rPr>
                  <w:rFonts w:ascii="Arial" w:cs="Arial" w:eastAsia="Arial" w:hAnsi="Arial"/>
                  <w:sz w:val="15"/>
                  <w:szCs w:val="15"/>
                  <w:color w:val="0000EE"/>
                </w:rPr>
                <w:t>Second Amended and Restated Warrant, dated November 13, 2017, issued to Amazon.com NV Investment Holdings LLC</w:t>
              </w:r>
            </w:hyperlink>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7960" w:type="dxa"/>
            <w:vAlign w:val="bottom"/>
            <w:tcBorders>
              <w:top w:val="single" w:sz="8" w:color="0000EE"/>
              <w:bottom w:val="single" w:sz="8" w:color="0000EE"/>
            </w:tcBorders>
            <w:gridSpan w:val="17"/>
          </w:tcPr>
          <w:p>
            <w:pPr>
              <w:spacing w:after="0" w:line="146" w:lineRule="exact"/>
              <w:rPr>
                <w:rFonts w:ascii="Arial" w:cs="Arial" w:eastAsia="Arial" w:hAnsi="Arial"/>
                <w:sz w:val="15"/>
                <w:szCs w:val="15"/>
                <w:color w:val="0000EE"/>
              </w:rPr>
            </w:pPr>
            <w:hyperlink r:id="rId180">
              <w:r>
                <w:rPr>
                  <w:rFonts w:ascii="Arial" w:cs="Arial" w:eastAsia="Arial" w:hAnsi="Arial"/>
                  <w:sz w:val="15"/>
                  <w:szCs w:val="15"/>
                  <w:color w:val="0000EE"/>
                </w:rPr>
                <w:t>(amended December 28, 2018) (Incorporated by reference to Exhibit 10.40 to the Registration Statement on Form F-1</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0" w:type="dxa"/>
            <w:vAlign w:val="bottom"/>
            <w:tcBorders>
              <w:bottom w:val="single" w:sz="8" w:color="0000EE"/>
            </w:tcBorders>
            <w:gridSpan w:val="3"/>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4.30</w:t>
            </w:r>
          </w:p>
        </w:tc>
        <w:tc>
          <w:tcPr>
            <w:tcW w:w="8160" w:type="dxa"/>
            <w:vAlign w:val="bottom"/>
            <w:gridSpan w:val="27"/>
          </w:tcPr>
          <w:p>
            <w:pPr>
              <w:spacing w:after="0" w:line="146" w:lineRule="exact"/>
              <w:rPr>
                <w:rFonts w:ascii="Arial" w:cs="Arial" w:eastAsia="Arial" w:hAnsi="Arial"/>
                <w:sz w:val="15"/>
                <w:szCs w:val="15"/>
                <w:color w:val="0000EE"/>
              </w:rPr>
            </w:pPr>
            <w:hyperlink r:id="rId180">
              <w:r>
                <w:rPr>
                  <w:rFonts w:ascii="Arial" w:cs="Arial" w:eastAsia="Arial" w:hAnsi="Arial"/>
                  <w:sz w:val="15"/>
                  <w:szCs w:val="15"/>
                  <w:color w:val="0000EE"/>
                </w:rPr>
                <w:t>(File No. 333-239821) as filed with the SEC on July 29, 2020).</w:t>
              </w:r>
            </w:hyperlink>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980" w:type="dxa"/>
            <w:vAlign w:val="bottom"/>
            <w:vMerge w:val="continue"/>
          </w:tcPr>
          <w:p>
            <w:pPr>
              <w:spacing w:after="0"/>
              <w:rPr>
                <w:sz w:val="12"/>
                <w:szCs w:val="12"/>
                <w:color w:val="auto"/>
              </w:rPr>
            </w:pPr>
          </w:p>
        </w:tc>
        <w:tc>
          <w:tcPr>
            <w:tcW w:w="8160" w:type="dxa"/>
            <w:vAlign w:val="bottom"/>
            <w:gridSpan w:val="27"/>
          </w:tcPr>
          <w:p>
            <w:pPr>
              <w:spacing w:after="0" w:line="146" w:lineRule="exact"/>
              <w:rPr>
                <w:rFonts w:ascii="Arial" w:cs="Arial" w:eastAsia="Arial" w:hAnsi="Arial"/>
                <w:sz w:val="15"/>
                <w:szCs w:val="15"/>
                <w:color w:val="0000EE"/>
              </w:rPr>
            </w:pPr>
            <w:hyperlink r:id="rId181">
              <w:r>
                <w:rPr>
                  <w:rFonts w:ascii="Arial" w:cs="Arial" w:eastAsia="Arial" w:hAnsi="Arial"/>
                  <w:sz w:val="15"/>
                  <w:szCs w:val="15"/>
                  <w:color w:val="0000EE"/>
                </w:rPr>
                <w:t>First Amendment to Second Amended and Restated Warrant, dated November 13, 2017, issued to Amazon.com NV</w:t>
              </w:r>
            </w:hyperlink>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8060" w:type="dxa"/>
            <w:vAlign w:val="bottom"/>
            <w:tcBorders>
              <w:top w:val="single" w:sz="8" w:color="0000EE"/>
            </w:tcBorders>
            <w:gridSpan w:val="22"/>
          </w:tcPr>
          <w:p>
            <w:pPr>
              <w:spacing w:after="0" w:line="146" w:lineRule="exact"/>
              <w:rPr>
                <w:rFonts w:ascii="Arial" w:cs="Arial" w:eastAsia="Arial" w:hAnsi="Arial"/>
                <w:sz w:val="15"/>
                <w:szCs w:val="15"/>
                <w:color w:val="0000EE"/>
              </w:rPr>
            </w:pPr>
            <w:hyperlink r:id="rId181">
              <w:r>
                <w:rPr>
                  <w:rFonts w:ascii="Arial" w:cs="Arial" w:eastAsia="Arial" w:hAnsi="Arial"/>
                  <w:sz w:val="15"/>
                  <w:szCs w:val="15"/>
                  <w:color w:val="0000EE"/>
                </w:rPr>
                <w:t>Investment Holdings LLC (amended December 17, 2019) (Incorporated by reference to Exhibit 10.41 to the Registration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4.31</w:t>
            </w:r>
          </w:p>
        </w:tc>
        <w:tc>
          <w:tcPr>
            <w:tcW w:w="7940" w:type="dxa"/>
            <w:vAlign w:val="bottom"/>
            <w:tcBorders>
              <w:top w:val="single" w:sz="8" w:color="0000EE"/>
            </w:tcBorders>
            <w:gridSpan w:val="16"/>
          </w:tcPr>
          <w:p>
            <w:pPr>
              <w:spacing w:after="0" w:line="146" w:lineRule="exact"/>
              <w:rPr>
                <w:rFonts w:ascii="Arial" w:cs="Arial" w:eastAsia="Arial" w:hAnsi="Arial"/>
                <w:sz w:val="15"/>
                <w:szCs w:val="15"/>
                <w:color w:val="0000EE"/>
              </w:rPr>
            </w:pPr>
            <w:hyperlink r:id="rId181">
              <w:r>
                <w:rPr>
                  <w:rFonts w:ascii="Arial" w:cs="Arial" w:eastAsia="Arial" w:hAnsi="Arial"/>
                  <w:sz w:val="15"/>
                  <w:szCs w:val="15"/>
                  <w:color w:val="0000EE"/>
                </w:rPr>
                <w:t>Statement on Form F-1 (File No. 333-239821) as filed with the SEC on July 10, 2020</w:t>
              </w:r>
              <w:r>
                <w:rPr>
                  <w:rFonts w:ascii="Arial" w:cs="Arial" w:eastAsia="Arial" w:hAnsi="Arial"/>
                  <w:sz w:val="15"/>
                  <w:szCs w:val="15"/>
                  <w:color w:val="000000"/>
                </w:rPr>
                <w: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5520" w:type="dxa"/>
            <w:vAlign w:val="bottom"/>
            <w:tcBorders>
              <w:top w:val="single" w:sz="8" w:color="0000EE"/>
            </w:tcBorders>
            <w:gridSpan w:val="10"/>
          </w:tcPr>
          <w:p>
            <w:pPr>
              <w:spacing w:after="0" w:line="146" w:lineRule="exact"/>
              <w:rPr>
                <w:rFonts w:ascii="Arial" w:cs="Arial" w:eastAsia="Arial" w:hAnsi="Arial"/>
                <w:sz w:val="15"/>
                <w:szCs w:val="15"/>
                <w:color w:val="0000EE"/>
              </w:rPr>
            </w:pPr>
            <w:hyperlink r:id="rId180">
              <w:r>
                <w:rPr>
                  <w:rFonts w:ascii="Arial" w:cs="Arial" w:eastAsia="Arial" w:hAnsi="Arial"/>
                  <w:sz w:val="15"/>
                  <w:szCs w:val="15"/>
                  <w:color w:val="0000EE"/>
                </w:rPr>
                <w:t>Second Amendment to Second Amended and Restated Warrant, dated November</w:t>
              </w:r>
            </w:hyperlink>
          </w:p>
        </w:tc>
        <w:tc>
          <w:tcPr>
            <w:tcW w:w="2640" w:type="dxa"/>
            <w:vAlign w:val="bottom"/>
            <w:gridSpan w:val="17"/>
          </w:tcPr>
          <w:p>
            <w:pPr>
              <w:jc w:val="right"/>
              <w:ind w:right="200"/>
              <w:spacing w:after="0" w:line="146" w:lineRule="exact"/>
              <w:rPr>
                <w:rFonts w:ascii="Arial" w:cs="Arial" w:eastAsia="Arial" w:hAnsi="Arial"/>
                <w:sz w:val="15"/>
                <w:szCs w:val="15"/>
                <w:color w:val="0000EE"/>
                <w:w w:val="99"/>
              </w:rPr>
            </w:pPr>
            <w:hyperlink r:id="rId180">
              <w:r>
                <w:rPr>
                  <w:rFonts w:ascii="Arial" w:cs="Arial" w:eastAsia="Arial" w:hAnsi="Arial"/>
                  <w:sz w:val="15"/>
                  <w:szCs w:val="15"/>
                  <w:color w:val="0000EE"/>
                  <w:w w:val="99"/>
                </w:rPr>
                <w:t>13, 2017, issued to Amazon.com NV</w:t>
              </w:r>
            </w:hyperlink>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8120" w:type="dxa"/>
            <w:vAlign w:val="bottom"/>
            <w:tcBorders>
              <w:top w:val="single" w:sz="8" w:color="0000EE"/>
            </w:tcBorders>
            <w:gridSpan w:val="25"/>
          </w:tcPr>
          <w:p>
            <w:pPr>
              <w:spacing w:after="0" w:line="146" w:lineRule="exact"/>
              <w:rPr>
                <w:rFonts w:ascii="Arial" w:cs="Arial" w:eastAsia="Arial" w:hAnsi="Arial"/>
                <w:sz w:val="15"/>
                <w:szCs w:val="15"/>
                <w:color w:val="0000EE"/>
              </w:rPr>
            </w:pPr>
            <w:hyperlink r:id="rId180">
              <w:r>
                <w:rPr>
                  <w:rFonts w:ascii="Arial" w:cs="Arial" w:eastAsia="Arial" w:hAnsi="Arial"/>
                  <w:sz w:val="15"/>
                  <w:szCs w:val="15"/>
                  <w:color w:val="0000EE"/>
                </w:rPr>
                <w:t>Investment Holdings LLC (amended March 12, 2021) (Incorporated by reference to Exhibit 10.40 to the Annual Report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4.32</w:t>
            </w:r>
          </w:p>
        </w:tc>
        <w:tc>
          <w:tcPr>
            <w:tcW w:w="7980" w:type="dxa"/>
            <w:vAlign w:val="bottom"/>
            <w:tcBorders>
              <w:top w:val="single" w:sz="8" w:color="0000EE"/>
            </w:tcBorders>
            <w:gridSpan w:val="18"/>
          </w:tcPr>
          <w:p>
            <w:pPr>
              <w:spacing w:after="0" w:line="146" w:lineRule="exact"/>
              <w:rPr>
                <w:rFonts w:ascii="Arial" w:cs="Arial" w:eastAsia="Arial" w:hAnsi="Arial"/>
                <w:sz w:val="15"/>
                <w:szCs w:val="15"/>
                <w:color w:val="0000EE"/>
              </w:rPr>
            </w:pPr>
            <w:hyperlink r:id="rId180">
              <w:r>
                <w:rPr>
                  <w:rFonts w:ascii="Arial" w:cs="Arial" w:eastAsia="Arial" w:hAnsi="Arial"/>
                  <w:sz w:val="15"/>
                  <w:szCs w:val="15"/>
                  <w:color w:val="0000EE"/>
                </w:rPr>
                <w:t>Form 20-F (File No. 001-38442) as filed with the SEC on October 14, 2021).</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4960" w:type="dxa"/>
            <w:vAlign w:val="bottom"/>
            <w:tcBorders>
              <w:top w:val="single" w:sz="8" w:color="0000EE"/>
            </w:tcBorders>
            <w:gridSpan w:val="8"/>
          </w:tcPr>
          <w:p>
            <w:pPr>
              <w:spacing w:after="0" w:line="146" w:lineRule="exact"/>
              <w:rPr>
                <w:rFonts w:ascii="Arial" w:cs="Arial" w:eastAsia="Arial" w:hAnsi="Arial"/>
                <w:sz w:val="15"/>
                <w:szCs w:val="15"/>
                <w:color w:val="0000EE"/>
              </w:rPr>
            </w:pPr>
            <w:hyperlink r:id="rId182">
              <w:r>
                <w:rPr>
                  <w:rFonts w:ascii="Arial" w:cs="Arial" w:eastAsia="Arial" w:hAnsi="Arial"/>
                  <w:sz w:val="15"/>
                  <w:szCs w:val="15"/>
                  <w:color w:val="0000EE"/>
                </w:rPr>
                <w:t>Form of director agreement (Incorporated by reference to Exhibit 10.42 to</w:t>
              </w:r>
            </w:hyperlink>
          </w:p>
        </w:tc>
        <w:tc>
          <w:tcPr>
            <w:tcW w:w="3200" w:type="dxa"/>
            <w:vAlign w:val="bottom"/>
            <w:gridSpan w:val="19"/>
          </w:tcPr>
          <w:p>
            <w:pPr>
              <w:jc w:val="right"/>
              <w:ind w:right="220"/>
              <w:spacing w:after="0" w:line="146" w:lineRule="exact"/>
              <w:rPr>
                <w:rFonts w:ascii="Arial" w:cs="Arial" w:eastAsia="Arial" w:hAnsi="Arial"/>
                <w:sz w:val="15"/>
                <w:szCs w:val="15"/>
                <w:color w:val="0000EE"/>
                <w:w w:val="99"/>
              </w:rPr>
            </w:pPr>
            <w:hyperlink r:id="rId182">
              <w:r>
                <w:rPr>
                  <w:rFonts w:ascii="Arial" w:cs="Arial" w:eastAsia="Arial" w:hAnsi="Arial"/>
                  <w:sz w:val="15"/>
                  <w:szCs w:val="15"/>
                  <w:color w:val="0000EE"/>
                  <w:w w:val="99"/>
                </w:rPr>
                <w:t>the Registration Statement on Form F-1 (File</w:t>
              </w:r>
            </w:hyperlink>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4.33</w:t>
            </w:r>
          </w:p>
        </w:tc>
        <w:tc>
          <w:tcPr>
            <w:tcW w:w="8100" w:type="dxa"/>
            <w:vAlign w:val="bottom"/>
            <w:tcBorders>
              <w:top w:val="single" w:sz="8" w:color="0000EE"/>
            </w:tcBorders>
            <w:gridSpan w:val="24"/>
          </w:tcPr>
          <w:p>
            <w:pPr>
              <w:spacing w:after="0" w:line="146" w:lineRule="exact"/>
              <w:rPr>
                <w:rFonts w:ascii="Arial" w:cs="Arial" w:eastAsia="Arial" w:hAnsi="Arial"/>
                <w:sz w:val="15"/>
                <w:szCs w:val="15"/>
                <w:color w:val="0000EE"/>
              </w:rPr>
            </w:pPr>
            <w:hyperlink r:id="rId182">
              <w:r>
                <w:rPr>
                  <w:rFonts w:ascii="Arial" w:cs="Arial" w:eastAsia="Arial" w:hAnsi="Arial"/>
                  <w:sz w:val="15"/>
                  <w:szCs w:val="15"/>
                  <w:color w:val="0000EE"/>
                </w:rPr>
                <w:t>No. 333-239821) as filed with the SEC on July 10,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3720" w:type="dxa"/>
            <w:vAlign w:val="bottom"/>
            <w:tcBorders>
              <w:top w:val="single" w:sz="8" w:color="0000EE"/>
            </w:tcBorders>
            <w:gridSpan w:val="4"/>
          </w:tcPr>
          <w:p>
            <w:pPr>
              <w:spacing w:after="0" w:line="146" w:lineRule="exact"/>
              <w:rPr>
                <w:rFonts w:ascii="Arial" w:cs="Arial" w:eastAsia="Arial" w:hAnsi="Arial"/>
                <w:sz w:val="15"/>
                <w:szCs w:val="15"/>
                <w:color w:val="0000EE"/>
                <w:w w:val="98"/>
              </w:rPr>
            </w:pPr>
            <w:hyperlink r:id="rId183">
              <w:r>
                <w:rPr>
                  <w:rFonts w:ascii="Arial" w:cs="Arial" w:eastAsia="Arial" w:hAnsi="Arial"/>
                  <w:sz w:val="15"/>
                  <w:szCs w:val="15"/>
                  <w:color w:val="0000EE"/>
                  <w:w w:val="98"/>
                </w:rPr>
                <w:t>Form of executive employment agreement (Incorporated</w:t>
              </w:r>
            </w:hyperlink>
          </w:p>
        </w:tc>
        <w:tc>
          <w:tcPr>
            <w:tcW w:w="4440" w:type="dxa"/>
            <w:vAlign w:val="bottom"/>
            <w:gridSpan w:val="23"/>
          </w:tcPr>
          <w:p>
            <w:pPr>
              <w:jc w:val="right"/>
              <w:ind w:right="200"/>
              <w:spacing w:after="0" w:line="146" w:lineRule="exact"/>
              <w:rPr>
                <w:rFonts w:ascii="Arial" w:cs="Arial" w:eastAsia="Arial" w:hAnsi="Arial"/>
                <w:sz w:val="15"/>
                <w:szCs w:val="15"/>
                <w:color w:val="0000EE"/>
              </w:rPr>
            </w:pPr>
            <w:hyperlink r:id="rId183">
              <w:r>
                <w:rPr>
                  <w:rFonts w:ascii="Arial" w:cs="Arial" w:eastAsia="Arial" w:hAnsi="Arial"/>
                  <w:sz w:val="15"/>
                  <w:szCs w:val="15"/>
                  <w:color w:val="0000EE"/>
                </w:rPr>
                <w:t>by reference to Exhibit 10.43 to the Registration Statement on</w:t>
              </w:r>
            </w:hyperlink>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4.34</w:t>
            </w:r>
          </w:p>
        </w:tc>
        <w:tc>
          <w:tcPr>
            <w:tcW w:w="8140" w:type="dxa"/>
            <w:vAlign w:val="bottom"/>
            <w:tcBorders>
              <w:top w:val="single" w:sz="8" w:color="0000EE"/>
            </w:tcBorders>
            <w:gridSpan w:val="26"/>
          </w:tcPr>
          <w:p>
            <w:pPr>
              <w:spacing w:after="0" w:line="146" w:lineRule="exact"/>
              <w:rPr>
                <w:rFonts w:ascii="Arial" w:cs="Arial" w:eastAsia="Arial" w:hAnsi="Arial"/>
                <w:sz w:val="15"/>
                <w:szCs w:val="15"/>
                <w:color w:val="0000EE"/>
              </w:rPr>
            </w:pPr>
            <w:hyperlink r:id="rId183">
              <w:r>
                <w:rPr>
                  <w:rFonts w:ascii="Arial" w:cs="Arial" w:eastAsia="Arial" w:hAnsi="Arial"/>
                  <w:sz w:val="15"/>
                  <w:szCs w:val="15"/>
                  <w:color w:val="0000EE"/>
                </w:rPr>
                <w:t>Form F-1 (File No. 333-239821) as filed with the SEC on July 10,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4700" w:type="dxa"/>
            <w:vAlign w:val="bottom"/>
            <w:tcBorders>
              <w:top w:val="single" w:sz="8" w:color="0000EE"/>
            </w:tcBorders>
            <w:gridSpan w:val="7"/>
          </w:tcPr>
          <w:p>
            <w:pPr>
              <w:spacing w:after="0" w:line="146" w:lineRule="exact"/>
              <w:rPr>
                <w:rFonts w:ascii="Arial" w:cs="Arial" w:eastAsia="Arial" w:hAnsi="Arial"/>
                <w:sz w:val="15"/>
                <w:szCs w:val="15"/>
                <w:color w:val="0000EE"/>
              </w:rPr>
            </w:pPr>
            <w:hyperlink r:id="rId184">
              <w:r>
                <w:rPr>
                  <w:rFonts w:ascii="Arial" w:cs="Arial" w:eastAsia="Arial" w:hAnsi="Arial"/>
                  <w:sz w:val="15"/>
                  <w:szCs w:val="15"/>
                  <w:color w:val="0000EE"/>
                </w:rPr>
                <w:t>Form of director indemnification agreement (Incorporated by reference</w:t>
              </w:r>
            </w:hyperlink>
          </w:p>
        </w:tc>
        <w:tc>
          <w:tcPr>
            <w:tcW w:w="3460" w:type="dxa"/>
            <w:vAlign w:val="bottom"/>
            <w:gridSpan w:val="20"/>
          </w:tcPr>
          <w:p>
            <w:pPr>
              <w:jc w:val="right"/>
              <w:ind w:right="220"/>
              <w:spacing w:after="0" w:line="146" w:lineRule="exact"/>
              <w:rPr>
                <w:rFonts w:ascii="Arial" w:cs="Arial" w:eastAsia="Arial" w:hAnsi="Arial"/>
                <w:sz w:val="15"/>
                <w:szCs w:val="15"/>
                <w:color w:val="0000EE"/>
                <w:w w:val="99"/>
              </w:rPr>
            </w:pPr>
            <w:hyperlink r:id="rId184">
              <w:r>
                <w:rPr>
                  <w:rFonts w:ascii="Arial" w:cs="Arial" w:eastAsia="Arial" w:hAnsi="Arial"/>
                  <w:sz w:val="15"/>
                  <w:szCs w:val="15"/>
                  <w:color w:val="0000EE"/>
                  <w:w w:val="99"/>
                </w:rPr>
                <w:t>to Exhibit 10.44 to the Registration Statement on</w:t>
              </w:r>
            </w:hyperlink>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8.1*</w:t>
            </w:r>
          </w:p>
        </w:tc>
        <w:tc>
          <w:tcPr>
            <w:tcW w:w="8000" w:type="dxa"/>
            <w:vAlign w:val="bottom"/>
            <w:tcBorders>
              <w:top w:val="single" w:sz="8" w:color="0000EE"/>
            </w:tcBorders>
            <w:gridSpan w:val="19"/>
          </w:tcPr>
          <w:p>
            <w:pPr>
              <w:spacing w:after="0" w:line="146" w:lineRule="exact"/>
              <w:rPr>
                <w:rFonts w:ascii="Arial" w:cs="Arial" w:eastAsia="Arial" w:hAnsi="Arial"/>
                <w:sz w:val="15"/>
                <w:szCs w:val="15"/>
                <w:color w:val="0000EE"/>
              </w:rPr>
            </w:pPr>
            <w:hyperlink r:id="rId184">
              <w:r>
                <w:rPr>
                  <w:rFonts w:ascii="Arial" w:cs="Arial" w:eastAsia="Arial" w:hAnsi="Arial"/>
                  <w:sz w:val="15"/>
                  <w:szCs w:val="15"/>
                  <w:color w:val="0000EE"/>
                </w:rPr>
                <w:t>Form F-1 (File No. 333-239821) as filed with the SEC on July 10, 2020).</w:t>
              </w:r>
            </w:hyperlink>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4700" w:type="dxa"/>
            <w:vAlign w:val="bottom"/>
            <w:tcBorders>
              <w:top w:val="single" w:sz="8" w:color="0000EE"/>
            </w:tcBorders>
            <w:gridSpan w:val="7"/>
          </w:tcPr>
          <w:p>
            <w:pPr>
              <w:spacing w:after="0" w:line="146" w:lineRule="exact"/>
              <w:rPr>
                <w:sz w:val="20"/>
                <w:szCs w:val="20"/>
                <w:color w:val="auto"/>
              </w:rPr>
            </w:pPr>
            <w:r>
              <w:rPr>
                <w:rFonts w:ascii="Arial" w:cs="Arial" w:eastAsia="Arial" w:hAnsi="Arial"/>
                <w:sz w:val="15"/>
                <w:szCs w:val="15"/>
                <w:color w:val="0000EE"/>
              </w:rPr>
              <w:t>Subsidiaries of the Registrant.</w:t>
            </w:r>
          </w:p>
        </w:tc>
        <w:tc>
          <w:tcPr>
            <w:tcW w:w="600" w:type="dxa"/>
            <w:vAlign w:val="bottom"/>
            <w:gridSpan w:val="2"/>
          </w:tcPr>
          <w:p>
            <w:pPr>
              <w:spacing w:after="0"/>
              <w:rPr>
                <w:sz w:val="12"/>
                <w:szCs w:val="12"/>
                <w:color w:val="auto"/>
              </w:rPr>
            </w:pPr>
          </w:p>
        </w:tc>
        <w:tc>
          <w:tcPr>
            <w:tcW w:w="134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9"/>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66" w:lineRule="exact"/>
              <w:rPr>
                <w:sz w:val="20"/>
                <w:szCs w:val="20"/>
                <w:color w:val="auto"/>
              </w:rPr>
            </w:pPr>
            <w:r>
              <w:rPr>
                <w:rFonts w:ascii="Arial" w:cs="Arial" w:eastAsia="Arial" w:hAnsi="Arial"/>
                <w:sz w:val="15"/>
                <w:szCs w:val="15"/>
                <w:color w:val="auto"/>
              </w:rPr>
              <w:t>12.1*</w:t>
            </w:r>
          </w:p>
        </w:tc>
        <w:tc>
          <w:tcPr>
            <w:tcW w:w="5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980" w:type="dxa"/>
            <w:vAlign w:val="bottom"/>
            <w:vMerge w:val="continue"/>
          </w:tcPr>
          <w:p>
            <w:pPr>
              <w:spacing w:after="0"/>
              <w:rPr>
                <w:sz w:val="12"/>
                <w:szCs w:val="12"/>
                <w:color w:val="auto"/>
              </w:rPr>
            </w:pPr>
          </w:p>
        </w:tc>
        <w:tc>
          <w:tcPr>
            <w:tcW w:w="8160" w:type="dxa"/>
            <w:vAlign w:val="bottom"/>
            <w:gridSpan w:val="27"/>
          </w:tcPr>
          <w:p>
            <w:pPr>
              <w:spacing w:after="0" w:line="146" w:lineRule="exact"/>
              <w:rPr>
                <w:sz w:val="20"/>
                <w:szCs w:val="20"/>
                <w:color w:val="auto"/>
              </w:rPr>
            </w:pPr>
            <w:r>
              <w:rPr>
                <w:rFonts w:ascii="Arial" w:cs="Arial" w:eastAsia="Arial" w:hAnsi="Arial"/>
                <w:sz w:val="15"/>
                <w:szCs w:val="15"/>
                <w:color w:val="0000EE"/>
              </w:rPr>
              <w:t>Certification by the Chief Executive Officer pursuant to Section 302 of the Sarbanes-Oxley Act of 2002.</w:t>
            </w:r>
          </w:p>
        </w:tc>
        <w:tc>
          <w:tcPr>
            <w:tcW w:w="0" w:type="dxa"/>
            <w:vAlign w:val="bottom"/>
          </w:tcPr>
          <w:p>
            <w:pPr>
              <w:spacing w:after="0"/>
              <w:rPr>
                <w:sz w:val="1"/>
                <w:szCs w:val="1"/>
                <w:color w:val="auto"/>
              </w:rPr>
            </w:pPr>
          </w:p>
        </w:tc>
      </w:tr>
      <w:tr>
        <w:trPr>
          <w:trHeight w:val="146"/>
        </w:trPr>
        <w:tc>
          <w:tcPr>
            <w:tcW w:w="980" w:type="dxa"/>
            <w:vAlign w:val="bottom"/>
          </w:tcPr>
          <w:p>
            <w:pPr>
              <w:spacing w:after="0" w:line="146" w:lineRule="exact"/>
              <w:rPr>
                <w:sz w:val="20"/>
                <w:szCs w:val="20"/>
                <w:color w:val="auto"/>
              </w:rPr>
            </w:pPr>
            <w:r>
              <w:rPr>
                <w:rFonts w:ascii="Arial" w:cs="Arial" w:eastAsia="Arial" w:hAnsi="Arial"/>
                <w:sz w:val="15"/>
                <w:szCs w:val="15"/>
                <w:color w:val="auto"/>
              </w:rPr>
              <w:t>12.2*</w:t>
            </w:r>
          </w:p>
        </w:tc>
        <w:tc>
          <w:tcPr>
            <w:tcW w:w="6700" w:type="dxa"/>
            <w:vAlign w:val="bottom"/>
            <w:tcBorders>
              <w:top w:val="single" w:sz="8" w:color="0000EE"/>
            </w:tcBorders>
            <w:gridSpan w:val="14"/>
          </w:tcPr>
          <w:p>
            <w:pPr>
              <w:spacing w:after="0" w:line="146" w:lineRule="exact"/>
              <w:rPr>
                <w:sz w:val="20"/>
                <w:szCs w:val="20"/>
                <w:color w:val="auto"/>
              </w:rPr>
            </w:pPr>
            <w:r>
              <w:rPr>
                <w:rFonts w:ascii="Arial" w:cs="Arial" w:eastAsia="Arial" w:hAnsi="Arial"/>
                <w:sz w:val="15"/>
                <w:szCs w:val="15"/>
                <w:color w:val="0000EE"/>
                <w:w w:val="98"/>
              </w:rPr>
              <w:t>Certification by the Chief Financial Officer pursuant to Section 302 of the Sarbanes-Oxley Act of 2002.</w:t>
            </w:r>
          </w:p>
        </w:tc>
        <w:tc>
          <w:tcPr>
            <w:tcW w:w="1380" w:type="dxa"/>
            <w:vAlign w:val="bottom"/>
            <w:gridSpan w:val="9"/>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tcPr>
          <w:p>
            <w:pPr>
              <w:spacing w:after="0" w:line="146" w:lineRule="exact"/>
              <w:rPr>
                <w:sz w:val="20"/>
                <w:szCs w:val="20"/>
                <w:color w:val="auto"/>
              </w:rPr>
            </w:pPr>
            <w:r>
              <w:rPr>
                <w:rFonts w:ascii="Arial" w:cs="Arial" w:eastAsia="Arial" w:hAnsi="Arial"/>
                <w:sz w:val="15"/>
                <w:szCs w:val="15"/>
                <w:color w:val="auto"/>
              </w:rPr>
              <w:t>13.1**</w:t>
            </w:r>
          </w:p>
        </w:tc>
        <w:tc>
          <w:tcPr>
            <w:tcW w:w="6640" w:type="dxa"/>
            <w:vAlign w:val="bottom"/>
            <w:tcBorders>
              <w:top w:val="single" w:sz="8" w:color="0000EE"/>
            </w:tcBorders>
            <w:gridSpan w:val="13"/>
          </w:tcPr>
          <w:p>
            <w:pPr>
              <w:spacing w:after="0" w:line="146" w:lineRule="exact"/>
              <w:rPr>
                <w:sz w:val="20"/>
                <w:szCs w:val="20"/>
                <w:color w:val="auto"/>
              </w:rPr>
            </w:pPr>
            <w:r>
              <w:rPr>
                <w:rFonts w:ascii="Arial" w:cs="Arial" w:eastAsia="Arial" w:hAnsi="Arial"/>
                <w:sz w:val="15"/>
                <w:szCs w:val="15"/>
                <w:color w:val="0000EE"/>
                <w:w w:val="99"/>
              </w:rPr>
              <w:t>Certification by the Chief Executive Officer and Chief Financial Officer pursuant to Section 906 of the</w:t>
            </w:r>
          </w:p>
        </w:tc>
        <w:tc>
          <w:tcPr>
            <w:tcW w:w="1520" w:type="dxa"/>
            <w:vAlign w:val="bottom"/>
            <w:gridSpan w:val="14"/>
          </w:tcPr>
          <w:p>
            <w:pPr>
              <w:jc w:val="right"/>
              <w:ind w:right="220"/>
              <w:spacing w:after="0" w:line="146" w:lineRule="exact"/>
              <w:rPr>
                <w:sz w:val="20"/>
                <w:szCs w:val="20"/>
                <w:color w:val="auto"/>
              </w:rPr>
            </w:pPr>
            <w:r>
              <w:rPr>
                <w:rFonts w:ascii="Arial" w:cs="Arial" w:eastAsia="Arial" w:hAnsi="Arial"/>
                <w:sz w:val="15"/>
                <w:szCs w:val="15"/>
                <w:color w:val="0000EE"/>
                <w:w w:val="95"/>
              </w:rPr>
              <w:t>Sarbanes-Oxley Act</w:t>
            </w:r>
          </w:p>
        </w:tc>
        <w:tc>
          <w:tcPr>
            <w:tcW w:w="0" w:type="dxa"/>
            <w:vAlign w:val="bottom"/>
          </w:tcPr>
          <w:p>
            <w:pPr>
              <w:spacing w:after="0"/>
              <w:rPr>
                <w:sz w:val="1"/>
                <w:szCs w:val="1"/>
                <w:color w:val="auto"/>
              </w:rPr>
            </w:pPr>
          </w:p>
        </w:tc>
      </w:tr>
      <w:tr>
        <w:trPr>
          <w:trHeight w:val="146"/>
        </w:trPr>
        <w:tc>
          <w:tcPr>
            <w:tcW w:w="980" w:type="dxa"/>
            <w:vAlign w:val="bottom"/>
            <w:vMerge w:val="restart"/>
          </w:tcPr>
          <w:p>
            <w:pPr>
              <w:spacing w:after="0"/>
              <w:rPr>
                <w:sz w:val="20"/>
                <w:szCs w:val="20"/>
                <w:color w:val="auto"/>
              </w:rPr>
            </w:pPr>
            <w:r>
              <w:rPr>
                <w:rFonts w:ascii="Arial" w:cs="Arial" w:eastAsia="Arial" w:hAnsi="Arial"/>
                <w:sz w:val="15"/>
                <w:szCs w:val="15"/>
                <w:color w:val="auto"/>
              </w:rPr>
              <w:t>15.1*</w:t>
            </w:r>
          </w:p>
        </w:tc>
        <w:tc>
          <w:tcPr>
            <w:tcW w:w="8080" w:type="dxa"/>
            <w:vAlign w:val="bottom"/>
            <w:tcBorders>
              <w:top w:val="single" w:sz="8" w:color="0000EE"/>
            </w:tcBorders>
            <w:gridSpan w:val="23"/>
          </w:tcPr>
          <w:p>
            <w:pPr>
              <w:spacing w:after="0" w:line="146" w:lineRule="exact"/>
              <w:rPr>
                <w:sz w:val="20"/>
                <w:szCs w:val="20"/>
                <w:color w:val="auto"/>
              </w:rPr>
            </w:pPr>
            <w:r>
              <w:rPr>
                <w:rFonts w:ascii="Arial" w:cs="Arial" w:eastAsia="Arial" w:hAnsi="Arial"/>
                <w:sz w:val="15"/>
                <w:szCs w:val="15"/>
                <w:color w:val="0000EE"/>
              </w:rPr>
              <w:t>of 2002.</w:t>
            </w: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540" w:type="dxa"/>
            <w:vAlign w:val="bottom"/>
            <w:tcBorders>
              <w:top w:val="single" w:sz="8" w:color="0000EE"/>
            </w:tcBorders>
            <w:gridSpan w:val="2"/>
          </w:tcPr>
          <w:p>
            <w:pPr>
              <w:spacing w:after="0" w:line="146" w:lineRule="exact"/>
              <w:rPr>
                <w:sz w:val="20"/>
                <w:szCs w:val="20"/>
                <w:color w:val="auto"/>
              </w:rPr>
            </w:pPr>
            <w:r>
              <w:rPr>
                <w:rFonts w:ascii="Arial" w:cs="Arial" w:eastAsia="Arial" w:hAnsi="Arial"/>
                <w:sz w:val="15"/>
                <w:szCs w:val="15"/>
                <w:color w:val="0000EE"/>
                <w:w w:val="93"/>
              </w:rPr>
              <w:t>Consent</w:t>
            </w:r>
          </w:p>
        </w:tc>
        <w:tc>
          <w:tcPr>
            <w:tcW w:w="7620" w:type="dxa"/>
            <w:vAlign w:val="bottom"/>
            <w:gridSpan w:val="25"/>
          </w:tcPr>
          <w:p>
            <w:pPr>
              <w:ind w:left="40"/>
              <w:spacing w:after="0" w:line="146" w:lineRule="exact"/>
              <w:rPr>
                <w:sz w:val="20"/>
                <w:szCs w:val="20"/>
                <w:color w:val="auto"/>
              </w:rPr>
            </w:pPr>
            <w:r>
              <w:rPr>
                <w:rFonts w:ascii="Arial" w:cs="Arial" w:eastAsia="Arial" w:hAnsi="Arial"/>
                <w:sz w:val="15"/>
                <w:szCs w:val="15"/>
                <w:color w:val="0000EE"/>
              </w:rPr>
              <w:t>of Deloitte &amp; Touche LLP, independent registered public accounting firm.</w:t>
            </w:r>
          </w:p>
        </w:tc>
        <w:tc>
          <w:tcPr>
            <w:tcW w:w="0" w:type="dxa"/>
            <w:vAlign w:val="bottom"/>
          </w:tcPr>
          <w:p>
            <w:pPr>
              <w:spacing w:after="0"/>
              <w:rPr>
                <w:sz w:val="1"/>
                <w:szCs w:val="1"/>
                <w:color w:val="auto"/>
              </w:rPr>
            </w:pPr>
          </w:p>
        </w:tc>
      </w:tr>
      <w:tr>
        <w:trPr>
          <w:trHeight w:val="146"/>
        </w:trPr>
        <w:tc>
          <w:tcPr>
            <w:tcW w:w="980" w:type="dxa"/>
            <w:vAlign w:val="bottom"/>
          </w:tcPr>
          <w:p>
            <w:pPr>
              <w:spacing w:after="0" w:line="146" w:lineRule="exact"/>
              <w:rPr>
                <w:sz w:val="20"/>
                <w:szCs w:val="20"/>
                <w:color w:val="auto"/>
              </w:rPr>
            </w:pPr>
            <w:r>
              <w:rPr>
                <w:rFonts w:ascii="Arial" w:cs="Arial" w:eastAsia="Arial" w:hAnsi="Arial"/>
                <w:sz w:val="15"/>
                <w:szCs w:val="15"/>
                <w:color w:val="auto"/>
              </w:rPr>
              <w:t>15.2*</w:t>
            </w:r>
          </w:p>
        </w:tc>
        <w:tc>
          <w:tcPr>
            <w:tcW w:w="5300" w:type="dxa"/>
            <w:vAlign w:val="bottom"/>
            <w:tcBorders>
              <w:top w:val="single" w:sz="8" w:color="0000EE"/>
            </w:tcBorders>
            <w:gridSpan w:val="9"/>
          </w:tcPr>
          <w:p>
            <w:pPr>
              <w:spacing w:after="0" w:line="146" w:lineRule="exact"/>
              <w:rPr>
                <w:sz w:val="20"/>
                <w:szCs w:val="20"/>
                <w:color w:val="auto"/>
              </w:rPr>
            </w:pPr>
            <w:r>
              <w:rPr>
                <w:rFonts w:ascii="Arial" w:cs="Arial" w:eastAsia="Arial" w:hAnsi="Arial"/>
                <w:sz w:val="15"/>
                <w:szCs w:val="15"/>
                <w:color w:val="0000EE"/>
              </w:rPr>
              <w:t>Consent of BDO LLP, independent registered public accounting firm.</w:t>
            </w:r>
          </w:p>
        </w:tc>
        <w:tc>
          <w:tcPr>
            <w:tcW w:w="28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80" w:type="dxa"/>
            <w:vAlign w:val="bottom"/>
          </w:tcPr>
          <w:p>
            <w:pPr>
              <w:spacing w:after="0" w:line="154" w:lineRule="exact"/>
              <w:rPr>
                <w:sz w:val="20"/>
                <w:szCs w:val="20"/>
                <w:color w:val="auto"/>
              </w:rPr>
            </w:pPr>
            <w:r>
              <w:rPr>
                <w:rFonts w:ascii="Arial" w:cs="Arial" w:eastAsia="Arial" w:hAnsi="Arial"/>
                <w:sz w:val="15"/>
                <w:szCs w:val="15"/>
                <w:color w:val="auto"/>
              </w:rPr>
              <w:t>101.INS*</w:t>
            </w:r>
          </w:p>
        </w:tc>
        <w:tc>
          <w:tcPr>
            <w:tcW w:w="4460" w:type="dxa"/>
            <w:vAlign w:val="bottom"/>
            <w:tcBorders>
              <w:top w:val="single" w:sz="8" w:color="0000EE"/>
            </w:tcBorders>
            <w:gridSpan w:val="6"/>
          </w:tcPr>
          <w:p>
            <w:pPr>
              <w:spacing w:after="0" w:line="154" w:lineRule="exact"/>
              <w:rPr>
                <w:sz w:val="20"/>
                <w:szCs w:val="20"/>
                <w:color w:val="auto"/>
              </w:rPr>
            </w:pPr>
            <w:r>
              <w:rPr>
                <w:rFonts w:ascii="Arial" w:cs="Arial" w:eastAsia="Arial" w:hAnsi="Arial"/>
                <w:sz w:val="15"/>
                <w:szCs w:val="15"/>
                <w:color w:val="auto"/>
              </w:rPr>
              <w:t>Inline XBRL Instance Document</w:t>
            </w:r>
          </w:p>
        </w:tc>
        <w:tc>
          <w:tcPr>
            <w:tcW w:w="370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5"/>
                <w:szCs w:val="15"/>
                <w:color w:val="auto"/>
              </w:rPr>
              <w:t>101.SCH*</w:t>
            </w:r>
          </w:p>
        </w:tc>
        <w:tc>
          <w:tcPr>
            <w:tcW w:w="8160" w:type="dxa"/>
            <w:vAlign w:val="bottom"/>
            <w:gridSpan w:val="27"/>
          </w:tcPr>
          <w:p>
            <w:pPr>
              <w:spacing w:after="0" w:line="166" w:lineRule="exact"/>
              <w:rPr>
                <w:sz w:val="20"/>
                <w:szCs w:val="20"/>
                <w:color w:val="auto"/>
              </w:rPr>
            </w:pPr>
            <w:r>
              <w:rPr>
                <w:rFonts w:ascii="Arial" w:cs="Arial" w:eastAsia="Arial" w:hAnsi="Arial"/>
                <w:sz w:val="15"/>
                <w:szCs w:val="15"/>
                <w:color w:val="auto"/>
              </w:rPr>
              <w:t>Inline XBRL Taxonomy Extension Schema Document</w:t>
            </w: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5"/>
                <w:szCs w:val="15"/>
                <w:color w:val="auto"/>
              </w:rPr>
              <w:t>101.CAL*</w:t>
            </w:r>
          </w:p>
        </w:tc>
        <w:tc>
          <w:tcPr>
            <w:tcW w:w="8160" w:type="dxa"/>
            <w:vAlign w:val="bottom"/>
            <w:gridSpan w:val="27"/>
          </w:tcPr>
          <w:p>
            <w:pPr>
              <w:spacing w:after="0" w:line="166" w:lineRule="exact"/>
              <w:rPr>
                <w:sz w:val="20"/>
                <w:szCs w:val="20"/>
                <w:color w:val="auto"/>
              </w:rPr>
            </w:pPr>
            <w:r>
              <w:rPr>
                <w:rFonts w:ascii="Arial" w:cs="Arial" w:eastAsia="Arial" w:hAnsi="Arial"/>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5"/>
                <w:szCs w:val="15"/>
                <w:color w:val="auto"/>
              </w:rPr>
              <w:t>101.DEF*</w:t>
            </w:r>
          </w:p>
        </w:tc>
        <w:tc>
          <w:tcPr>
            <w:tcW w:w="8160" w:type="dxa"/>
            <w:vAlign w:val="bottom"/>
            <w:gridSpan w:val="27"/>
          </w:tcPr>
          <w:p>
            <w:pPr>
              <w:spacing w:after="0" w:line="166" w:lineRule="exact"/>
              <w:rPr>
                <w:sz w:val="20"/>
                <w:szCs w:val="20"/>
                <w:color w:val="auto"/>
              </w:rPr>
            </w:pPr>
            <w:r>
              <w:rPr>
                <w:rFonts w:ascii="Arial" w:cs="Arial" w:eastAsia="Arial" w:hAnsi="Arial"/>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5"/>
                <w:szCs w:val="15"/>
                <w:color w:val="auto"/>
              </w:rPr>
              <w:t>101.LAB*</w:t>
            </w:r>
          </w:p>
        </w:tc>
        <w:tc>
          <w:tcPr>
            <w:tcW w:w="8160" w:type="dxa"/>
            <w:vAlign w:val="bottom"/>
            <w:gridSpan w:val="27"/>
          </w:tcPr>
          <w:p>
            <w:pPr>
              <w:spacing w:after="0" w:line="166" w:lineRule="exact"/>
              <w:rPr>
                <w:sz w:val="20"/>
                <w:szCs w:val="20"/>
                <w:color w:val="auto"/>
              </w:rPr>
            </w:pPr>
            <w:r>
              <w:rPr>
                <w:rFonts w:ascii="Arial" w:cs="Arial" w:eastAsia="Arial" w:hAnsi="Arial"/>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5"/>
                <w:szCs w:val="15"/>
                <w:color w:val="auto"/>
              </w:rPr>
              <w:t>101.PRE*</w:t>
            </w:r>
          </w:p>
        </w:tc>
        <w:tc>
          <w:tcPr>
            <w:tcW w:w="8160" w:type="dxa"/>
            <w:vAlign w:val="bottom"/>
            <w:gridSpan w:val="27"/>
          </w:tcPr>
          <w:p>
            <w:pPr>
              <w:spacing w:after="0" w:line="166" w:lineRule="exact"/>
              <w:rPr>
                <w:sz w:val="20"/>
                <w:szCs w:val="20"/>
                <w:color w:val="auto"/>
              </w:rPr>
            </w:pPr>
            <w:r>
              <w:rPr>
                <w:rFonts w:ascii="Arial" w:cs="Arial" w:eastAsia="Arial" w:hAnsi="Arial"/>
                <w:sz w:val="15"/>
                <w:szCs w:val="15"/>
                <w:color w:val="auto"/>
              </w:rPr>
              <w:t>Inline XBRL Taxonomy Extension Presentation Linkbase Document</w:t>
            </w:r>
          </w:p>
        </w:tc>
        <w:tc>
          <w:tcPr>
            <w:tcW w:w="0" w:type="dxa"/>
            <w:vAlign w:val="bottom"/>
          </w:tcPr>
          <w:p>
            <w:pPr>
              <w:spacing w:after="0"/>
              <w:rPr>
                <w:sz w:val="1"/>
                <w:szCs w:val="1"/>
                <w:color w:val="auto"/>
              </w:rPr>
            </w:pPr>
          </w:p>
        </w:tc>
      </w:tr>
      <w:tr>
        <w:trPr>
          <w:trHeight w:val="193"/>
        </w:trPr>
        <w:tc>
          <w:tcPr>
            <w:tcW w:w="980" w:type="dxa"/>
            <w:vAlign w:val="bottom"/>
          </w:tcPr>
          <w:p>
            <w:pPr>
              <w:spacing w:after="0"/>
              <w:rPr>
                <w:sz w:val="20"/>
                <w:szCs w:val="20"/>
                <w:color w:val="auto"/>
              </w:rPr>
            </w:pPr>
            <w:r>
              <w:rPr>
                <w:rFonts w:ascii="Arial" w:cs="Arial" w:eastAsia="Arial" w:hAnsi="Arial"/>
                <w:sz w:val="15"/>
                <w:szCs w:val="15"/>
                <w:color w:val="auto"/>
              </w:rPr>
              <w:t>104</w:t>
            </w:r>
          </w:p>
        </w:tc>
        <w:tc>
          <w:tcPr>
            <w:tcW w:w="8160" w:type="dxa"/>
            <w:vAlign w:val="bottom"/>
            <w:gridSpan w:val="27"/>
          </w:tcPr>
          <w:p>
            <w:pPr>
              <w:spacing w:after="0"/>
              <w:rPr>
                <w:sz w:val="20"/>
                <w:szCs w:val="20"/>
                <w:color w:val="auto"/>
              </w:rPr>
            </w:pPr>
            <w:r>
              <w:rPr>
                <w:rFonts w:ascii="Arial" w:cs="Arial" w:eastAsia="Arial" w:hAnsi="Arial"/>
                <w:sz w:val="15"/>
                <w:szCs w:val="15"/>
                <w:color w:val="auto"/>
              </w:rPr>
              <w:t>Cover Page Interactive Data File (formatted in Inline XBRL and included as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48260</wp:posOffset>
            </wp:positionV>
            <wp:extent cx="1418590"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1418590" cy="13970"/>
                    </a:xfrm>
                    <a:prstGeom prst="rect">
                      <a:avLst/>
                    </a:prstGeom>
                    <a:noFill/>
                  </pic:spPr>
                </pic:pic>
              </a:graphicData>
            </a:graphic>
          </wp:anchor>
        </w:drawing>
      </w:r>
    </w:p>
    <w:p>
      <w:pPr>
        <w:spacing w:after="0" w:line="129" w:lineRule="exact"/>
        <w:rPr>
          <w:sz w:val="20"/>
          <w:szCs w:val="20"/>
          <w:color w:val="auto"/>
        </w:rPr>
      </w:pPr>
    </w:p>
    <w:p>
      <w:pPr>
        <w:ind w:left="240" w:hanging="205"/>
        <w:spacing w:after="0"/>
        <w:tabs>
          <w:tab w:leader="none" w:pos="2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5"/>
          <w:szCs w:val="15"/>
          <w:color w:val="auto"/>
        </w:rPr>
        <w:t>** Furnished herewith.</w:t>
      </w:r>
    </w:p>
    <w:p>
      <w:pPr>
        <w:ind w:left="240" w:hanging="205"/>
        <w:spacing w:after="0" w:line="224" w:lineRule="auto"/>
        <w:tabs>
          <w:tab w:leader="none" w:pos="240" w:val="left"/>
        </w:tabs>
        <w:numPr>
          <w:ilvl w:val="0"/>
          <w:numId w:val="61"/>
        </w:numPr>
        <w:rPr>
          <w:rFonts w:ascii="Arial" w:cs="Arial" w:eastAsia="Arial" w:hAnsi="Arial"/>
          <w:sz w:val="17"/>
          <w:szCs w:val="17"/>
          <w:color w:val="auto"/>
        </w:rPr>
      </w:pPr>
      <w:r>
        <w:rPr>
          <w:rFonts w:ascii="Arial" w:cs="Arial" w:eastAsia="Arial" w:hAnsi="Arial"/>
          <w:sz w:val="15"/>
          <w:szCs w:val="15"/>
          <w:color w:val="auto"/>
        </w:rPr>
        <w:t>Certain schedules and exhibits to this agreement have been omitted in accordance with the instructions to Item 19 of Form 20-F.</w:t>
      </w:r>
    </w:p>
    <w:p>
      <w:pPr>
        <w:ind w:left="240" w:right="59" w:hanging="205"/>
        <w:spacing w:after="0"/>
        <w:tabs>
          <w:tab w:leader="none" w:pos="2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Certain identified confidential information in this exhibit has been omitted because such identified confidential information (i) is not material and (ii) is the type that the Registrant treats as private or confidential.</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SIGNATURES</w:t>
      </w:r>
    </w:p>
    <w:p>
      <w:pPr>
        <w:spacing w:after="0" w:line="170"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registrant hereby certifies that it meets all of the requirements for filing on Form 20-F and that it has duly caused and authorized the undersigned to sign this annual report on its behalf.</w:t>
      </w:r>
    </w:p>
    <w:p>
      <w:pPr>
        <w:spacing w:after="0" w:line="146"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IBEX LIMITED</w:t>
      </w:r>
    </w:p>
    <w:p>
      <w:pPr>
        <w:spacing w:after="0" w:line="159" w:lineRule="exact"/>
        <w:rPr>
          <w:sz w:val="20"/>
          <w:szCs w:val="20"/>
          <w:color w:val="auto"/>
        </w:rPr>
      </w:pPr>
    </w:p>
    <w:tbl>
      <w:tblPr>
        <w:tblLayout w:type="fixed"/>
        <w:tblInd w:w="450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Arial" w:cs="Arial" w:eastAsia="Arial" w:hAnsi="Arial"/>
                <w:sz w:val="15"/>
                <w:szCs w:val="15"/>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Robert Dechant</w:t>
            </w:r>
          </w:p>
        </w:tc>
      </w:tr>
      <w:tr>
        <w:trPr>
          <w:trHeight w:val="142"/>
        </w:trPr>
        <w:tc>
          <w:tcPr>
            <w:tcW w:w="520" w:type="dxa"/>
            <w:vAlign w:val="bottom"/>
          </w:tcPr>
          <w:p>
            <w:pPr>
              <w:spacing w:after="0" w:line="142" w:lineRule="exact"/>
              <w:rPr>
                <w:sz w:val="20"/>
                <w:szCs w:val="20"/>
                <w:color w:val="auto"/>
              </w:rPr>
            </w:pPr>
            <w:r>
              <w:rPr>
                <w:rFonts w:ascii="Arial" w:cs="Arial" w:eastAsia="Arial" w:hAnsi="Arial"/>
                <w:sz w:val="15"/>
                <w:szCs w:val="15"/>
                <w:color w:val="auto"/>
              </w:rPr>
              <w:t>Name:</w:t>
            </w:r>
          </w:p>
        </w:tc>
        <w:tc>
          <w:tcPr>
            <w:tcW w:w="3940" w:type="dxa"/>
            <w:vAlign w:val="bottom"/>
          </w:tcPr>
          <w:p>
            <w:pPr>
              <w:ind w:left="100"/>
              <w:spacing w:after="0" w:line="142" w:lineRule="exact"/>
              <w:rPr>
                <w:sz w:val="20"/>
                <w:szCs w:val="20"/>
                <w:color w:val="auto"/>
              </w:rPr>
            </w:pPr>
            <w:r>
              <w:rPr>
                <w:rFonts w:ascii="Arial" w:cs="Arial" w:eastAsia="Arial" w:hAnsi="Arial"/>
                <w:sz w:val="15"/>
                <w:szCs w:val="15"/>
                <w:color w:val="auto"/>
              </w:rPr>
              <w:t>Robert Dechant</w:t>
            </w:r>
          </w:p>
        </w:tc>
      </w:tr>
      <w:tr>
        <w:trPr>
          <w:trHeight w:val="168"/>
        </w:trPr>
        <w:tc>
          <w:tcPr>
            <w:tcW w:w="520" w:type="dxa"/>
            <w:vAlign w:val="bottom"/>
          </w:tcPr>
          <w:p>
            <w:pPr>
              <w:spacing w:after="0" w:line="168" w:lineRule="exact"/>
              <w:rPr>
                <w:sz w:val="20"/>
                <w:szCs w:val="20"/>
                <w:color w:val="auto"/>
              </w:rPr>
            </w:pPr>
            <w:r>
              <w:rPr>
                <w:rFonts w:ascii="Arial" w:cs="Arial" w:eastAsia="Arial" w:hAnsi="Arial"/>
                <w:sz w:val="15"/>
                <w:szCs w:val="15"/>
                <w:color w:val="auto"/>
              </w:rPr>
              <w:t>Title:</w:t>
            </w:r>
          </w:p>
        </w:tc>
        <w:tc>
          <w:tcPr>
            <w:tcW w:w="3940" w:type="dxa"/>
            <w:vAlign w:val="bottom"/>
          </w:tcPr>
          <w:p>
            <w:pPr>
              <w:ind w:left="100"/>
              <w:spacing w:after="0" w:line="168" w:lineRule="exact"/>
              <w:rPr>
                <w:sz w:val="20"/>
                <w:szCs w:val="20"/>
                <w:color w:val="auto"/>
              </w:rPr>
            </w:pPr>
            <w:r>
              <w:rPr>
                <w:rFonts w:ascii="Arial" w:cs="Arial" w:eastAsia="Arial" w:hAnsi="Arial"/>
                <w:sz w:val="15"/>
                <w:szCs w:val="15"/>
                <w:color w:val="auto"/>
              </w:rPr>
              <w:t>Chief Executive Officer</w:t>
            </w:r>
          </w:p>
        </w:tc>
      </w:tr>
      <w:tr>
        <w:trPr>
          <w:trHeight w:val="191"/>
        </w:trPr>
        <w:tc>
          <w:tcPr>
            <w:tcW w:w="520" w:type="dxa"/>
            <w:vAlign w:val="bottom"/>
          </w:tcPr>
          <w:p>
            <w:pPr>
              <w:spacing w:after="0"/>
              <w:rPr>
                <w:sz w:val="16"/>
                <w:szCs w:val="16"/>
                <w:color w:val="auto"/>
              </w:rPr>
            </w:pPr>
          </w:p>
        </w:tc>
        <w:tc>
          <w:tcPr>
            <w:tcW w:w="3940" w:type="dxa"/>
            <w:vAlign w:val="bottom"/>
          </w:tcPr>
          <w:p>
            <w:pPr>
              <w:ind w:left="100"/>
              <w:spacing w:after="0"/>
              <w:rPr>
                <w:sz w:val="20"/>
                <w:szCs w:val="20"/>
                <w:color w:val="auto"/>
              </w:rPr>
            </w:pPr>
            <w:r>
              <w:rPr>
                <w:rFonts w:ascii="Arial" w:cs="Arial" w:eastAsia="Arial" w:hAnsi="Arial"/>
                <w:sz w:val="15"/>
                <w:szCs w:val="15"/>
                <w:i w:val="1"/>
                <w:iCs w:val="1"/>
                <w:color w:val="auto"/>
              </w:rPr>
              <w:t>(Principal Executive Officer)</w:t>
            </w:r>
          </w:p>
        </w:tc>
      </w:tr>
    </w:tbl>
    <w:p>
      <w:pPr>
        <w:spacing w:after="0" w:line="138"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 October 3, 2022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24" w:name="page125"/>
    <w:bookmarkEnd w:id="12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180" w:type="dxa"/>
            <w:vAlign w:val="bottom"/>
            <w:gridSpan w:val="7"/>
          </w:tcPr>
          <w:p>
            <w:pPr>
              <w:jc w:val="center"/>
              <w:ind w:left="686"/>
              <w:spacing w:after="0"/>
              <w:rPr>
                <w:sz w:val="20"/>
                <w:szCs w:val="20"/>
                <w:color w:val="auto"/>
              </w:rPr>
            </w:pPr>
            <w:r>
              <w:rPr>
                <w:rFonts w:ascii="Arial" w:cs="Arial" w:eastAsia="Arial" w:hAnsi="Arial"/>
                <w:sz w:val="15"/>
                <w:szCs w:val="15"/>
                <w:color w:val="auto"/>
                <w:w w:val="97"/>
              </w:rPr>
              <w:t>INDEX TO CONSOLIDATED FINANCIAL STATEMENTS</w:t>
            </w:r>
          </w:p>
        </w:tc>
        <w:tc>
          <w:tcPr>
            <w:tcW w:w="760" w:type="dxa"/>
            <w:vAlign w:val="bottom"/>
          </w:tcPr>
          <w:p>
            <w:pPr>
              <w:spacing w:after="0"/>
              <w:rPr>
                <w:sz w:val="16"/>
                <w:szCs w:val="16"/>
                <w:color w:val="auto"/>
              </w:rPr>
            </w:pPr>
          </w:p>
        </w:tc>
      </w:tr>
      <w:tr>
        <w:trPr>
          <w:trHeight w:val="34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80" w:type="dxa"/>
            <w:vAlign w:val="bottom"/>
            <w:gridSpan w:val="2"/>
          </w:tcPr>
          <w:p>
            <w:pPr>
              <w:jc w:val="center"/>
              <w:ind w:right="3060"/>
              <w:spacing w:after="0"/>
              <w:rPr>
                <w:sz w:val="20"/>
                <w:szCs w:val="20"/>
                <w:color w:val="auto"/>
              </w:rPr>
            </w:pPr>
            <w:r>
              <w:rPr>
                <w:rFonts w:ascii="Arial" w:cs="Arial" w:eastAsia="Arial" w:hAnsi="Arial"/>
                <w:sz w:val="15"/>
                <w:szCs w:val="15"/>
                <w:color w:val="auto"/>
                <w:w w:val="98"/>
              </w:rPr>
              <w:t>IBEX LIMITED</w:t>
            </w:r>
          </w:p>
        </w:tc>
        <w:tc>
          <w:tcPr>
            <w:tcW w:w="760" w:type="dxa"/>
            <w:vAlign w:val="bottom"/>
          </w:tcPr>
          <w:p>
            <w:pPr>
              <w:spacing w:after="0"/>
              <w:rPr>
                <w:sz w:val="24"/>
                <w:szCs w:val="24"/>
                <w:color w:val="auto"/>
              </w:rPr>
            </w:pPr>
          </w:p>
        </w:tc>
      </w:tr>
      <w:tr>
        <w:trPr>
          <w:trHeight w:val="35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5"/>
                <w:szCs w:val="15"/>
                <w:color w:val="auto"/>
              </w:rPr>
              <w:t>Page</w:t>
            </w:r>
          </w:p>
        </w:tc>
      </w:tr>
      <w:tr>
        <w:trPr>
          <w:trHeight w:val="297"/>
        </w:trPr>
        <w:tc>
          <w:tcPr>
            <w:tcW w:w="20" w:type="dxa"/>
            <w:vAlign w:val="bottom"/>
          </w:tcPr>
          <w:p>
            <w:pPr>
              <w:spacing w:after="0"/>
              <w:rPr>
                <w:sz w:val="24"/>
                <w:szCs w:val="24"/>
                <w:color w:val="auto"/>
              </w:rPr>
            </w:pPr>
          </w:p>
        </w:tc>
        <w:tc>
          <w:tcPr>
            <w:tcW w:w="8180" w:type="dxa"/>
            <w:vAlign w:val="bottom"/>
            <w:gridSpan w:val="7"/>
          </w:tcPr>
          <w:p>
            <w:pPr>
              <w:spacing w:after="0"/>
              <w:rPr>
                <w:sz w:val="20"/>
                <w:szCs w:val="20"/>
                <w:color w:val="auto"/>
              </w:rPr>
            </w:pPr>
            <w:r>
              <w:rPr>
                <w:rFonts w:ascii="Arial" w:cs="Arial" w:eastAsia="Arial" w:hAnsi="Arial"/>
                <w:sz w:val="15"/>
                <w:szCs w:val="15"/>
                <w:color w:val="0000EE"/>
              </w:rPr>
              <w:t xml:space="preserve">Report of Independent Registered Public Accounting Firm </w:t>
            </w:r>
            <w:r>
              <w:rPr>
                <w:rFonts w:ascii="Arial" w:cs="Arial" w:eastAsia="Arial" w:hAnsi="Arial"/>
                <w:sz w:val="15"/>
                <w:szCs w:val="15"/>
                <w:color w:val="000000"/>
              </w:rPr>
              <w:t>(Deloitte &amp; Touche LLP, Tampa, Florida; PCAOB ID Number 34)</w:t>
            </w:r>
          </w:p>
        </w:tc>
        <w:tc>
          <w:tcPr>
            <w:tcW w:w="760" w:type="dxa"/>
            <w:vAlign w:val="bottom"/>
          </w:tcPr>
          <w:p>
            <w:pPr>
              <w:ind w:left="540"/>
              <w:spacing w:after="0"/>
              <w:rPr>
                <w:sz w:val="20"/>
                <w:szCs w:val="20"/>
                <w:color w:val="auto"/>
              </w:rPr>
            </w:pPr>
            <w:r>
              <w:rPr>
                <w:rFonts w:ascii="Arial" w:cs="Arial" w:eastAsia="Arial" w:hAnsi="Arial"/>
                <w:sz w:val="15"/>
                <w:szCs w:val="15"/>
                <w:color w:val="auto"/>
                <w:w w:val="88"/>
              </w:rPr>
              <w:t>F-2</w:t>
            </w: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8180" w:type="dxa"/>
            <w:vAlign w:val="bottom"/>
            <w:gridSpan w:val="7"/>
          </w:tcPr>
          <w:p>
            <w:pPr>
              <w:spacing w:after="0"/>
              <w:rPr>
                <w:sz w:val="20"/>
                <w:szCs w:val="20"/>
                <w:color w:val="auto"/>
              </w:rPr>
            </w:pPr>
            <w:r>
              <w:rPr>
                <w:rFonts w:ascii="Arial" w:cs="Arial" w:eastAsia="Arial" w:hAnsi="Arial"/>
                <w:sz w:val="15"/>
                <w:szCs w:val="15"/>
                <w:color w:val="0000EE"/>
              </w:rPr>
              <w:t xml:space="preserve">Report of Independent Registered Public Accounting Firm </w:t>
            </w:r>
            <w:r>
              <w:rPr>
                <w:rFonts w:ascii="Arial" w:cs="Arial" w:eastAsia="Arial" w:hAnsi="Arial"/>
                <w:sz w:val="15"/>
                <w:szCs w:val="15"/>
                <w:color w:val="000000"/>
              </w:rPr>
              <w:t>(BDO LLP, London, United Kingdom; PCAOB ID Number 1295)</w:t>
            </w:r>
          </w:p>
        </w:tc>
        <w:tc>
          <w:tcPr>
            <w:tcW w:w="760" w:type="dxa"/>
            <w:vAlign w:val="bottom"/>
          </w:tcPr>
          <w:p>
            <w:pPr>
              <w:ind w:left="540"/>
              <w:spacing w:after="0"/>
              <w:rPr>
                <w:sz w:val="20"/>
                <w:szCs w:val="20"/>
                <w:color w:val="auto"/>
              </w:rPr>
            </w:pPr>
            <w:r>
              <w:rPr>
                <w:rFonts w:ascii="Arial" w:cs="Arial" w:eastAsia="Arial" w:hAnsi="Arial"/>
                <w:sz w:val="15"/>
                <w:szCs w:val="15"/>
                <w:color w:val="auto"/>
                <w:w w:val="88"/>
              </w:rPr>
              <w:t>F-3</w:t>
            </w:r>
          </w:p>
        </w:tc>
      </w:tr>
      <w:tr>
        <w:trPr>
          <w:trHeight w:val="312"/>
        </w:trPr>
        <w:tc>
          <w:tcPr>
            <w:tcW w:w="20" w:type="dxa"/>
            <w:vAlign w:val="bottom"/>
          </w:tcPr>
          <w:p>
            <w:pPr>
              <w:spacing w:after="0"/>
              <w:rPr>
                <w:sz w:val="24"/>
                <w:szCs w:val="24"/>
                <w:color w:val="auto"/>
              </w:rPr>
            </w:pPr>
          </w:p>
        </w:tc>
        <w:tc>
          <w:tcPr>
            <w:tcW w:w="3800" w:type="dxa"/>
            <w:vAlign w:val="bottom"/>
            <w:tcBorders>
              <w:top w:val="single" w:sz="8" w:color="0000EE"/>
            </w:tcBorders>
            <w:gridSpan w:val="5"/>
          </w:tcPr>
          <w:p>
            <w:pPr>
              <w:spacing w:after="0"/>
              <w:rPr>
                <w:sz w:val="20"/>
                <w:szCs w:val="20"/>
                <w:color w:val="auto"/>
              </w:rPr>
            </w:pPr>
            <w:r>
              <w:rPr>
                <w:rFonts w:ascii="Arial" w:cs="Arial" w:eastAsia="Arial" w:hAnsi="Arial"/>
                <w:sz w:val="15"/>
                <w:szCs w:val="15"/>
                <w:color w:val="0000EE"/>
              </w:rPr>
              <w:t>Consolidated Statements of Financial Position</w:t>
            </w:r>
          </w:p>
        </w:tc>
        <w:tc>
          <w:tcPr>
            <w:tcW w:w="4380" w:type="dxa"/>
            <w:vAlign w:val="bottom"/>
            <w:gridSpan w:val="2"/>
          </w:tcPr>
          <w:p>
            <w:pPr>
              <w:spacing w:after="0"/>
              <w:rPr>
                <w:sz w:val="24"/>
                <w:szCs w:val="24"/>
                <w:color w:val="auto"/>
              </w:rPr>
            </w:pPr>
          </w:p>
        </w:tc>
        <w:tc>
          <w:tcPr>
            <w:tcW w:w="760" w:type="dxa"/>
            <w:vAlign w:val="bottom"/>
          </w:tcPr>
          <w:p>
            <w:pPr>
              <w:ind w:left="540"/>
              <w:spacing w:after="0"/>
              <w:rPr>
                <w:sz w:val="20"/>
                <w:szCs w:val="20"/>
                <w:color w:val="auto"/>
              </w:rPr>
            </w:pPr>
            <w:r>
              <w:rPr>
                <w:rFonts w:ascii="Arial" w:cs="Arial" w:eastAsia="Arial" w:hAnsi="Arial"/>
                <w:sz w:val="15"/>
                <w:szCs w:val="15"/>
                <w:color w:val="auto"/>
                <w:w w:val="88"/>
              </w:rPr>
              <w:t>F-4</w:t>
            </w: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8180" w:type="dxa"/>
            <w:vAlign w:val="bottom"/>
            <w:gridSpan w:val="7"/>
          </w:tcPr>
          <w:p>
            <w:pPr>
              <w:spacing w:after="0"/>
              <w:rPr>
                <w:sz w:val="20"/>
                <w:szCs w:val="20"/>
                <w:color w:val="auto"/>
              </w:rPr>
            </w:pPr>
            <w:r>
              <w:rPr>
                <w:rFonts w:ascii="Arial" w:cs="Arial" w:eastAsia="Arial" w:hAnsi="Arial"/>
                <w:sz w:val="15"/>
                <w:szCs w:val="15"/>
                <w:color w:val="0000EE"/>
              </w:rPr>
              <w:t>Consolidated Statements of Profit or Loss and Other Comprehensive Income (Loss)</w:t>
            </w:r>
          </w:p>
        </w:tc>
        <w:tc>
          <w:tcPr>
            <w:tcW w:w="760" w:type="dxa"/>
            <w:vAlign w:val="bottom"/>
          </w:tcPr>
          <w:p>
            <w:pPr>
              <w:ind w:left="540"/>
              <w:spacing w:after="0"/>
              <w:rPr>
                <w:sz w:val="20"/>
                <w:szCs w:val="20"/>
                <w:color w:val="auto"/>
              </w:rPr>
            </w:pPr>
            <w:r>
              <w:rPr>
                <w:rFonts w:ascii="Arial" w:cs="Arial" w:eastAsia="Arial" w:hAnsi="Arial"/>
                <w:sz w:val="15"/>
                <w:szCs w:val="15"/>
                <w:color w:val="auto"/>
                <w:w w:val="88"/>
              </w:rPr>
              <w:t>F-5</w:t>
            </w:r>
          </w:p>
        </w:tc>
      </w:tr>
      <w:tr>
        <w:trPr>
          <w:trHeight w:val="312"/>
        </w:trPr>
        <w:tc>
          <w:tcPr>
            <w:tcW w:w="20" w:type="dxa"/>
            <w:vAlign w:val="bottom"/>
          </w:tcPr>
          <w:p>
            <w:pPr>
              <w:spacing w:after="0"/>
              <w:rPr>
                <w:sz w:val="24"/>
                <w:szCs w:val="24"/>
                <w:color w:val="auto"/>
              </w:rPr>
            </w:pPr>
          </w:p>
        </w:tc>
        <w:tc>
          <w:tcPr>
            <w:tcW w:w="5460" w:type="dxa"/>
            <w:vAlign w:val="bottom"/>
            <w:tcBorders>
              <w:top w:val="single" w:sz="8" w:color="0000EE"/>
            </w:tcBorders>
            <w:gridSpan w:val="6"/>
          </w:tcPr>
          <w:p>
            <w:pPr>
              <w:spacing w:after="0"/>
              <w:rPr>
                <w:sz w:val="20"/>
                <w:szCs w:val="20"/>
                <w:color w:val="auto"/>
              </w:rPr>
            </w:pPr>
            <w:r>
              <w:rPr>
                <w:rFonts w:ascii="Arial" w:cs="Arial" w:eastAsia="Arial" w:hAnsi="Arial"/>
                <w:sz w:val="15"/>
                <w:szCs w:val="15"/>
                <w:color w:val="0000EE"/>
              </w:rPr>
              <w:t>Consolidated Statements of Changes in Equity</w:t>
            </w:r>
          </w:p>
        </w:tc>
        <w:tc>
          <w:tcPr>
            <w:tcW w:w="2720" w:type="dxa"/>
            <w:vAlign w:val="bottom"/>
          </w:tcPr>
          <w:p>
            <w:pPr>
              <w:spacing w:after="0"/>
              <w:rPr>
                <w:sz w:val="24"/>
                <w:szCs w:val="24"/>
                <w:color w:val="auto"/>
              </w:rPr>
            </w:pPr>
          </w:p>
        </w:tc>
        <w:tc>
          <w:tcPr>
            <w:tcW w:w="760" w:type="dxa"/>
            <w:vAlign w:val="bottom"/>
          </w:tcPr>
          <w:p>
            <w:pPr>
              <w:ind w:left="540"/>
              <w:spacing w:after="0"/>
              <w:rPr>
                <w:sz w:val="20"/>
                <w:szCs w:val="20"/>
                <w:color w:val="auto"/>
              </w:rPr>
            </w:pPr>
            <w:r>
              <w:rPr>
                <w:rFonts w:ascii="Arial" w:cs="Arial" w:eastAsia="Arial" w:hAnsi="Arial"/>
                <w:sz w:val="15"/>
                <w:szCs w:val="15"/>
                <w:color w:val="auto"/>
                <w:w w:val="88"/>
              </w:rPr>
              <w:t>F-6</w:t>
            </w:r>
          </w:p>
        </w:tc>
      </w:tr>
      <w:tr>
        <w:trPr>
          <w:trHeight w:val="312"/>
        </w:trPr>
        <w:tc>
          <w:tcPr>
            <w:tcW w:w="20" w:type="dxa"/>
            <w:vAlign w:val="bottom"/>
          </w:tcPr>
          <w:p>
            <w:pPr>
              <w:spacing w:after="0"/>
              <w:rPr>
                <w:sz w:val="24"/>
                <w:szCs w:val="24"/>
                <w:color w:val="auto"/>
              </w:rPr>
            </w:pPr>
          </w:p>
        </w:tc>
        <w:tc>
          <w:tcPr>
            <w:tcW w:w="26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5"/>
                <w:szCs w:val="15"/>
                <w:color w:val="0000EE"/>
                <w:w w:val="97"/>
              </w:rPr>
              <w:t>Consolidated Statements of Cash Flows</w:t>
            </w:r>
          </w:p>
        </w:tc>
        <w:tc>
          <w:tcPr>
            <w:tcW w:w="420" w:type="dxa"/>
            <w:vAlign w:val="bottom"/>
            <w:tcBorders>
              <w:top w:val="single" w:sz="8" w:color="0000EE"/>
            </w:tcBorders>
            <w:gridSpan w:val="2"/>
          </w:tcPr>
          <w:p>
            <w:pPr>
              <w:spacing w:after="0"/>
              <w:rPr>
                <w:sz w:val="24"/>
                <w:szCs w:val="24"/>
                <w:color w:val="auto"/>
              </w:rPr>
            </w:pPr>
          </w:p>
        </w:tc>
        <w:tc>
          <w:tcPr>
            <w:tcW w:w="5140" w:type="dxa"/>
            <w:vAlign w:val="bottom"/>
            <w:gridSpan w:val="4"/>
          </w:tcPr>
          <w:p>
            <w:pPr>
              <w:spacing w:after="0"/>
              <w:rPr>
                <w:sz w:val="24"/>
                <w:szCs w:val="24"/>
                <w:color w:val="auto"/>
              </w:rPr>
            </w:pPr>
          </w:p>
        </w:tc>
        <w:tc>
          <w:tcPr>
            <w:tcW w:w="760" w:type="dxa"/>
            <w:vAlign w:val="bottom"/>
          </w:tcPr>
          <w:p>
            <w:pPr>
              <w:ind w:left="540"/>
              <w:spacing w:after="0"/>
              <w:rPr>
                <w:sz w:val="20"/>
                <w:szCs w:val="20"/>
                <w:color w:val="auto"/>
              </w:rPr>
            </w:pPr>
            <w:r>
              <w:rPr>
                <w:rFonts w:ascii="Arial" w:cs="Arial" w:eastAsia="Arial" w:hAnsi="Arial"/>
                <w:sz w:val="15"/>
                <w:szCs w:val="15"/>
                <w:color w:val="auto"/>
                <w:w w:val="88"/>
              </w:rPr>
              <w:t>F-7</w:t>
            </w:r>
          </w:p>
        </w:tc>
      </w:tr>
      <w:tr>
        <w:trPr>
          <w:trHeight w:val="312"/>
        </w:trPr>
        <w:tc>
          <w:tcPr>
            <w:tcW w:w="20" w:type="dxa"/>
            <w:vAlign w:val="bottom"/>
          </w:tcPr>
          <w:p>
            <w:pPr>
              <w:spacing w:after="0"/>
              <w:rPr>
                <w:sz w:val="24"/>
                <w:szCs w:val="24"/>
                <w:color w:val="auto"/>
              </w:rPr>
            </w:pPr>
          </w:p>
        </w:tc>
        <w:tc>
          <w:tcPr>
            <w:tcW w:w="8180" w:type="dxa"/>
            <w:vAlign w:val="bottom"/>
            <w:gridSpan w:val="7"/>
          </w:tcPr>
          <w:p>
            <w:pPr>
              <w:spacing w:after="0"/>
              <w:rPr>
                <w:sz w:val="20"/>
                <w:szCs w:val="20"/>
                <w:color w:val="auto"/>
              </w:rPr>
            </w:pPr>
            <w:r>
              <w:rPr>
                <w:rFonts w:ascii="Arial" w:cs="Arial" w:eastAsia="Arial" w:hAnsi="Arial"/>
                <w:sz w:val="15"/>
                <w:szCs w:val="15"/>
                <w:color w:val="0000EE"/>
              </w:rPr>
              <w:t>Notes to the Consolidated Financial Statements</w:t>
            </w:r>
          </w:p>
        </w:tc>
        <w:tc>
          <w:tcPr>
            <w:tcW w:w="760" w:type="dxa"/>
            <w:vAlign w:val="bottom"/>
          </w:tcPr>
          <w:p>
            <w:pPr>
              <w:ind w:left="540"/>
              <w:spacing w:after="0"/>
              <w:rPr>
                <w:sz w:val="20"/>
                <w:szCs w:val="20"/>
                <w:color w:val="auto"/>
              </w:rPr>
            </w:pPr>
            <w:r>
              <w:rPr>
                <w:rFonts w:ascii="Arial" w:cs="Arial" w:eastAsia="Arial" w:hAnsi="Arial"/>
                <w:sz w:val="15"/>
                <w:szCs w:val="15"/>
                <w:color w:val="auto"/>
                <w:w w:val="88"/>
              </w:rPr>
              <w:t>F-8</w:t>
            </w:r>
          </w:p>
        </w:tc>
      </w:tr>
      <w:tr>
        <w:trPr>
          <w:trHeight w:val="712"/>
        </w:trPr>
        <w:tc>
          <w:tcPr>
            <w:tcW w:w="20" w:type="dxa"/>
            <w:vAlign w:val="bottom"/>
          </w:tcPr>
          <w:p>
            <w:pPr>
              <w:spacing w:after="0"/>
              <w:rPr>
                <w:sz w:val="24"/>
                <w:szCs w:val="24"/>
                <w:color w:val="auto"/>
              </w:rPr>
            </w:pPr>
          </w:p>
        </w:tc>
        <w:tc>
          <w:tcPr>
            <w:tcW w:w="2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80" w:type="dxa"/>
            <w:vAlign w:val="bottom"/>
            <w:gridSpan w:val="2"/>
          </w:tcPr>
          <w:p>
            <w:pPr>
              <w:jc w:val="center"/>
              <w:ind w:right="3040"/>
              <w:spacing w:after="0"/>
              <w:rPr>
                <w:sz w:val="20"/>
                <w:szCs w:val="20"/>
                <w:color w:val="auto"/>
              </w:rPr>
            </w:pPr>
            <w:r>
              <w:rPr>
                <w:rFonts w:ascii="Arial" w:cs="Arial" w:eastAsia="Arial" w:hAnsi="Arial"/>
                <w:sz w:val="15"/>
                <w:szCs w:val="15"/>
                <w:color w:val="auto"/>
                <w:w w:val="97"/>
              </w:rPr>
              <w:t>F-1</w:t>
            </w:r>
          </w:p>
        </w:tc>
        <w:tc>
          <w:tcPr>
            <w:tcW w:w="760" w:type="dxa"/>
            <w:vAlign w:val="bottom"/>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6"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 the shareholders and the Board of Directors of IBEX Limited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8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We have audited the accompanying consolidated statement of financial position of IBEX Limited and subsidiaries (the “Company”) as of June 30, 2022, the related consolidated statements of profit or loss and other comprehensive income (loss), changes in equity, and cash flows, for the year then ended, and the related notes (collectively referred to as the “financial statements”). In our opinion, the financial statements present fairly, in all material respects, the financial position of the Company as of June 30, 2022, and the results of its operations and its cash flows for the year then ended, in conformity with International Financial Reporting Standards as issued by the International Accounting Standards Board.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Basis for Opinion</w:t>
      </w:r>
    </w:p>
    <w:p>
      <w:pPr>
        <w:spacing w:after="0" w:line="18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Deloitte &amp; Touche LLP</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Tampa, Florida</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October 3, 2022</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have served as the Company’s auditor since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Shareholders and Board of Directors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Ibex Limited</w:t>
      </w:r>
    </w:p>
    <w:p>
      <w:pPr>
        <w:ind w:left="40"/>
        <w:spacing w:after="0"/>
        <w:rPr>
          <w:sz w:val="20"/>
          <w:szCs w:val="20"/>
          <w:color w:val="auto"/>
        </w:rPr>
      </w:pPr>
      <w:r>
        <w:rPr>
          <w:rFonts w:ascii="Arial" w:cs="Arial" w:eastAsia="Arial" w:hAnsi="Arial"/>
          <w:sz w:val="15"/>
          <w:szCs w:val="15"/>
          <w:color w:val="auto"/>
        </w:rPr>
        <w:t>Hamilton, Bermuda</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Opinion on the Consolidated Financial Statements</w:t>
      </w:r>
    </w:p>
    <w:p>
      <w:pPr>
        <w:spacing w:after="0" w:line="170" w:lineRule="exact"/>
        <w:rPr>
          <w:sz w:val="20"/>
          <w:szCs w:val="20"/>
          <w:color w:val="auto"/>
        </w:rPr>
      </w:pPr>
    </w:p>
    <w:p>
      <w:pPr>
        <w:ind w:left="40" w:right="159"/>
        <w:spacing w:after="0" w:line="259" w:lineRule="auto"/>
        <w:rPr>
          <w:sz w:val="20"/>
          <w:szCs w:val="20"/>
          <w:color w:val="auto"/>
        </w:rPr>
      </w:pPr>
      <w:r>
        <w:rPr>
          <w:rFonts w:ascii="Arial" w:cs="Arial" w:eastAsia="Arial" w:hAnsi="Arial"/>
          <w:sz w:val="14"/>
          <w:szCs w:val="14"/>
          <w:color w:val="auto"/>
        </w:rPr>
        <w:t>We have audited the accompanying consolidated statement of financial position of Ibex Limited. (the “Company”) as of June 30, 2021, the related consolidated statements of profit or loss and other comprehensive income (loss), changes in equity, and cash flows for each of the two years in the period ended June 30, 2021, and the related notes (collectively referred to as the “consolidated financial statements”). In our opinion, the consolidated financial statements present fairly, in all material respects, the financial position of the Company as of June 30, 2021 and the results of its operations and its cash flows for each of the two years in the period ended June 30, 2021</w:t>
      </w:r>
      <w:r>
        <w:rPr>
          <w:rFonts w:ascii="Arial" w:cs="Arial" w:eastAsia="Arial" w:hAnsi="Arial"/>
          <w:sz w:val="14"/>
          <w:szCs w:val="14"/>
          <w:b w:val="1"/>
          <w:bCs w:val="1"/>
          <w:color w:val="auto"/>
        </w:rPr>
        <w:t>,</w:t>
      </w:r>
      <w:r>
        <w:rPr>
          <w:rFonts w:ascii="Arial" w:cs="Arial" w:eastAsia="Arial" w:hAnsi="Arial"/>
          <w:sz w:val="14"/>
          <w:szCs w:val="14"/>
          <w:color w:val="auto"/>
        </w:rPr>
        <w:t xml:space="preserve"> in conformity with International Financial Reporting Standards as issued by the International Accounting Standards Board.</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Basis for Opinion</w:t>
      </w:r>
    </w:p>
    <w:p>
      <w:pPr>
        <w:spacing w:after="0" w:line="170" w:lineRule="exact"/>
        <w:rPr>
          <w:sz w:val="20"/>
          <w:szCs w:val="20"/>
          <w:color w:val="auto"/>
        </w:rPr>
      </w:pPr>
    </w:p>
    <w:p>
      <w:pPr>
        <w:ind w:left="40" w:right="79"/>
        <w:spacing w:after="0" w:line="238"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w:t>
      </w:r>
    </w:p>
    <w:p>
      <w:pPr>
        <w:spacing w:after="0" w:line="1" w:lineRule="exact"/>
        <w:rPr>
          <w:sz w:val="20"/>
          <w:szCs w:val="20"/>
          <w:color w:val="auto"/>
        </w:rPr>
      </w:pPr>
    </w:p>
    <w:p>
      <w:pPr>
        <w:ind w:left="40" w:right="259"/>
        <w:spacing w:after="0" w:line="237" w:lineRule="auto"/>
        <w:rPr>
          <w:sz w:val="20"/>
          <w:szCs w:val="20"/>
          <w:color w:val="auto"/>
        </w:rPr>
      </w:pPr>
      <w:r>
        <w:rPr>
          <w:rFonts w:ascii="Arial" w:cs="Arial" w:eastAsia="Arial" w:hAnsi="Arial"/>
          <w:sz w:val="15"/>
          <w:szCs w:val="15"/>
          <w:color w:val="auto"/>
        </w:rPr>
        <w:t>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0" w:lineRule="exact"/>
        <w:rPr>
          <w:sz w:val="20"/>
          <w:szCs w:val="20"/>
          <w:color w:val="auto"/>
        </w:rPr>
      </w:pPr>
    </w:p>
    <w:p>
      <w:pPr>
        <w:ind w:left="40" w:right="59"/>
        <w:spacing w:after="0" w:line="23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BDO LLP</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BDO LLP</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have served as the Company’s auditor from 2017 through 2021.</w:t>
      </w:r>
    </w:p>
    <w:p>
      <w:pPr>
        <w:ind w:left="40"/>
        <w:spacing w:after="0" w:line="230" w:lineRule="auto"/>
        <w:rPr>
          <w:sz w:val="20"/>
          <w:szCs w:val="20"/>
          <w:color w:val="auto"/>
        </w:rPr>
      </w:pPr>
      <w:r>
        <w:rPr>
          <w:rFonts w:ascii="Arial" w:cs="Arial" w:eastAsia="Arial" w:hAnsi="Arial"/>
          <w:sz w:val="15"/>
          <w:szCs w:val="15"/>
          <w:color w:val="auto"/>
        </w:rPr>
        <w:t>Reading, United Kingdom</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October 13, 2021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Consolidated Statements of Financial Position</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58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As of June 30,</w:t>
            </w:r>
          </w:p>
        </w:tc>
        <w:tc>
          <w:tcPr>
            <w:tcW w:w="1020" w:type="dxa"/>
            <w:vAlign w:val="bottom"/>
            <w:tcBorders>
              <w:top w:val="single" w:sz="8" w:color="auto"/>
            </w:tcBorders>
          </w:tcPr>
          <w:p>
            <w:pPr>
              <w:jc w:val="right"/>
              <w:ind w:right="47"/>
              <w:spacing w:after="0" w:line="136" w:lineRule="exact"/>
              <w:rPr>
                <w:sz w:val="20"/>
                <w:szCs w:val="20"/>
                <w:color w:val="auto"/>
              </w:rPr>
            </w:pPr>
            <w:r>
              <w:rPr>
                <w:rFonts w:ascii="Arial" w:cs="Arial" w:eastAsia="Arial" w:hAnsi="Arial"/>
                <w:sz w:val="12"/>
                <w:szCs w:val="12"/>
                <w:b w:val="1"/>
                <w:bCs w:val="1"/>
                <w:color w:val="auto"/>
              </w:rPr>
              <w:t>As of 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ind w:left="1560"/>
              <w:spacing w:after="0"/>
              <w:rPr>
                <w:sz w:val="20"/>
                <w:szCs w:val="20"/>
                <w:color w:val="auto"/>
              </w:rPr>
            </w:pPr>
            <w:r>
              <w:rPr>
                <w:rFonts w:ascii="Arial" w:cs="Arial" w:eastAsia="Arial" w:hAnsi="Arial"/>
                <w:sz w:val="12"/>
                <w:szCs w:val="12"/>
                <w:b w:val="1"/>
                <w:bCs w:val="1"/>
                <w:i w:val="1"/>
                <w:iCs w:val="1"/>
                <w:color w:val="auto"/>
              </w:rPr>
              <w:t>Notes</w:t>
            </w:r>
          </w:p>
        </w:tc>
        <w:tc>
          <w:tcPr>
            <w:tcW w:w="98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2022</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3"/>
          </w:tcPr>
          <w:p>
            <w:pPr>
              <w:jc w:val="right"/>
              <w:ind w:right="747"/>
              <w:spacing w:after="0" w:line="124" w:lineRule="exact"/>
              <w:rPr>
                <w:sz w:val="20"/>
                <w:szCs w:val="20"/>
                <w:color w:val="auto"/>
              </w:rPr>
            </w:pPr>
            <w:r>
              <w:rPr>
                <w:rFonts w:ascii="Arial" w:cs="Arial" w:eastAsia="Arial" w:hAnsi="Arial"/>
                <w:sz w:val="12"/>
                <w:szCs w:val="12"/>
                <w:b w:val="1"/>
                <w:bCs w:val="1"/>
                <w:color w:val="auto"/>
              </w:rPr>
              <w:t>(US$’000)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Assets</w:t>
            </w:r>
          </w:p>
        </w:tc>
        <w:tc>
          <w:tcPr>
            <w:tcW w:w="2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spacing w:after="0" w:line="166" w:lineRule="exact"/>
              <w:rPr>
                <w:sz w:val="20"/>
                <w:szCs w:val="20"/>
                <w:color w:val="auto"/>
              </w:rPr>
            </w:pPr>
            <w:r>
              <w:rPr>
                <w:rFonts w:ascii="Arial" w:cs="Arial" w:eastAsia="Arial" w:hAnsi="Arial"/>
                <w:sz w:val="15"/>
                <w:szCs w:val="15"/>
                <w:b w:val="1"/>
                <w:bCs w:val="1"/>
                <w:color w:val="auto"/>
              </w:rPr>
              <w:t>Current assets</w:t>
            </w:r>
          </w:p>
        </w:tc>
        <w:tc>
          <w:tcPr>
            <w:tcW w:w="2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Cash and cash equivalents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10</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48,831</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57,842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Trade and other receivables</w:t>
            </w:r>
          </w:p>
        </w:tc>
        <w:tc>
          <w:tcPr>
            <w:tcW w:w="2180" w:type="dxa"/>
            <w:vAlign w:val="bottom"/>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9</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93,430</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81,104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Due from related parties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23</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108</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1,755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Borders>
              <w:bottom w:val="single" w:sz="8" w:color="CCEEFF"/>
            </w:tcBorders>
          </w:tcPr>
          <w:p>
            <w:pPr>
              <w:ind w:left="60"/>
              <w:spacing w:after="0" w:line="166" w:lineRule="exact"/>
              <w:rPr>
                <w:sz w:val="20"/>
                <w:szCs w:val="20"/>
                <w:color w:val="auto"/>
              </w:rPr>
            </w:pPr>
            <w:r>
              <w:rPr>
                <w:rFonts w:ascii="Arial" w:cs="Arial" w:eastAsia="Arial" w:hAnsi="Arial"/>
                <w:sz w:val="15"/>
                <w:szCs w:val="15"/>
                <w:color w:val="auto"/>
              </w:rPr>
              <w:t>Warrant asset</w:t>
            </w:r>
          </w:p>
        </w:tc>
        <w:tc>
          <w:tcPr>
            <w:tcW w:w="2180" w:type="dxa"/>
            <w:vAlign w:val="bottom"/>
            <w:tcBorders>
              <w:bottom w:val="single" w:sz="8" w:color="CCEEFF"/>
            </w:tcBorders>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28</w:t>
            </w: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908</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673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current assets</w:t>
            </w:r>
          </w:p>
        </w:tc>
        <w:tc>
          <w:tcPr>
            <w:tcW w:w="21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143,277</w:t>
            </w:r>
          </w:p>
        </w:tc>
        <w:tc>
          <w:tcPr>
            <w:tcW w:w="16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141,374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Non-current assets</w:t>
            </w: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Property and equipment</w:t>
            </w:r>
          </w:p>
        </w:tc>
        <w:tc>
          <w:tcPr>
            <w:tcW w:w="2180" w:type="dxa"/>
            <w:vAlign w:val="bottom"/>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6</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38,987</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30,828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Right of use assets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6.1</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77,642</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75,875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Goodwill</w:t>
            </w:r>
          </w:p>
        </w:tc>
        <w:tc>
          <w:tcPr>
            <w:tcW w:w="2180" w:type="dxa"/>
            <w:vAlign w:val="bottom"/>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4</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11,832</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11,832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Other intangible assets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5</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3,027</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3,209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Warrant asset</w:t>
            </w:r>
          </w:p>
        </w:tc>
        <w:tc>
          <w:tcPr>
            <w:tcW w:w="2180" w:type="dxa"/>
            <w:vAlign w:val="bottom"/>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28</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935</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1,420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Investment in joint venture</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7</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382</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Deferred tax asset</w:t>
            </w:r>
          </w:p>
        </w:tc>
        <w:tc>
          <w:tcPr>
            <w:tcW w:w="2180" w:type="dxa"/>
            <w:vAlign w:val="bottom"/>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18</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9,465</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4,252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Other assets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8</w:t>
            </w:r>
          </w:p>
        </w:tc>
        <w:tc>
          <w:tcPr>
            <w:tcW w:w="9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4,590</w:t>
            </w:r>
          </w:p>
        </w:tc>
        <w:tc>
          <w:tcPr>
            <w:tcW w:w="16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5,239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tcBorders>
              <w:bottom w:val="single" w:sz="8" w:color="CCEEFF"/>
            </w:tcBorders>
          </w:tcPr>
          <w:p>
            <w:pPr>
              <w:spacing w:after="0" w:line="157" w:lineRule="exact"/>
              <w:rPr>
                <w:sz w:val="20"/>
                <w:szCs w:val="20"/>
                <w:color w:val="auto"/>
              </w:rPr>
            </w:pPr>
            <w:r>
              <w:rPr>
                <w:rFonts w:ascii="Arial" w:cs="Arial" w:eastAsia="Arial" w:hAnsi="Arial"/>
                <w:sz w:val="15"/>
                <w:szCs w:val="15"/>
                <w:b w:val="1"/>
                <w:bCs w:val="1"/>
                <w:color w:val="auto"/>
              </w:rPr>
              <w:t>Total non-current assets</w:t>
            </w:r>
          </w:p>
        </w:tc>
        <w:tc>
          <w:tcPr>
            <w:tcW w:w="21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146,860</w:t>
            </w:r>
          </w:p>
        </w:tc>
        <w:tc>
          <w:tcPr>
            <w:tcW w:w="1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132,913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tcBorders>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assets</w:t>
            </w:r>
          </w:p>
        </w:tc>
        <w:tc>
          <w:tcPr>
            <w:tcW w:w="2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290,137</w:t>
            </w: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274,287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Liabilities and Equity</w:t>
            </w: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spacing w:after="0" w:line="166" w:lineRule="exact"/>
              <w:rPr>
                <w:sz w:val="20"/>
                <w:szCs w:val="20"/>
                <w:color w:val="auto"/>
              </w:rPr>
            </w:pPr>
            <w:r>
              <w:rPr>
                <w:rFonts w:ascii="Arial" w:cs="Arial" w:eastAsia="Arial" w:hAnsi="Arial"/>
                <w:sz w:val="15"/>
                <w:szCs w:val="15"/>
                <w:b w:val="1"/>
                <w:bCs w:val="1"/>
                <w:color w:val="auto"/>
              </w:rPr>
              <w:t>Current liabilities</w:t>
            </w:r>
          </w:p>
        </w:tc>
        <w:tc>
          <w:tcPr>
            <w:tcW w:w="2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Trade and other payables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15</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59,813</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54,863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Deferred revenue</w:t>
            </w:r>
          </w:p>
        </w:tc>
        <w:tc>
          <w:tcPr>
            <w:tcW w:w="2180" w:type="dxa"/>
            <w:vAlign w:val="bottom"/>
          </w:tcPr>
          <w:p>
            <w:pPr>
              <w:jc w:val="center"/>
              <w:ind w:left="1207"/>
              <w:spacing w:after="0" w:line="166" w:lineRule="exact"/>
              <w:rPr>
                <w:sz w:val="20"/>
                <w:szCs w:val="20"/>
                <w:color w:val="auto"/>
              </w:rPr>
            </w:pPr>
            <w:r>
              <w:rPr>
                <w:rFonts w:ascii="Arial" w:cs="Arial" w:eastAsia="Arial" w:hAnsi="Arial"/>
                <w:sz w:val="15"/>
                <w:szCs w:val="15"/>
                <w:i w:val="1"/>
                <w:iCs w:val="1"/>
                <w:color w:val="auto"/>
                <w:w w:val="83"/>
              </w:rPr>
              <w:t>11</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8,600</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4,077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Lease liabilities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6.2</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13,705</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12,121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Borrowings</w:t>
            </w:r>
          </w:p>
        </w:tc>
        <w:tc>
          <w:tcPr>
            <w:tcW w:w="2180" w:type="dxa"/>
            <w:vAlign w:val="bottom"/>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13</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14,689</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26,716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Due to related parties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23</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2,595</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4,275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Borders>
              <w:bottom w:val="single" w:sz="8" w:color="CCEEFF"/>
            </w:tcBorders>
          </w:tcPr>
          <w:p>
            <w:pPr>
              <w:ind w:left="60"/>
              <w:spacing w:after="0" w:line="166" w:lineRule="exact"/>
              <w:rPr>
                <w:sz w:val="20"/>
                <w:szCs w:val="20"/>
                <w:color w:val="auto"/>
              </w:rPr>
            </w:pPr>
            <w:r>
              <w:rPr>
                <w:rFonts w:ascii="Arial" w:cs="Arial" w:eastAsia="Arial" w:hAnsi="Arial"/>
                <w:sz w:val="15"/>
                <w:szCs w:val="15"/>
                <w:color w:val="auto"/>
              </w:rPr>
              <w:t>Income tax payable</w:t>
            </w:r>
          </w:p>
        </w:tc>
        <w:tc>
          <w:tcPr>
            <w:tcW w:w="2180" w:type="dxa"/>
            <w:vAlign w:val="bottom"/>
            <w:tcBorders>
              <w:bottom w:val="single" w:sz="8" w:color="CCEEFF"/>
            </w:tcBorders>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18</w:t>
            </w: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2,965</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3,663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current liabilities</w:t>
            </w:r>
          </w:p>
        </w:tc>
        <w:tc>
          <w:tcPr>
            <w:tcW w:w="21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102,367</w:t>
            </w:r>
          </w:p>
        </w:tc>
        <w:tc>
          <w:tcPr>
            <w:tcW w:w="16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105,715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Non-current liabilities</w:t>
            </w: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Deferred revenue</w:t>
            </w:r>
          </w:p>
        </w:tc>
        <w:tc>
          <w:tcPr>
            <w:tcW w:w="2180" w:type="dxa"/>
            <w:vAlign w:val="bottom"/>
          </w:tcPr>
          <w:p>
            <w:pPr>
              <w:jc w:val="center"/>
              <w:ind w:left="1207"/>
              <w:spacing w:after="0" w:line="166" w:lineRule="exact"/>
              <w:rPr>
                <w:sz w:val="20"/>
                <w:szCs w:val="20"/>
                <w:color w:val="auto"/>
              </w:rPr>
            </w:pPr>
            <w:r>
              <w:rPr>
                <w:rFonts w:ascii="Arial" w:cs="Arial" w:eastAsia="Arial" w:hAnsi="Arial"/>
                <w:sz w:val="15"/>
                <w:szCs w:val="15"/>
                <w:i w:val="1"/>
                <w:iCs w:val="1"/>
                <w:color w:val="auto"/>
                <w:w w:val="83"/>
              </w:rPr>
              <w:t>11</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3,993</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3,010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Lease liabilities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6.2</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76,004</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71,878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Borrowings</w:t>
            </w:r>
          </w:p>
        </w:tc>
        <w:tc>
          <w:tcPr>
            <w:tcW w:w="2180" w:type="dxa"/>
            <w:vAlign w:val="bottom"/>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13</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338</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1,801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Deferred tax liability</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18</w:t>
            </w:r>
          </w:p>
        </w:tc>
        <w:tc>
          <w:tcPr>
            <w:tcW w:w="114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Borders>
              <w:bottom w:val="single" w:sz="8" w:color="CCEEFF"/>
            </w:tcBorders>
          </w:tcPr>
          <w:p>
            <w:pPr>
              <w:ind w:left="60"/>
              <w:spacing w:after="0" w:line="166" w:lineRule="exact"/>
              <w:rPr>
                <w:sz w:val="20"/>
                <w:szCs w:val="20"/>
                <w:color w:val="auto"/>
              </w:rPr>
            </w:pPr>
            <w:r>
              <w:rPr>
                <w:rFonts w:ascii="Arial" w:cs="Arial" w:eastAsia="Arial" w:hAnsi="Arial"/>
                <w:sz w:val="15"/>
                <w:szCs w:val="15"/>
                <w:color w:val="auto"/>
              </w:rPr>
              <w:t>Other non-current liabilities</w:t>
            </w:r>
          </w:p>
        </w:tc>
        <w:tc>
          <w:tcPr>
            <w:tcW w:w="2180" w:type="dxa"/>
            <w:vAlign w:val="bottom"/>
            <w:tcBorders>
              <w:bottom w:val="single" w:sz="8" w:color="CCEEFF"/>
            </w:tcBorders>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14</w:t>
            </w: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7,146</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11,138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non-current liabilities</w:t>
            </w:r>
          </w:p>
        </w:tc>
        <w:tc>
          <w:tcPr>
            <w:tcW w:w="21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87,481</w:t>
            </w:r>
          </w:p>
        </w:tc>
        <w:tc>
          <w:tcPr>
            <w:tcW w:w="16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87,913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tcBorders>
              <w:bottom w:val="single" w:sz="8" w:color="CCEEFF"/>
            </w:tcBorders>
          </w:tcPr>
          <w:p>
            <w:pPr>
              <w:spacing w:after="0" w:line="157" w:lineRule="exact"/>
              <w:rPr>
                <w:sz w:val="20"/>
                <w:szCs w:val="20"/>
                <w:color w:val="auto"/>
              </w:rPr>
            </w:pPr>
            <w:r>
              <w:rPr>
                <w:rFonts w:ascii="Arial" w:cs="Arial" w:eastAsia="Arial" w:hAnsi="Arial"/>
                <w:sz w:val="15"/>
                <w:szCs w:val="15"/>
                <w:b w:val="1"/>
                <w:bCs w:val="1"/>
                <w:color w:val="auto"/>
              </w:rPr>
              <w:t>Total liabilities</w:t>
            </w:r>
          </w:p>
        </w:tc>
        <w:tc>
          <w:tcPr>
            <w:tcW w:w="21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189,848</w:t>
            </w:r>
          </w:p>
        </w:tc>
        <w:tc>
          <w:tcPr>
            <w:tcW w:w="1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193,628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b w:val="1"/>
                <w:bCs w:val="1"/>
                <w:color w:val="auto"/>
              </w:rPr>
              <w:t>Equity attributable to owners of the parent</w:t>
            </w:r>
          </w:p>
        </w:tc>
        <w:tc>
          <w:tcPr>
            <w:tcW w:w="2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Share capital</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12</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Pr>
          <w:p>
            <w:pPr>
              <w:ind w:left="60"/>
              <w:spacing w:after="0" w:line="166" w:lineRule="exact"/>
              <w:rPr>
                <w:sz w:val="20"/>
                <w:szCs w:val="20"/>
                <w:color w:val="auto"/>
              </w:rPr>
            </w:pPr>
            <w:r>
              <w:rPr>
                <w:rFonts w:ascii="Arial" w:cs="Arial" w:eastAsia="Arial" w:hAnsi="Arial"/>
                <w:sz w:val="15"/>
                <w:szCs w:val="15"/>
                <w:color w:val="auto"/>
              </w:rPr>
              <w:t>Additional paid-in capital</w:t>
            </w:r>
          </w:p>
        </w:tc>
        <w:tc>
          <w:tcPr>
            <w:tcW w:w="2180" w:type="dxa"/>
            <w:vAlign w:val="bottom"/>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12</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154,786</w:t>
            </w:r>
          </w:p>
        </w:tc>
        <w:tc>
          <w:tcPr>
            <w:tcW w:w="160" w:type="dxa"/>
            <w:vAlign w:val="bottom"/>
          </w:tcPr>
          <w:p>
            <w:pPr>
              <w:spacing w:after="0"/>
              <w:rPr>
                <w:sz w:val="14"/>
                <w:szCs w:val="14"/>
                <w:color w:val="auto"/>
              </w:rPr>
            </w:pPr>
          </w:p>
        </w:tc>
        <w:tc>
          <w:tcPr>
            <w:tcW w:w="1020" w:type="dxa"/>
            <w:vAlign w:val="bottom"/>
          </w:tcPr>
          <w:p>
            <w:pPr>
              <w:jc w:val="right"/>
              <w:spacing w:after="0" w:line="166" w:lineRule="exact"/>
              <w:rPr>
                <w:sz w:val="20"/>
                <w:szCs w:val="20"/>
                <w:color w:val="auto"/>
              </w:rPr>
            </w:pPr>
            <w:r>
              <w:rPr>
                <w:rFonts w:ascii="Arial" w:cs="Arial" w:eastAsia="Arial" w:hAnsi="Arial"/>
                <w:sz w:val="15"/>
                <w:szCs w:val="15"/>
                <w:color w:val="auto"/>
              </w:rPr>
              <w:t>158,157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Other reserves</w:t>
            </w:r>
          </w:p>
        </w:tc>
        <w:tc>
          <w:tcPr>
            <w:tcW w:w="2180" w:type="dxa"/>
            <w:vAlign w:val="bottom"/>
            <w:shd w:val="clear" w:color="auto" w:fill="CCEEFF"/>
          </w:tcPr>
          <w:p>
            <w:pPr>
              <w:jc w:val="center"/>
              <w:ind w:left="1227"/>
              <w:spacing w:after="0" w:line="166" w:lineRule="exact"/>
              <w:rPr>
                <w:sz w:val="20"/>
                <w:szCs w:val="20"/>
                <w:color w:val="auto"/>
              </w:rPr>
            </w:pPr>
            <w:r>
              <w:rPr>
                <w:rFonts w:ascii="Arial" w:cs="Arial" w:eastAsia="Arial" w:hAnsi="Arial"/>
                <w:sz w:val="15"/>
                <w:szCs w:val="15"/>
                <w:i w:val="1"/>
                <w:iCs w:val="1"/>
                <w:color w:val="auto"/>
                <w:w w:val="95"/>
              </w:rPr>
              <w:t>12</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33,191</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33,180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80" w:type="dxa"/>
            <w:vAlign w:val="bottom"/>
            <w:tcBorders>
              <w:bottom w:val="single" w:sz="8" w:color="CCEEFF"/>
            </w:tcBorders>
          </w:tcPr>
          <w:p>
            <w:pPr>
              <w:ind w:left="60"/>
              <w:spacing w:after="0" w:line="166" w:lineRule="exact"/>
              <w:rPr>
                <w:sz w:val="20"/>
                <w:szCs w:val="20"/>
                <w:color w:val="auto"/>
              </w:rPr>
            </w:pPr>
            <w:r>
              <w:rPr>
                <w:rFonts w:ascii="Arial" w:cs="Arial" w:eastAsia="Arial" w:hAnsi="Arial"/>
                <w:sz w:val="15"/>
                <w:szCs w:val="15"/>
                <w:color w:val="auto"/>
              </w:rPr>
              <w:t>Accumulated deficit</w:t>
            </w:r>
          </w:p>
        </w:tc>
        <w:tc>
          <w:tcPr>
            <w:tcW w:w="21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(87,690)</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(110,680)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equity</w:t>
            </w:r>
          </w:p>
        </w:tc>
        <w:tc>
          <w:tcPr>
            <w:tcW w:w="21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100,289</w:t>
            </w:r>
          </w:p>
        </w:tc>
        <w:tc>
          <w:tcPr>
            <w:tcW w:w="16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80,659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bottom w:val="single" w:sz="8" w:color="CCEEFF"/>
            </w:tcBorders>
          </w:tcPr>
          <w:p>
            <w:pPr>
              <w:spacing w:after="0" w:line="157" w:lineRule="exact"/>
              <w:rPr>
                <w:sz w:val="20"/>
                <w:szCs w:val="20"/>
                <w:color w:val="auto"/>
              </w:rPr>
            </w:pPr>
            <w:r>
              <w:rPr>
                <w:rFonts w:ascii="Arial" w:cs="Arial" w:eastAsia="Arial" w:hAnsi="Arial"/>
                <w:sz w:val="15"/>
                <w:szCs w:val="15"/>
                <w:b w:val="1"/>
                <w:bCs w:val="1"/>
                <w:color w:val="auto"/>
              </w:rPr>
              <w:t>Total liabilities and equity</w:t>
            </w:r>
          </w:p>
        </w:tc>
        <w:tc>
          <w:tcPr>
            <w:tcW w:w="21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290,137</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274,287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80" w:type="dxa"/>
            <w:vAlign w:val="bottom"/>
            <w:tcBorders>
              <w:bottom w:val="single" w:sz="8" w:color="auto"/>
            </w:tcBorders>
            <w:shd w:val="clear" w:color="auto" w:fill="CCEEFF"/>
          </w:tcPr>
          <w:p>
            <w:pPr>
              <w:spacing w:after="0"/>
              <w:rPr>
                <w:sz w:val="12"/>
                <w:szCs w:val="12"/>
                <w:color w:val="auto"/>
              </w:rPr>
            </w:pPr>
          </w:p>
        </w:tc>
        <w:tc>
          <w:tcPr>
            <w:tcW w:w="2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Consolidated Statements of Profit or Loss and Other Comprehensive Income (Loss)</w:t>
      </w:r>
    </w:p>
    <w:p>
      <w:pPr>
        <w:ind w:left="40"/>
        <w:spacing w:after="0"/>
        <w:rPr>
          <w:sz w:val="20"/>
          <w:szCs w:val="20"/>
          <w:color w:val="auto"/>
        </w:rPr>
      </w:pPr>
      <w:r>
        <w:rPr>
          <w:rFonts w:ascii="Arial" w:cs="Arial" w:eastAsia="Arial" w:hAnsi="Arial"/>
          <w:sz w:val="15"/>
          <w:szCs w:val="15"/>
          <w:i w:val="1"/>
          <w:iCs w:val="1"/>
          <w:color w:val="auto"/>
        </w:rPr>
        <w:t>For the years ended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5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2"/>
                <w:szCs w:val="12"/>
                <w:b w:val="1"/>
                <w:bCs w:val="1"/>
                <w:i w:val="1"/>
                <w:iCs w:val="1"/>
                <w:color w:val="auto"/>
              </w:rPr>
              <w:t>Notes</w:t>
            </w:r>
          </w:p>
        </w:tc>
        <w:tc>
          <w:tcPr>
            <w:tcW w:w="11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June 30, 2022</w:t>
            </w:r>
          </w:p>
        </w:tc>
        <w:tc>
          <w:tcPr>
            <w:tcW w:w="1120" w:type="dxa"/>
            <w:vAlign w:val="bottom"/>
            <w:tcBorders>
              <w:top w:val="single" w:sz="8" w:color="auto"/>
              <w:bottom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97"/>
              </w:rPr>
              <w:t>June 30, 2021</w:t>
            </w:r>
          </w:p>
        </w:tc>
        <w:tc>
          <w:tcPr>
            <w:tcW w:w="9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June 30, 2020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140"/>
              <w:spacing w:after="0" w:line="124" w:lineRule="exact"/>
              <w:rPr>
                <w:sz w:val="20"/>
                <w:szCs w:val="20"/>
                <w:color w:val="auto"/>
              </w:rPr>
            </w:pPr>
            <w:r>
              <w:rPr>
                <w:rFonts w:ascii="Arial" w:cs="Arial" w:eastAsia="Arial" w:hAnsi="Arial"/>
                <w:sz w:val="12"/>
                <w:szCs w:val="12"/>
                <w:b w:val="1"/>
                <w:bCs w:val="1"/>
                <w:color w:val="auto"/>
                <w:w w:val="98"/>
              </w:rPr>
              <w:t>(US$’000)</w:t>
            </w: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Revenue</w:t>
            </w:r>
          </w:p>
        </w:tc>
        <w:tc>
          <w:tcPr>
            <w:tcW w:w="1160" w:type="dxa"/>
            <w:vAlign w:val="bottom"/>
            <w:shd w:val="clear" w:color="auto" w:fill="CCEEFF"/>
          </w:tcPr>
          <w:p>
            <w:pPr>
              <w:jc w:val="center"/>
              <w:ind w:left="328"/>
              <w:spacing w:after="0" w:line="157" w:lineRule="exact"/>
              <w:rPr>
                <w:sz w:val="20"/>
                <w:szCs w:val="20"/>
                <w:color w:val="auto"/>
              </w:rPr>
            </w:pPr>
            <w:r>
              <w:rPr>
                <w:rFonts w:ascii="Arial" w:cs="Arial" w:eastAsia="Arial" w:hAnsi="Arial"/>
                <w:sz w:val="15"/>
                <w:szCs w:val="15"/>
                <w:i w:val="1"/>
                <w:iCs w:val="1"/>
                <w:color w:val="auto"/>
                <w:w w:val="95"/>
              </w:rPr>
              <w:t>25</w:t>
            </w: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493,572</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443,662</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405,135</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Payroll and related costs</w:t>
            </w:r>
          </w:p>
        </w:tc>
        <w:tc>
          <w:tcPr>
            <w:tcW w:w="1160" w:type="dxa"/>
            <w:vAlign w:val="bottom"/>
            <w:shd w:val="clear" w:color="auto" w:fill="CCEEFF"/>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26</w:t>
            </w: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342,139</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296,799</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276,255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tcPr>
          <w:p>
            <w:pPr>
              <w:spacing w:after="0" w:line="166" w:lineRule="exact"/>
              <w:rPr>
                <w:sz w:val="20"/>
                <w:szCs w:val="20"/>
                <w:color w:val="auto"/>
              </w:rPr>
            </w:pPr>
            <w:r>
              <w:rPr>
                <w:rFonts w:ascii="Arial" w:cs="Arial" w:eastAsia="Arial" w:hAnsi="Arial"/>
                <w:sz w:val="15"/>
                <w:szCs w:val="15"/>
                <w:color w:val="auto"/>
              </w:rPr>
              <w:t>Share-based payments</w:t>
            </w:r>
          </w:p>
        </w:tc>
        <w:tc>
          <w:tcPr>
            <w:tcW w:w="1160" w:type="dxa"/>
            <w:vAlign w:val="bottom"/>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19</w:t>
            </w: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1,851</w:t>
            </w:r>
          </w:p>
        </w:tc>
        <w:tc>
          <w:tcPr>
            <w:tcW w:w="14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4,521</w:t>
            </w:r>
          </w:p>
        </w:tc>
        <w:tc>
          <w:tcPr>
            <w:tcW w:w="160" w:type="dxa"/>
            <w:vAlign w:val="bottom"/>
          </w:tcPr>
          <w:p>
            <w:pPr>
              <w:spacing w:after="0"/>
              <w:rPr>
                <w:sz w:val="14"/>
                <w:szCs w:val="14"/>
                <w:color w:val="auto"/>
              </w:rPr>
            </w:pP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Reseller commission and lead expenses</w:t>
            </w: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12,908</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13,749</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17,328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tcPr>
          <w:p>
            <w:pPr>
              <w:spacing w:after="0" w:line="166" w:lineRule="exact"/>
              <w:rPr>
                <w:sz w:val="20"/>
                <w:szCs w:val="20"/>
                <w:color w:val="auto"/>
              </w:rPr>
            </w:pPr>
            <w:r>
              <w:rPr>
                <w:rFonts w:ascii="Arial" w:cs="Arial" w:eastAsia="Arial" w:hAnsi="Arial"/>
                <w:sz w:val="15"/>
                <w:szCs w:val="15"/>
                <w:color w:val="auto"/>
              </w:rPr>
              <w:t>Depreciation and amortization</w:t>
            </w:r>
          </w:p>
        </w:tc>
        <w:tc>
          <w:tcPr>
            <w:tcW w:w="116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34,179</w:t>
            </w:r>
          </w:p>
        </w:tc>
        <w:tc>
          <w:tcPr>
            <w:tcW w:w="14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28,197</w:t>
            </w:r>
          </w:p>
        </w:tc>
        <w:tc>
          <w:tcPr>
            <w:tcW w:w="160" w:type="dxa"/>
            <w:vAlign w:val="bottom"/>
          </w:tcPr>
          <w:p>
            <w:pPr>
              <w:spacing w:after="0"/>
              <w:rPr>
                <w:sz w:val="14"/>
                <w:szCs w:val="14"/>
                <w:color w:val="auto"/>
              </w:rPr>
            </w:pP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24,472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Fair value measurement of share warrants</w:t>
            </w:r>
          </w:p>
        </w:tc>
        <w:tc>
          <w:tcPr>
            <w:tcW w:w="1160" w:type="dxa"/>
            <w:vAlign w:val="bottom"/>
            <w:shd w:val="clear" w:color="auto" w:fill="CCEEFF"/>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28</w:t>
            </w: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(2,310)</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9,732</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3,138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Other operating costs</w:t>
            </w:r>
          </w:p>
        </w:tc>
        <w:tc>
          <w:tcPr>
            <w:tcW w:w="1160" w:type="dxa"/>
            <w:vAlign w:val="bottom"/>
            <w:tcBorders>
              <w:bottom w:val="single" w:sz="8" w:color="CCEEFF"/>
            </w:tcBorders>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27</w:t>
            </w: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75,005</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76,865</w:t>
            </w: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64,070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Income from operations</w:t>
            </w: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29,800</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13,799</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19,513</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Finance expenses</w:t>
            </w:r>
          </w:p>
        </w:tc>
        <w:tc>
          <w:tcPr>
            <w:tcW w:w="1160" w:type="dxa"/>
            <w:vAlign w:val="bottom"/>
            <w:shd w:val="clear" w:color="auto" w:fill="CCEEFF"/>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17</w:t>
            </w:r>
          </w:p>
        </w:tc>
        <w:tc>
          <w:tcPr>
            <w:tcW w:w="9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(8,797)</w:t>
            </w:r>
          </w:p>
        </w:tc>
        <w:tc>
          <w:tcPr>
            <w:tcW w:w="14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(9,034)</w:t>
            </w:r>
          </w:p>
        </w:tc>
        <w:tc>
          <w:tcPr>
            <w:tcW w:w="16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(9,428)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tcPr>
          <w:p>
            <w:pPr>
              <w:spacing w:after="0" w:line="157" w:lineRule="exact"/>
              <w:rPr>
                <w:sz w:val="20"/>
                <w:szCs w:val="20"/>
                <w:color w:val="auto"/>
              </w:rPr>
            </w:pPr>
            <w:r>
              <w:rPr>
                <w:rFonts w:ascii="Arial" w:cs="Arial" w:eastAsia="Arial" w:hAnsi="Arial"/>
                <w:sz w:val="15"/>
                <w:szCs w:val="15"/>
                <w:b w:val="1"/>
                <w:bCs w:val="1"/>
                <w:color w:val="auto"/>
              </w:rPr>
              <w:t>Income / (loss) before taxation</w:t>
            </w:r>
          </w:p>
        </w:tc>
        <w:tc>
          <w:tcPr>
            <w:tcW w:w="116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21,003</w:t>
            </w:r>
          </w:p>
        </w:tc>
        <w:tc>
          <w:tcPr>
            <w:tcW w:w="14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4,765</w:t>
            </w: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5"/>
                <w:szCs w:val="15"/>
                <w:b w:val="1"/>
                <w:bCs w:val="1"/>
                <w:color w:val="auto"/>
              </w:rPr>
              <w:t>10,085</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6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Income tax expense</w:t>
            </w:r>
          </w:p>
        </w:tc>
        <w:tc>
          <w:tcPr>
            <w:tcW w:w="1160" w:type="dxa"/>
            <w:vAlign w:val="bottom"/>
            <w:tcBorders>
              <w:bottom w:val="single" w:sz="8" w:color="CCEEFF"/>
            </w:tcBorders>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18</w:t>
            </w: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1,987</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(1,918)</w:t>
            </w: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(2,315)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Net income for the year</w:t>
            </w: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22,990</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2,847</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7,770</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6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Other comprehensive income / (loss)</w:t>
            </w: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tcPr>
          <w:p>
            <w:pPr>
              <w:spacing w:after="0" w:line="166" w:lineRule="exact"/>
              <w:rPr>
                <w:sz w:val="20"/>
                <w:szCs w:val="20"/>
                <w:color w:val="auto"/>
              </w:rPr>
            </w:pPr>
            <w:r>
              <w:rPr>
                <w:rFonts w:ascii="Arial" w:cs="Arial" w:eastAsia="Arial" w:hAnsi="Arial"/>
                <w:sz w:val="15"/>
                <w:szCs w:val="15"/>
                <w:i w:val="1"/>
                <w:iCs w:val="1"/>
                <w:color w:val="auto"/>
              </w:rPr>
              <w:t>Item that will not be subsequently reclassified to profit or loss</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Actuarial (loss) / gain on retirement benefits</w:t>
            </w:r>
          </w:p>
        </w:tc>
        <w:tc>
          <w:tcPr>
            <w:tcW w:w="1160" w:type="dxa"/>
            <w:vAlign w:val="bottom"/>
            <w:shd w:val="clear" w:color="auto" w:fill="CCEEFF"/>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14.1</w:t>
            </w: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287</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(26)</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tcPr>
          <w:p>
            <w:pPr>
              <w:spacing w:after="0" w:line="166" w:lineRule="exact"/>
              <w:rPr>
                <w:sz w:val="20"/>
                <w:szCs w:val="20"/>
                <w:color w:val="auto"/>
              </w:rPr>
            </w:pPr>
            <w:r>
              <w:rPr>
                <w:rFonts w:ascii="Arial" w:cs="Arial" w:eastAsia="Arial" w:hAnsi="Arial"/>
                <w:sz w:val="15"/>
                <w:szCs w:val="15"/>
                <w:i w:val="1"/>
                <w:iCs w:val="1"/>
                <w:color w:val="auto"/>
              </w:rPr>
              <w:t>Item that will be subsequently reclassified to profit or loss</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shd w:val="clear" w:color="auto" w:fill="CCEEFF"/>
          </w:tcPr>
          <w:p>
            <w:pPr>
              <w:ind w:left="60"/>
              <w:spacing w:after="0" w:line="166" w:lineRule="exact"/>
              <w:rPr>
                <w:sz w:val="20"/>
                <w:szCs w:val="20"/>
                <w:color w:val="auto"/>
              </w:rPr>
            </w:pPr>
            <w:r>
              <w:rPr>
                <w:rFonts w:ascii="Arial" w:cs="Arial" w:eastAsia="Arial" w:hAnsi="Arial"/>
                <w:sz w:val="15"/>
                <w:szCs w:val="15"/>
                <w:color w:val="auto"/>
              </w:rPr>
              <w:t>Foreign currency translation adjustment</w:t>
            </w: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(1,771)</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(122)</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tcBorders>
              <w:bottom w:val="single" w:sz="8" w:color="CCEEFF"/>
            </w:tcBorders>
          </w:tcPr>
          <w:p>
            <w:pPr>
              <w:ind w:left="60"/>
              <w:spacing w:after="0" w:line="166" w:lineRule="exact"/>
              <w:rPr>
                <w:sz w:val="20"/>
                <w:szCs w:val="20"/>
                <w:color w:val="auto"/>
              </w:rPr>
            </w:pPr>
            <w:r>
              <w:rPr>
                <w:rFonts w:ascii="Arial" w:cs="Arial" w:eastAsia="Arial" w:hAnsi="Arial"/>
                <w:sz w:val="15"/>
                <w:szCs w:val="15"/>
                <w:color w:val="auto"/>
              </w:rPr>
              <w:t>Cash flow hedge - changes in fair value</w:t>
            </w:r>
          </w:p>
        </w:tc>
        <w:tc>
          <w:tcPr>
            <w:tcW w:w="1160" w:type="dxa"/>
            <w:vAlign w:val="bottom"/>
            <w:tcBorders>
              <w:bottom w:val="single" w:sz="8" w:color="CCEEFF"/>
            </w:tcBorders>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15.2</w:t>
            </w: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(323)</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202</w:t>
            </w: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(1,807)</w:t>
            </w:r>
          </w:p>
        </w:tc>
        <w:tc>
          <w:tcPr>
            <w:tcW w:w="1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54</w:t>
            </w:r>
          </w:p>
        </w:tc>
        <w:tc>
          <w:tcPr>
            <w:tcW w:w="16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(950)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tcPr>
          <w:p>
            <w:pPr>
              <w:spacing w:after="0" w:line="157" w:lineRule="exact"/>
              <w:rPr>
                <w:sz w:val="20"/>
                <w:szCs w:val="20"/>
                <w:color w:val="auto"/>
              </w:rPr>
            </w:pPr>
            <w:r>
              <w:rPr>
                <w:rFonts w:ascii="Arial" w:cs="Arial" w:eastAsia="Arial" w:hAnsi="Arial"/>
                <w:sz w:val="15"/>
                <w:szCs w:val="15"/>
                <w:b w:val="1"/>
                <w:bCs w:val="1"/>
                <w:color w:val="auto"/>
              </w:rPr>
              <w:t>Total comprehensive income for the year</w:t>
            </w:r>
          </w:p>
        </w:tc>
        <w:tc>
          <w:tcPr>
            <w:tcW w:w="11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21,183</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2,901</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6,820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(US$)</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Earnings / (loss) per share</w:t>
            </w: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tcPr>
          <w:p>
            <w:pPr>
              <w:spacing w:after="0" w:line="166" w:lineRule="exact"/>
              <w:rPr>
                <w:sz w:val="20"/>
                <w:szCs w:val="20"/>
                <w:color w:val="auto"/>
              </w:rPr>
            </w:pPr>
            <w:r>
              <w:rPr>
                <w:rFonts w:ascii="Arial" w:cs="Arial" w:eastAsia="Arial" w:hAnsi="Arial"/>
                <w:sz w:val="15"/>
                <w:szCs w:val="15"/>
                <w:color w:val="auto"/>
              </w:rPr>
              <w:t>Basic earnings per share</w:t>
            </w:r>
          </w:p>
        </w:tc>
        <w:tc>
          <w:tcPr>
            <w:tcW w:w="1160" w:type="dxa"/>
            <w:vAlign w:val="bottom"/>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20</w:t>
            </w: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1.26</w:t>
            </w:r>
          </w:p>
        </w:tc>
        <w:tc>
          <w:tcPr>
            <w:tcW w:w="14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0.16</w:t>
            </w:r>
          </w:p>
        </w:tc>
        <w:tc>
          <w:tcPr>
            <w:tcW w:w="160" w:type="dxa"/>
            <w:vAlign w:val="bottom"/>
          </w:tcPr>
          <w:p>
            <w:pPr>
              <w:spacing w:after="0"/>
              <w:rPr>
                <w:sz w:val="14"/>
                <w:szCs w:val="14"/>
                <w:color w:val="auto"/>
              </w:rPr>
            </w:pP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Diluted earnings / (loss) per share</w:t>
            </w:r>
          </w:p>
        </w:tc>
        <w:tc>
          <w:tcPr>
            <w:tcW w:w="1160" w:type="dxa"/>
            <w:vAlign w:val="bottom"/>
            <w:shd w:val="clear" w:color="auto" w:fill="CCEEFF"/>
          </w:tcPr>
          <w:p>
            <w:pPr>
              <w:jc w:val="center"/>
              <w:ind w:left="328"/>
              <w:spacing w:after="0" w:line="166" w:lineRule="exact"/>
              <w:rPr>
                <w:sz w:val="20"/>
                <w:szCs w:val="20"/>
                <w:color w:val="auto"/>
              </w:rPr>
            </w:pPr>
            <w:r>
              <w:rPr>
                <w:rFonts w:ascii="Arial" w:cs="Arial" w:eastAsia="Arial" w:hAnsi="Arial"/>
                <w:sz w:val="15"/>
                <w:szCs w:val="15"/>
                <w:i w:val="1"/>
                <w:iCs w:val="1"/>
                <w:color w:val="auto"/>
                <w:w w:val="95"/>
              </w:rPr>
              <w:t>20</w:t>
            </w: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1.23</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0.15</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Changes in Equity</w:t>
      </w:r>
    </w:p>
    <w:p>
      <w:pPr>
        <w:spacing w:after="0"/>
        <w:rPr>
          <w:sz w:val="20"/>
          <w:szCs w:val="20"/>
          <w:color w:val="auto"/>
        </w:rPr>
      </w:pPr>
      <w:r>
        <w:rPr>
          <w:rFonts w:ascii="Arial" w:cs="Arial" w:eastAsia="Arial" w:hAnsi="Arial"/>
          <w:sz w:val="15"/>
          <w:szCs w:val="15"/>
          <w:i w:val="1"/>
          <w:iCs w:val="1"/>
          <w:color w:val="auto"/>
        </w:rPr>
        <w:t>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600519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6005195" cy="698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4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1"/>
                <w:szCs w:val="11"/>
                <w:b w:val="1"/>
                <w:bCs w:val="1"/>
                <w:color w:val="auto"/>
              </w:rPr>
              <w:t>Share Capital &amp; Paid in Capital</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rPr>
              <w:t>Other Reserves</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Additional</w:t>
            </w:r>
          </w:p>
        </w:tc>
        <w:tc>
          <w:tcPr>
            <w:tcW w:w="74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Re-</w:t>
            </w:r>
          </w:p>
        </w:tc>
        <w:tc>
          <w:tcPr>
            <w:tcW w:w="5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7"/>
              </w:rPr>
              <w:t>Share</w:t>
            </w:r>
          </w:p>
        </w:tc>
        <w:tc>
          <w:tcPr>
            <w:tcW w:w="80" w:type="dxa"/>
            <w:vAlign w:val="bottom"/>
          </w:tcPr>
          <w:p>
            <w:pPr>
              <w:spacing w:after="0"/>
              <w:rPr>
                <w:sz w:val="8"/>
                <w:szCs w:val="8"/>
                <w:color w:val="auto"/>
              </w:rPr>
            </w:pPr>
          </w:p>
        </w:tc>
        <w:tc>
          <w:tcPr>
            <w:tcW w:w="10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Foreign Currency</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98"/>
              </w:rPr>
              <w:t>Total</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rPr>
              <w:t>Share</w:t>
            </w:r>
          </w:p>
        </w:tc>
        <w:tc>
          <w:tcPr>
            <w:tcW w:w="82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Paid in</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rPr>
              <w:t>organization</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Option</w:t>
            </w:r>
          </w:p>
        </w:tc>
        <w:tc>
          <w:tcPr>
            <w:tcW w:w="80" w:type="dxa"/>
            <w:vAlign w:val="bottom"/>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7"/>
              </w:rPr>
              <w:t>Translation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rPr>
              <w:t>Other</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rPr>
              <w:t>Accumulated</w:t>
            </w:r>
          </w:p>
        </w:tc>
        <w:tc>
          <w:tcPr>
            <w:tcW w:w="840" w:type="dxa"/>
            <w:vAlign w:val="bottom"/>
          </w:tcPr>
          <w:p>
            <w:pPr>
              <w:jc w:val="right"/>
              <w:ind w:right="245"/>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2"/>
        </w:trPr>
        <w:tc>
          <w:tcPr>
            <w:tcW w:w="2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8"/>
              </w:rPr>
              <w:t>Capital</w:t>
            </w: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Capital</w:t>
            </w:r>
          </w:p>
        </w:tc>
        <w:tc>
          <w:tcPr>
            <w:tcW w:w="7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8"/>
              </w:rPr>
              <w:t>Reserve</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Plans</w:t>
            </w: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8"/>
              </w:rPr>
              <w:t>Reserve</w:t>
            </w: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Others</w:t>
            </w:r>
          </w:p>
        </w:tc>
        <w:tc>
          <w:tcPr>
            <w:tcW w:w="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8"/>
              </w:rPr>
              <w:t>Reserves</w:t>
            </w: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Deficit</w:t>
            </w:r>
          </w:p>
        </w:tc>
        <w:tc>
          <w:tcPr>
            <w:tcW w:w="84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3"/>
        </w:trPr>
        <w:tc>
          <w:tcPr>
            <w:tcW w:w="2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center"/>
              <w:ind w:right="220"/>
              <w:spacing w:after="0" w:line="113" w:lineRule="exact"/>
              <w:rPr>
                <w:sz w:val="20"/>
                <w:szCs w:val="20"/>
                <w:color w:val="auto"/>
              </w:rPr>
            </w:pPr>
            <w:r>
              <w:rPr>
                <w:rFonts w:ascii="Arial" w:cs="Arial" w:eastAsia="Arial" w:hAnsi="Arial"/>
                <w:sz w:val="11"/>
                <w:szCs w:val="11"/>
                <w:b w:val="1"/>
                <w:bCs w:val="1"/>
                <w:color w:val="auto"/>
                <w:w w:val="99"/>
              </w:rPr>
              <w:t>(US$’000)</w:t>
            </w: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420" w:type="dxa"/>
            <w:vAlign w:val="bottom"/>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Balance, June 30, 2019</w:t>
            </w:r>
          </w:p>
        </w:tc>
        <w:tc>
          <w:tcPr>
            <w:tcW w:w="8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12</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96,207</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9,744</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19,601</w:t>
            </w:r>
          </w:p>
        </w:tc>
        <w:tc>
          <w:tcPr>
            <w:tcW w:w="10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(844)</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1,084</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29,585</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(117,176)</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8,628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b w:val="1"/>
                <w:bCs w:val="1"/>
                <w:color w:val="auto"/>
              </w:rPr>
              <w:t>Comprehensive income / (loss) for the year</w:t>
            </w: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Profit for the year ended June 30, 2020</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7,770</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7,770</w:t>
            </w: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Other Comprehensive Loss</w:t>
            </w:r>
          </w:p>
        </w:tc>
        <w:tc>
          <w:tcPr>
            <w:tcW w:w="10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(248)</w:t>
            </w: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(702)</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(950)</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91"/>
        </w:trPr>
        <w:tc>
          <w:tcPr>
            <w:tcW w:w="2420" w:type="dxa"/>
            <w:vAlign w:val="bottom"/>
            <w:tcBorders>
              <w:top w:val="single" w:sz="8" w:color="CCEEFF"/>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Total Comprehensive income / (loss) for the</w:t>
            </w: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year</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(248)</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(702)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(950)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7,770</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6,820</w:t>
            </w: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b w:val="1"/>
                <w:bCs w:val="1"/>
                <w:color w:val="auto"/>
              </w:rPr>
              <w:t>Transactions with Owners</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4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Repurchase of Share-based transaction (Note</w:t>
            </w: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CEEFF"/>
          </w:tcPr>
          <w:p>
            <w:pPr>
              <w:spacing w:after="0"/>
              <w:rPr>
                <w:sz w:val="20"/>
                <w:szCs w:val="20"/>
                <w:color w:val="auto"/>
              </w:rPr>
            </w:pPr>
            <w:r>
              <w:rPr>
                <w:rFonts w:ascii="Arial" w:cs="Arial" w:eastAsia="Arial" w:hAnsi="Arial"/>
                <w:sz w:val="11"/>
                <w:szCs w:val="11"/>
                <w:color w:val="auto"/>
              </w:rPr>
              <w:t>30.2)</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Dividend distribution (Note 21)</w:t>
            </w:r>
          </w:p>
        </w:tc>
        <w:tc>
          <w:tcPr>
            <w:tcW w:w="10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(121)</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Share-based transactions (Note 19)</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834</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834</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834</w:t>
            </w:r>
          </w:p>
        </w:tc>
        <w:tc>
          <w:tcPr>
            <w:tcW w:w="0" w:type="dxa"/>
            <w:vAlign w:val="bottom"/>
          </w:tcPr>
          <w:p>
            <w:pPr>
              <w:spacing w:after="0"/>
              <w:rPr>
                <w:sz w:val="1"/>
                <w:szCs w:val="1"/>
                <w:color w:val="auto"/>
              </w:rPr>
            </w:pPr>
          </w:p>
        </w:tc>
      </w:tr>
      <w:tr>
        <w:trPr>
          <w:trHeight w:val="153"/>
        </w:trPr>
        <w:tc>
          <w:tcPr>
            <w:tcW w:w="242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b w:val="1"/>
                <w:bCs w:val="1"/>
                <w:color w:val="auto"/>
              </w:rPr>
              <w:t>Balance, June 30, 2020</w:t>
            </w:r>
          </w:p>
        </w:tc>
        <w:tc>
          <w:tcPr>
            <w:tcW w:w="1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12</w:t>
            </w:r>
          </w:p>
        </w:tc>
        <w:tc>
          <w:tcPr>
            <w:tcW w:w="12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96,207</w:t>
            </w:r>
          </w:p>
        </w:tc>
        <w:tc>
          <w:tcPr>
            <w:tcW w:w="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9,827</w:t>
            </w:r>
          </w:p>
        </w:tc>
        <w:tc>
          <w:tcPr>
            <w:tcW w:w="8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20,339</w:t>
            </w:r>
          </w:p>
        </w:tc>
        <w:tc>
          <w:tcPr>
            <w:tcW w:w="8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(1,092)</w:t>
            </w:r>
          </w:p>
        </w:tc>
        <w:tc>
          <w:tcPr>
            <w:tcW w:w="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382</w:t>
            </w:r>
          </w:p>
        </w:tc>
        <w:tc>
          <w:tcPr>
            <w:tcW w:w="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29,456</w:t>
            </w:r>
          </w:p>
        </w:tc>
        <w:tc>
          <w:tcPr>
            <w:tcW w:w="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(109,527)</w:t>
            </w: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16,148</w:t>
            </w:r>
          </w:p>
        </w:tc>
        <w:tc>
          <w:tcPr>
            <w:tcW w:w="0" w:type="dxa"/>
            <w:vAlign w:val="bottom"/>
          </w:tcPr>
          <w:p>
            <w:pPr>
              <w:spacing w:after="0"/>
              <w:rPr>
                <w:sz w:val="1"/>
                <w:szCs w:val="1"/>
                <w:color w:val="auto"/>
              </w:rPr>
            </w:pPr>
          </w:p>
        </w:tc>
      </w:tr>
      <w:tr>
        <w:trPr>
          <w:trHeight w:val="95"/>
        </w:trPr>
        <w:tc>
          <w:tcPr>
            <w:tcW w:w="242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Comprehensive income / (loss) for the year</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Profit for the year ended June 30, 2021</w:t>
            </w:r>
          </w:p>
        </w:tc>
        <w:tc>
          <w:tcPr>
            <w:tcW w:w="10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2,847</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2,847</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Comprehensive (Loss) / Income</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(122)</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176</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91"/>
        </w:trPr>
        <w:tc>
          <w:tcPr>
            <w:tcW w:w="2420" w:type="dxa"/>
            <w:vAlign w:val="bottom"/>
          </w:tcPr>
          <w:p>
            <w:pPr>
              <w:spacing w:after="0" w:line="92" w:lineRule="exact"/>
              <w:rPr>
                <w:sz w:val="20"/>
                <w:szCs w:val="20"/>
                <w:color w:val="auto"/>
              </w:rPr>
            </w:pPr>
            <w:r>
              <w:rPr>
                <w:rFonts w:ascii="Arial" w:cs="Arial" w:eastAsia="Arial" w:hAnsi="Arial"/>
                <w:sz w:val="10"/>
                <w:szCs w:val="10"/>
                <w:b w:val="1"/>
                <w:bCs w:val="1"/>
                <w:color w:val="auto"/>
              </w:rPr>
              <w:t>Total Comprehensive income / (loss) for the</w:t>
            </w: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420" w:type="dxa"/>
            <w:vAlign w:val="bottom"/>
          </w:tcPr>
          <w:p>
            <w:pPr>
              <w:spacing w:after="0"/>
              <w:rPr>
                <w:sz w:val="20"/>
                <w:szCs w:val="20"/>
                <w:color w:val="auto"/>
              </w:rPr>
            </w:pPr>
            <w:r>
              <w:rPr>
                <w:rFonts w:ascii="Arial" w:cs="Arial" w:eastAsia="Arial" w:hAnsi="Arial"/>
                <w:sz w:val="11"/>
                <w:szCs w:val="11"/>
                <w:b w:val="1"/>
                <w:bCs w:val="1"/>
                <w:color w:val="auto"/>
              </w:rPr>
              <w:t>year</w:t>
            </w:r>
          </w:p>
        </w:tc>
        <w:tc>
          <w:tcPr>
            <w:tcW w:w="10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(122)</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2,847</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2,901</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Transactions with Owners</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420" w:type="dxa"/>
            <w:vAlign w:val="bottom"/>
          </w:tcPr>
          <w:p>
            <w:pPr>
              <w:spacing w:after="0" w:line="111" w:lineRule="exact"/>
              <w:rPr>
                <w:sz w:val="20"/>
                <w:szCs w:val="20"/>
                <w:color w:val="auto"/>
              </w:rPr>
            </w:pPr>
            <w:r>
              <w:rPr>
                <w:rFonts w:ascii="Arial" w:cs="Arial" w:eastAsia="Arial" w:hAnsi="Arial"/>
                <w:sz w:val="11"/>
                <w:szCs w:val="11"/>
                <w:color w:val="auto"/>
              </w:rPr>
              <w:t>(Redemption) / issue of ordinary shares (Note</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420" w:type="dxa"/>
            <w:vAlign w:val="bottom"/>
          </w:tcPr>
          <w:p>
            <w:pPr>
              <w:spacing w:after="0"/>
              <w:rPr>
                <w:sz w:val="20"/>
                <w:szCs w:val="20"/>
                <w:color w:val="auto"/>
              </w:rPr>
            </w:pPr>
            <w:r>
              <w:rPr>
                <w:rFonts w:ascii="Arial" w:cs="Arial" w:eastAsia="Arial" w:hAnsi="Arial"/>
                <w:sz w:val="11"/>
                <w:szCs w:val="11"/>
                <w:color w:val="auto"/>
              </w:rPr>
              <w:t>12.3)</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61,922</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61,912</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 options exercised (Note 19.4)</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Dividend distribution (Note 21)</w:t>
            </w:r>
          </w:p>
        </w:tc>
        <w:tc>
          <w:tcPr>
            <w:tcW w:w="10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(4,000)</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(4,000)</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Share-based transactions (Note 19)</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3,670</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3,670</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3,670</w:t>
            </w:r>
          </w:p>
        </w:tc>
        <w:tc>
          <w:tcPr>
            <w:tcW w:w="0" w:type="dxa"/>
            <w:vAlign w:val="bottom"/>
          </w:tcPr>
          <w:p>
            <w:pPr>
              <w:spacing w:after="0"/>
              <w:rPr>
                <w:sz w:val="1"/>
                <w:szCs w:val="1"/>
                <w:color w:val="auto"/>
              </w:rPr>
            </w:pPr>
          </w:p>
        </w:tc>
      </w:tr>
      <w:tr>
        <w:trPr>
          <w:trHeight w:val="153"/>
        </w:trPr>
        <w:tc>
          <w:tcPr>
            <w:tcW w:w="242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b w:val="1"/>
                <w:bCs w:val="1"/>
                <w:color w:val="auto"/>
              </w:rPr>
              <w:t>Balance, June 30, 2021</w:t>
            </w:r>
          </w:p>
        </w:tc>
        <w:tc>
          <w:tcPr>
            <w:tcW w:w="1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158,157</w:t>
            </w:r>
          </w:p>
        </w:tc>
        <w:tc>
          <w:tcPr>
            <w:tcW w:w="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9,827</w:t>
            </w:r>
          </w:p>
        </w:tc>
        <w:tc>
          <w:tcPr>
            <w:tcW w:w="8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24,009</w:t>
            </w:r>
          </w:p>
        </w:tc>
        <w:tc>
          <w:tcPr>
            <w:tcW w:w="8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60"/>
              <w:spacing w:after="0" w:line="113" w:lineRule="exact"/>
              <w:rPr>
                <w:sz w:val="20"/>
                <w:szCs w:val="20"/>
                <w:color w:val="auto"/>
              </w:rPr>
            </w:pPr>
            <w:r>
              <w:rPr>
                <w:rFonts w:ascii="Arial" w:cs="Arial" w:eastAsia="Arial" w:hAnsi="Arial"/>
                <w:sz w:val="11"/>
                <w:szCs w:val="11"/>
                <w:b w:val="1"/>
                <w:bCs w:val="1"/>
                <w:color w:val="auto"/>
              </w:rPr>
              <w:t>(1,214)</w:t>
            </w:r>
          </w:p>
        </w:tc>
        <w:tc>
          <w:tcPr>
            <w:tcW w:w="6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558</w:t>
            </w:r>
          </w:p>
        </w:tc>
        <w:tc>
          <w:tcPr>
            <w:tcW w:w="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33,180</w:t>
            </w:r>
          </w:p>
        </w:tc>
        <w:tc>
          <w:tcPr>
            <w:tcW w:w="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(110,680)</w:t>
            </w: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80,659</w:t>
            </w:r>
          </w:p>
        </w:tc>
        <w:tc>
          <w:tcPr>
            <w:tcW w:w="0" w:type="dxa"/>
            <w:vAlign w:val="bottom"/>
          </w:tcPr>
          <w:p>
            <w:pPr>
              <w:spacing w:after="0"/>
              <w:rPr>
                <w:sz w:val="1"/>
                <w:szCs w:val="1"/>
                <w:color w:val="auto"/>
              </w:rPr>
            </w:pPr>
          </w:p>
        </w:tc>
      </w:tr>
      <w:tr>
        <w:trPr>
          <w:trHeight w:val="95"/>
        </w:trPr>
        <w:tc>
          <w:tcPr>
            <w:tcW w:w="242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Comprehensive income / (loss) for the year</w:t>
            </w: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Profit for the year ended June 30, 2022</w:t>
            </w:r>
          </w:p>
        </w:tc>
        <w:tc>
          <w:tcPr>
            <w:tcW w:w="10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22,990</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22,990</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Comprehensive Loss</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(1,771)</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(1,807)</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(1,807)</w:t>
            </w:r>
          </w:p>
        </w:tc>
        <w:tc>
          <w:tcPr>
            <w:tcW w:w="0" w:type="dxa"/>
            <w:vAlign w:val="bottom"/>
          </w:tcPr>
          <w:p>
            <w:pPr>
              <w:spacing w:after="0"/>
              <w:rPr>
                <w:sz w:val="1"/>
                <w:szCs w:val="1"/>
                <w:color w:val="auto"/>
              </w:rPr>
            </w:pPr>
          </w:p>
        </w:tc>
      </w:tr>
      <w:tr>
        <w:trPr>
          <w:trHeight w:val="91"/>
        </w:trPr>
        <w:tc>
          <w:tcPr>
            <w:tcW w:w="2420" w:type="dxa"/>
            <w:vAlign w:val="bottom"/>
          </w:tcPr>
          <w:p>
            <w:pPr>
              <w:spacing w:after="0" w:line="92" w:lineRule="exact"/>
              <w:rPr>
                <w:sz w:val="20"/>
                <w:szCs w:val="20"/>
                <w:color w:val="auto"/>
              </w:rPr>
            </w:pPr>
            <w:r>
              <w:rPr>
                <w:rFonts w:ascii="Arial" w:cs="Arial" w:eastAsia="Arial" w:hAnsi="Arial"/>
                <w:sz w:val="10"/>
                <w:szCs w:val="10"/>
                <w:b w:val="1"/>
                <w:bCs w:val="1"/>
                <w:color w:val="auto"/>
              </w:rPr>
              <w:t>Total Comprehensive income / (loss) for the</w:t>
            </w: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420" w:type="dxa"/>
            <w:vAlign w:val="bottom"/>
          </w:tcPr>
          <w:p>
            <w:pPr>
              <w:spacing w:after="0"/>
              <w:rPr>
                <w:sz w:val="20"/>
                <w:szCs w:val="20"/>
                <w:color w:val="auto"/>
              </w:rPr>
            </w:pPr>
            <w:r>
              <w:rPr>
                <w:rFonts w:ascii="Arial" w:cs="Arial" w:eastAsia="Arial" w:hAnsi="Arial"/>
                <w:sz w:val="11"/>
                <w:szCs w:val="11"/>
                <w:b w:val="1"/>
                <w:bCs w:val="1"/>
                <w:color w:val="auto"/>
              </w:rPr>
              <w:t>year</w:t>
            </w:r>
          </w:p>
        </w:tc>
        <w:tc>
          <w:tcPr>
            <w:tcW w:w="10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1"/>
                <w:szCs w:val="11"/>
                <w:color w:val="auto"/>
              </w:rPr>
              <w:t>(1,771)</w:t>
            </w:r>
          </w:p>
        </w:tc>
        <w:tc>
          <w:tcPr>
            <w:tcW w:w="600" w:type="dxa"/>
            <w:vAlign w:val="bottom"/>
          </w:tcPr>
          <w:p>
            <w:pPr>
              <w:jc w:val="right"/>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(1,807)</w:t>
            </w:r>
          </w:p>
        </w:tc>
        <w:tc>
          <w:tcPr>
            <w:tcW w:w="700" w:type="dxa"/>
            <w:vAlign w:val="bottom"/>
          </w:tcPr>
          <w:p>
            <w:pPr>
              <w:jc w:val="right"/>
              <w:spacing w:after="0"/>
              <w:rPr>
                <w:sz w:val="20"/>
                <w:szCs w:val="20"/>
                <w:color w:val="auto"/>
              </w:rPr>
            </w:pPr>
            <w:r>
              <w:rPr>
                <w:rFonts w:ascii="Arial" w:cs="Arial" w:eastAsia="Arial" w:hAnsi="Arial"/>
                <w:sz w:val="11"/>
                <w:szCs w:val="11"/>
                <w:color w:val="auto"/>
              </w:rPr>
              <w:t>22,990</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21,183</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Transactions with Owners</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Purchase of ordinary shares (Note 12.3)</w:t>
            </w:r>
          </w:p>
        </w:tc>
        <w:tc>
          <w:tcPr>
            <w:tcW w:w="10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(3,406)</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(3,406)</w:t>
            </w: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 options exercised (Note 19.4)</w:t>
            </w: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1"/>
                <w:szCs w:val="11"/>
                <w:color w:val="auto"/>
              </w:rPr>
              <w:t>Share-based transactions (Note 19)</w:t>
            </w:r>
          </w:p>
        </w:tc>
        <w:tc>
          <w:tcPr>
            <w:tcW w:w="10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1,818</w:t>
            </w:r>
          </w:p>
        </w:tc>
        <w:tc>
          <w:tcPr>
            <w:tcW w:w="80" w:type="dxa"/>
            <w:vAlign w:val="bottom"/>
          </w:tcPr>
          <w:p>
            <w:pPr>
              <w:spacing w:after="0"/>
              <w:rPr>
                <w:sz w:val="10"/>
                <w:szCs w:val="10"/>
                <w:color w:val="auto"/>
              </w:rPr>
            </w:pPr>
          </w:p>
        </w:tc>
        <w:tc>
          <w:tcPr>
            <w:tcW w:w="10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1,818</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1,818</w:t>
            </w:r>
          </w:p>
        </w:tc>
        <w:tc>
          <w:tcPr>
            <w:tcW w:w="0" w:type="dxa"/>
            <w:vAlign w:val="bottom"/>
          </w:tcPr>
          <w:p>
            <w:pPr>
              <w:spacing w:after="0"/>
              <w:rPr>
                <w:sz w:val="1"/>
                <w:szCs w:val="1"/>
                <w:color w:val="auto"/>
              </w:rPr>
            </w:pPr>
          </w:p>
        </w:tc>
      </w:tr>
      <w:tr>
        <w:trPr>
          <w:trHeight w:val="113"/>
        </w:trPr>
        <w:tc>
          <w:tcPr>
            <w:tcW w:w="2420" w:type="dxa"/>
            <w:vAlign w:val="bottom"/>
            <w:tcBorders>
              <w:top w:val="single" w:sz="8" w:color="CCEEFF"/>
              <w:bottom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Balance, June 30, 2022</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7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154,786</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9,827</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25,827</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9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(2,985)</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522</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33,191</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(87,690)</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100,289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00519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6005195" cy="20955"/>
                    </a:xfrm>
                    <a:prstGeom prst="rect">
                      <a:avLst/>
                    </a:prstGeom>
                    <a:noFill/>
                  </pic:spPr>
                </pic:pic>
              </a:graphicData>
            </a:graphic>
          </wp:anchor>
        </w:drawing>
      </w:r>
    </w:p>
    <w:p>
      <w:pPr>
        <w:sectPr>
          <w:pgSz w:w="11900" w:h="16838" w:orient="portrait"/>
          <w:cols w:equalWidth="0" w:num="1">
            <w:col w:w="9460"/>
          </w:cols>
          <w:pgMar w:left="1220" w:top="446" w:right="1219"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Consolidated Statements of Cash Flows</w:t>
      </w:r>
    </w:p>
    <w:p>
      <w:pPr>
        <w:ind w:left="40"/>
        <w:spacing w:after="0"/>
        <w:rPr>
          <w:sz w:val="20"/>
          <w:szCs w:val="20"/>
          <w:color w:val="auto"/>
        </w:rPr>
      </w:pPr>
      <w:r>
        <w:rPr>
          <w:rFonts w:ascii="Arial" w:cs="Arial" w:eastAsia="Arial" w:hAnsi="Arial"/>
          <w:sz w:val="15"/>
          <w:szCs w:val="15"/>
          <w:i w:val="1"/>
          <w:iCs w:val="1"/>
          <w:color w:val="auto"/>
        </w:rPr>
        <w:t>For the years ended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480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vMerge w:val="restart"/>
          </w:tcPr>
          <w:p>
            <w:pPr>
              <w:ind w:left="660"/>
              <w:spacing w:after="0"/>
              <w:rPr>
                <w:sz w:val="20"/>
                <w:szCs w:val="20"/>
                <w:color w:val="auto"/>
              </w:rPr>
            </w:pPr>
            <w:r>
              <w:rPr>
                <w:rFonts w:ascii="Arial" w:cs="Arial" w:eastAsia="Arial" w:hAnsi="Arial"/>
                <w:sz w:val="10"/>
                <w:szCs w:val="10"/>
                <w:b w:val="1"/>
                <w:bCs w:val="1"/>
                <w:i w:val="1"/>
                <w:iCs w:val="1"/>
                <w:color w:val="auto"/>
              </w:rPr>
              <w:t>Notes</w:t>
            </w:r>
          </w:p>
        </w:tc>
        <w:tc>
          <w:tcPr>
            <w:tcW w:w="960" w:type="dxa"/>
            <w:vAlign w:val="bottom"/>
            <w:tcBorders>
              <w:top w:val="single" w:sz="8" w:color="auto"/>
            </w:tcBorders>
            <w:gridSpan w:val="2"/>
          </w:tcPr>
          <w:p>
            <w:pPr>
              <w:ind w:left="160"/>
              <w:spacing w:after="0" w:line="107" w:lineRule="exact"/>
              <w:rPr>
                <w:sz w:val="20"/>
                <w:szCs w:val="20"/>
                <w:color w:val="auto"/>
              </w:rPr>
            </w:pPr>
            <w:r>
              <w:rPr>
                <w:rFonts w:ascii="Arial" w:cs="Arial" w:eastAsia="Arial" w:hAnsi="Arial"/>
                <w:sz w:val="10"/>
                <w:szCs w:val="10"/>
                <w:b w:val="1"/>
                <w:bCs w:val="1"/>
                <w:color w:val="auto"/>
              </w:rPr>
              <w:t>June 30,</w:t>
            </w:r>
          </w:p>
        </w:tc>
        <w:tc>
          <w:tcPr>
            <w:tcW w:w="980" w:type="dxa"/>
            <w:vAlign w:val="bottom"/>
            <w:tcBorders>
              <w:top w:val="single" w:sz="8" w:color="auto"/>
            </w:tcBorders>
            <w:gridSpan w:val="2"/>
          </w:tcPr>
          <w:p>
            <w:pPr>
              <w:ind w:left="180"/>
              <w:spacing w:after="0" w:line="107" w:lineRule="exact"/>
              <w:rPr>
                <w:sz w:val="20"/>
                <w:szCs w:val="20"/>
                <w:color w:val="auto"/>
              </w:rPr>
            </w:pPr>
            <w:r>
              <w:rPr>
                <w:rFonts w:ascii="Arial" w:cs="Arial" w:eastAsia="Arial" w:hAnsi="Arial"/>
                <w:sz w:val="10"/>
                <w:szCs w:val="10"/>
                <w:b w:val="1"/>
                <w:bCs w:val="1"/>
                <w:color w:val="auto"/>
              </w:rPr>
              <w:t>June 30,</w:t>
            </w:r>
          </w:p>
        </w:tc>
        <w:tc>
          <w:tcPr>
            <w:tcW w:w="800" w:type="dxa"/>
            <w:vAlign w:val="bottom"/>
            <w:tcBorders>
              <w:top w:val="single" w:sz="8" w:color="auto"/>
            </w:tcBorders>
          </w:tcPr>
          <w:p>
            <w:pPr>
              <w:jc w:val="right"/>
              <w:ind w:right="168"/>
              <w:spacing w:after="0" w:line="107" w:lineRule="exact"/>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ind w:left="180"/>
              <w:spacing w:after="0" w:line="102" w:lineRule="exact"/>
              <w:rPr>
                <w:sz w:val="20"/>
                <w:szCs w:val="20"/>
                <w:color w:val="auto"/>
              </w:rPr>
            </w:pPr>
            <w:r>
              <w:rPr>
                <w:rFonts w:ascii="Arial" w:cs="Arial" w:eastAsia="Arial" w:hAnsi="Arial"/>
                <w:sz w:val="10"/>
                <w:szCs w:val="10"/>
                <w:b w:val="1"/>
                <w:bCs w:val="1"/>
                <w:color w:val="auto"/>
              </w:rPr>
              <w:t>(US$’000)</w:t>
            </w: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CASH FLOWS FROM OPERATING ACTIVITIES</w:t>
            </w:r>
          </w:p>
        </w:tc>
        <w:tc>
          <w:tcPr>
            <w:tcW w:w="13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tcPr>
          <w:p>
            <w:pPr>
              <w:ind w:left="60"/>
              <w:spacing w:after="0" w:line="111" w:lineRule="exact"/>
              <w:rPr>
                <w:sz w:val="20"/>
                <w:szCs w:val="20"/>
                <w:color w:val="auto"/>
              </w:rPr>
            </w:pPr>
            <w:r>
              <w:rPr>
                <w:rFonts w:ascii="Arial" w:cs="Arial" w:eastAsia="Arial" w:hAnsi="Arial"/>
                <w:sz w:val="10"/>
                <w:szCs w:val="10"/>
                <w:color w:val="auto"/>
              </w:rPr>
              <w:t>Income before taxation</w:t>
            </w:r>
          </w:p>
        </w:tc>
        <w:tc>
          <w:tcPr>
            <w:tcW w:w="1380" w:type="dxa"/>
            <w:vAlign w:val="bottom"/>
          </w:tcPr>
          <w:p>
            <w:pPr>
              <w:jc w:val="center"/>
              <w:ind w:left="188"/>
              <w:spacing w:after="0" w:line="111" w:lineRule="exact"/>
              <w:rPr>
                <w:sz w:val="20"/>
                <w:szCs w:val="20"/>
                <w:color w:val="auto"/>
              </w:rPr>
            </w:pPr>
            <w:r>
              <w:rPr>
                <w:rFonts w:ascii="Arial" w:cs="Arial" w:eastAsia="Arial" w:hAnsi="Arial"/>
                <w:sz w:val="10"/>
                <w:szCs w:val="10"/>
                <w:i w:val="1"/>
                <w:iCs w:val="1"/>
                <w:color w:val="auto"/>
                <w:w w:val="89"/>
              </w:rPr>
              <w:t>29</w:t>
            </w: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21,003</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4,765</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10,085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shd w:val="clear" w:color="auto" w:fill="CCEEFF"/>
          </w:tcPr>
          <w:p>
            <w:pPr>
              <w:ind w:left="60"/>
              <w:spacing w:after="0" w:line="111" w:lineRule="exact"/>
              <w:rPr>
                <w:sz w:val="20"/>
                <w:szCs w:val="20"/>
                <w:color w:val="auto"/>
              </w:rPr>
            </w:pPr>
            <w:r>
              <w:rPr>
                <w:rFonts w:ascii="Arial" w:cs="Arial" w:eastAsia="Arial" w:hAnsi="Arial"/>
                <w:sz w:val="10"/>
                <w:szCs w:val="10"/>
                <w:color w:val="auto"/>
              </w:rPr>
              <w:t>Adjustments to reconcile income before taxation to net cash provided by operating activities:</w:t>
            </w:r>
          </w:p>
        </w:tc>
        <w:tc>
          <w:tcPr>
            <w:tcW w:w="13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60"/>
              <w:spacing w:after="0"/>
              <w:rPr>
                <w:sz w:val="20"/>
                <w:szCs w:val="20"/>
                <w:color w:val="auto"/>
              </w:rPr>
            </w:pPr>
            <w:r>
              <w:rPr>
                <w:rFonts w:ascii="Arial" w:cs="Arial" w:eastAsia="Arial" w:hAnsi="Arial"/>
                <w:sz w:val="10"/>
                <w:szCs w:val="10"/>
                <w:color w:val="auto"/>
              </w:rPr>
              <w:t>Depreciation and amortization</w:t>
            </w:r>
          </w:p>
        </w:tc>
        <w:tc>
          <w:tcPr>
            <w:tcW w:w="13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34,179</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28,197</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24,472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Amortization of warrant asset</w:t>
            </w: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517</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60"/>
              <w:spacing w:after="0"/>
              <w:rPr>
                <w:sz w:val="20"/>
                <w:szCs w:val="20"/>
                <w:color w:val="auto"/>
              </w:rPr>
            </w:pPr>
            <w:r>
              <w:rPr>
                <w:rFonts w:ascii="Arial" w:cs="Arial" w:eastAsia="Arial" w:hAnsi="Arial"/>
                <w:sz w:val="10"/>
                <w:szCs w:val="10"/>
                <w:color w:val="auto"/>
              </w:rPr>
              <w:t>Foreign currency translation loss / (gain)</w:t>
            </w:r>
          </w:p>
        </w:tc>
        <w:tc>
          <w:tcPr>
            <w:tcW w:w="13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(40)</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198</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(195)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shd w:val="clear" w:color="auto" w:fill="CCEEFF"/>
          </w:tcPr>
          <w:p>
            <w:pPr>
              <w:ind w:left="60"/>
              <w:spacing w:after="0" w:line="111" w:lineRule="exact"/>
              <w:rPr>
                <w:sz w:val="20"/>
                <w:szCs w:val="20"/>
                <w:color w:val="auto"/>
              </w:rPr>
            </w:pPr>
            <w:r>
              <w:rPr>
                <w:rFonts w:ascii="Arial" w:cs="Arial" w:eastAsia="Arial" w:hAnsi="Arial"/>
                <w:sz w:val="10"/>
                <w:szCs w:val="10"/>
                <w:color w:val="auto"/>
              </w:rPr>
              <w:t>Fair value measurement of share warrants</w:t>
            </w:r>
          </w:p>
        </w:tc>
        <w:tc>
          <w:tcPr>
            <w:tcW w:w="1380" w:type="dxa"/>
            <w:vAlign w:val="bottom"/>
            <w:shd w:val="clear" w:color="auto" w:fill="CCEEFF"/>
          </w:tcPr>
          <w:p>
            <w:pPr>
              <w:jc w:val="center"/>
              <w:ind w:left="188"/>
              <w:spacing w:after="0" w:line="111" w:lineRule="exact"/>
              <w:rPr>
                <w:sz w:val="20"/>
                <w:szCs w:val="20"/>
                <w:color w:val="auto"/>
              </w:rPr>
            </w:pPr>
            <w:r>
              <w:rPr>
                <w:rFonts w:ascii="Arial" w:cs="Arial" w:eastAsia="Arial" w:hAnsi="Arial"/>
                <w:sz w:val="10"/>
                <w:szCs w:val="10"/>
                <w:i w:val="1"/>
                <w:iCs w:val="1"/>
                <w:color w:val="auto"/>
                <w:w w:val="89"/>
              </w:rPr>
              <w:t>28</w:t>
            </w: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(2,310)</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9,732</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3,138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tcPr>
          <w:p>
            <w:pPr>
              <w:ind w:left="60"/>
              <w:spacing w:after="0" w:line="111" w:lineRule="exact"/>
              <w:rPr>
                <w:sz w:val="20"/>
                <w:szCs w:val="20"/>
                <w:color w:val="auto"/>
              </w:rPr>
            </w:pPr>
            <w:r>
              <w:rPr>
                <w:rFonts w:ascii="Arial" w:cs="Arial" w:eastAsia="Arial" w:hAnsi="Arial"/>
                <w:sz w:val="10"/>
                <w:szCs w:val="10"/>
                <w:color w:val="auto"/>
              </w:rPr>
              <w:t>Share-based payments</w:t>
            </w:r>
          </w:p>
        </w:tc>
        <w:tc>
          <w:tcPr>
            <w:tcW w:w="1380" w:type="dxa"/>
            <w:vAlign w:val="bottom"/>
          </w:tcPr>
          <w:p>
            <w:pPr>
              <w:jc w:val="center"/>
              <w:ind w:left="188"/>
              <w:spacing w:after="0" w:line="111" w:lineRule="exact"/>
              <w:rPr>
                <w:sz w:val="20"/>
                <w:szCs w:val="20"/>
                <w:color w:val="auto"/>
              </w:rPr>
            </w:pPr>
            <w:r>
              <w:rPr>
                <w:rFonts w:ascii="Arial" w:cs="Arial" w:eastAsia="Arial" w:hAnsi="Arial"/>
                <w:sz w:val="10"/>
                <w:szCs w:val="10"/>
                <w:i w:val="1"/>
                <w:iCs w:val="1"/>
                <w:color w:val="auto"/>
                <w:w w:val="89"/>
              </w:rPr>
              <w:t>19</w:t>
            </w: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1,851</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4,521</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359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shd w:val="clear" w:color="auto" w:fill="CCEEFF"/>
          </w:tcPr>
          <w:p>
            <w:pPr>
              <w:ind w:left="60"/>
              <w:spacing w:after="0" w:line="111" w:lineRule="exact"/>
              <w:rPr>
                <w:sz w:val="20"/>
                <w:szCs w:val="20"/>
                <w:color w:val="auto"/>
              </w:rPr>
            </w:pPr>
            <w:r>
              <w:rPr>
                <w:rFonts w:ascii="Arial" w:cs="Arial" w:eastAsia="Arial" w:hAnsi="Arial"/>
                <w:sz w:val="10"/>
                <w:szCs w:val="10"/>
                <w:color w:val="auto"/>
              </w:rPr>
              <w:t>Allowance of expected credit losses</w:t>
            </w:r>
          </w:p>
        </w:tc>
        <w:tc>
          <w:tcPr>
            <w:tcW w:w="1380" w:type="dxa"/>
            <w:vAlign w:val="bottom"/>
            <w:shd w:val="clear" w:color="auto" w:fill="CCEEFF"/>
          </w:tcPr>
          <w:p>
            <w:pPr>
              <w:jc w:val="center"/>
              <w:ind w:left="188"/>
              <w:spacing w:after="0" w:line="111" w:lineRule="exact"/>
              <w:rPr>
                <w:sz w:val="20"/>
                <w:szCs w:val="20"/>
                <w:color w:val="auto"/>
              </w:rPr>
            </w:pPr>
            <w:r>
              <w:rPr>
                <w:rFonts w:ascii="Arial" w:cs="Arial" w:eastAsia="Arial" w:hAnsi="Arial"/>
                <w:sz w:val="10"/>
                <w:szCs w:val="10"/>
                <w:i w:val="1"/>
                <w:iCs w:val="1"/>
                <w:color w:val="auto"/>
              </w:rPr>
              <w:t>9</w:t>
            </w: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(761)</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291</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224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tcPr>
          <w:p>
            <w:pPr>
              <w:ind w:left="60"/>
              <w:spacing w:after="0" w:line="111" w:lineRule="exact"/>
              <w:rPr>
                <w:sz w:val="20"/>
                <w:szCs w:val="20"/>
                <w:color w:val="auto"/>
              </w:rPr>
            </w:pPr>
            <w:r>
              <w:rPr>
                <w:rFonts w:ascii="Arial" w:cs="Arial" w:eastAsia="Arial" w:hAnsi="Arial"/>
                <w:sz w:val="10"/>
                <w:szCs w:val="10"/>
                <w:color w:val="auto"/>
              </w:rPr>
              <w:t>Share of profit from investment in joint venture</w:t>
            </w:r>
          </w:p>
        </w:tc>
        <w:tc>
          <w:tcPr>
            <w:tcW w:w="1380" w:type="dxa"/>
            <w:vAlign w:val="bottom"/>
          </w:tcPr>
          <w:p>
            <w:pPr>
              <w:jc w:val="center"/>
              <w:ind w:left="188"/>
              <w:spacing w:after="0" w:line="111" w:lineRule="exact"/>
              <w:rPr>
                <w:sz w:val="20"/>
                <w:szCs w:val="20"/>
                <w:color w:val="auto"/>
              </w:rPr>
            </w:pPr>
            <w:r>
              <w:rPr>
                <w:rFonts w:ascii="Arial" w:cs="Arial" w:eastAsia="Arial" w:hAnsi="Arial"/>
                <w:sz w:val="10"/>
                <w:szCs w:val="10"/>
                <w:i w:val="1"/>
                <w:iCs w:val="1"/>
                <w:color w:val="auto"/>
              </w:rPr>
              <w:t>7</w:t>
            </w: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(1,151)</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(577)</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(534)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Gain on disposal of fixed assets</w:t>
            </w:r>
          </w:p>
        </w:tc>
        <w:tc>
          <w:tcPr>
            <w:tcW w:w="13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60"/>
              <w:spacing w:after="0"/>
              <w:rPr>
                <w:sz w:val="20"/>
                <w:szCs w:val="20"/>
                <w:color w:val="auto"/>
              </w:rPr>
            </w:pPr>
            <w:r>
              <w:rPr>
                <w:rFonts w:ascii="Arial" w:cs="Arial" w:eastAsia="Arial" w:hAnsi="Arial"/>
                <w:sz w:val="10"/>
                <w:szCs w:val="10"/>
                <w:color w:val="auto"/>
              </w:rPr>
              <w:t>Gain on lease terminations</w:t>
            </w:r>
          </w:p>
        </w:tc>
        <w:tc>
          <w:tcPr>
            <w:tcW w:w="13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(150)</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(923)</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shd w:val="clear" w:color="auto" w:fill="CCEEFF"/>
          </w:tcPr>
          <w:p>
            <w:pPr>
              <w:ind w:left="60"/>
              <w:spacing w:after="0" w:line="111" w:lineRule="exact"/>
              <w:rPr>
                <w:sz w:val="20"/>
                <w:szCs w:val="20"/>
                <w:color w:val="auto"/>
              </w:rPr>
            </w:pPr>
            <w:r>
              <w:rPr>
                <w:rFonts w:ascii="Arial" w:cs="Arial" w:eastAsia="Arial" w:hAnsi="Arial"/>
                <w:sz w:val="10"/>
                <w:szCs w:val="10"/>
                <w:color w:val="auto"/>
              </w:rPr>
              <w:t>Provision for defined benefit scheme</w:t>
            </w:r>
          </w:p>
        </w:tc>
        <w:tc>
          <w:tcPr>
            <w:tcW w:w="1380" w:type="dxa"/>
            <w:vAlign w:val="bottom"/>
            <w:shd w:val="clear" w:color="auto" w:fill="CCEEFF"/>
          </w:tcPr>
          <w:p>
            <w:pPr>
              <w:jc w:val="center"/>
              <w:ind w:left="208"/>
              <w:spacing w:after="0" w:line="111" w:lineRule="exact"/>
              <w:rPr>
                <w:sz w:val="20"/>
                <w:szCs w:val="20"/>
                <w:color w:val="auto"/>
              </w:rPr>
            </w:pPr>
            <w:r>
              <w:rPr>
                <w:rFonts w:ascii="Arial" w:cs="Arial" w:eastAsia="Arial" w:hAnsi="Arial"/>
                <w:sz w:val="10"/>
                <w:szCs w:val="10"/>
                <w:i w:val="1"/>
                <w:iCs w:val="1"/>
                <w:color w:val="auto"/>
              </w:rPr>
              <w:t>14.1</w:t>
            </w: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278</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228</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tcPr>
          <w:p>
            <w:pPr>
              <w:ind w:left="60"/>
              <w:spacing w:after="0" w:line="111" w:lineRule="exact"/>
              <w:rPr>
                <w:sz w:val="20"/>
                <w:szCs w:val="20"/>
                <w:color w:val="auto"/>
              </w:rPr>
            </w:pPr>
            <w:r>
              <w:rPr>
                <w:rFonts w:ascii="Arial" w:cs="Arial" w:eastAsia="Arial" w:hAnsi="Arial"/>
                <w:sz w:val="10"/>
                <w:szCs w:val="10"/>
                <w:color w:val="auto"/>
              </w:rPr>
              <w:t>Impairment of intangibles</w:t>
            </w:r>
          </w:p>
        </w:tc>
        <w:tc>
          <w:tcPr>
            <w:tcW w:w="1380" w:type="dxa"/>
            <w:vAlign w:val="bottom"/>
          </w:tcPr>
          <w:p>
            <w:pPr>
              <w:jc w:val="center"/>
              <w:ind w:left="188"/>
              <w:spacing w:after="0" w:line="111" w:lineRule="exact"/>
              <w:rPr>
                <w:sz w:val="20"/>
                <w:szCs w:val="20"/>
                <w:color w:val="auto"/>
              </w:rPr>
            </w:pPr>
            <w:r>
              <w:rPr>
                <w:rFonts w:ascii="Arial" w:cs="Arial" w:eastAsia="Arial" w:hAnsi="Arial"/>
                <w:sz w:val="10"/>
                <w:szCs w:val="10"/>
                <w:i w:val="1"/>
                <w:iCs w:val="1"/>
                <w:color w:val="auto"/>
              </w:rPr>
              <w:t>5</w:t>
            </w:r>
          </w:p>
        </w:tc>
        <w:tc>
          <w:tcPr>
            <w:tcW w:w="9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777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Finance expenses</w:t>
            </w:r>
          </w:p>
        </w:tc>
        <w:tc>
          <w:tcPr>
            <w:tcW w:w="1380" w:type="dxa"/>
            <w:vAlign w:val="bottom"/>
            <w:shd w:val="clear" w:color="auto" w:fill="CCEEFF"/>
          </w:tcPr>
          <w:p>
            <w:pPr>
              <w:jc w:val="center"/>
              <w:ind w:left="188"/>
              <w:spacing w:after="0"/>
              <w:rPr>
                <w:sz w:val="20"/>
                <w:szCs w:val="20"/>
                <w:color w:val="auto"/>
              </w:rPr>
            </w:pPr>
            <w:r>
              <w:rPr>
                <w:rFonts w:ascii="Arial" w:cs="Arial" w:eastAsia="Arial" w:hAnsi="Arial"/>
                <w:sz w:val="10"/>
                <w:szCs w:val="10"/>
                <w:i w:val="1"/>
                <w:iCs w:val="1"/>
                <w:color w:val="auto"/>
                <w:w w:val="89"/>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8,797</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9,034</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160"/>
              <w:spacing w:after="0"/>
              <w:rPr>
                <w:sz w:val="20"/>
                <w:szCs w:val="20"/>
                <w:color w:val="auto"/>
              </w:rPr>
            </w:pPr>
            <w:r>
              <w:rPr>
                <w:rFonts w:ascii="Arial" w:cs="Arial" w:eastAsia="Arial" w:hAnsi="Arial"/>
                <w:sz w:val="10"/>
                <w:szCs w:val="10"/>
                <w:color w:val="auto"/>
              </w:rPr>
              <w:t>(Increase) / decrease in trade and other receivables</w:t>
            </w:r>
          </w:p>
        </w:tc>
        <w:tc>
          <w:tcPr>
            <w:tcW w:w="13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(9,223)</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(13,327)</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9,042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Decrease / (increase) in prepayments and other assets</w:t>
            </w: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820</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(405)</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Increase / (decrease) in trade and other payables and other liabilities</w:t>
            </w:r>
          </w:p>
        </w:tc>
        <w:tc>
          <w:tcPr>
            <w:tcW w:w="13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7,588</w:t>
            </w: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(1,655)</w:t>
            </w: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shd w:val="clear" w:color="auto" w:fill="CCEEFF"/>
          </w:tcPr>
          <w:p>
            <w:pPr>
              <w:ind w:left="60"/>
              <w:spacing w:after="0" w:line="102" w:lineRule="exact"/>
              <w:rPr>
                <w:sz w:val="20"/>
                <w:szCs w:val="20"/>
                <w:color w:val="auto"/>
              </w:rPr>
            </w:pPr>
            <w:r>
              <w:rPr>
                <w:rFonts w:ascii="Arial" w:cs="Arial" w:eastAsia="Arial" w:hAnsi="Arial"/>
                <w:sz w:val="10"/>
                <w:szCs w:val="10"/>
                <w:color w:val="auto"/>
              </w:rPr>
              <w:t>Cash inflow from operations</w:t>
            </w:r>
          </w:p>
        </w:tc>
        <w:tc>
          <w:tcPr>
            <w:tcW w:w="138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61,131</w:t>
            </w: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40,596</w:t>
            </w: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63,285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160"/>
              <w:spacing w:after="0"/>
              <w:rPr>
                <w:sz w:val="20"/>
                <w:szCs w:val="20"/>
                <w:color w:val="auto"/>
              </w:rPr>
            </w:pPr>
            <w:r>
              <w:rPr>
                <w:rFonts w:ascii="Arial" w:cs="Arial" w:eastAsia="Arial" w:hAnsi="Arial"/>
                <w:sz w:val="10"/>
                <w:szCs w:val="10"/>
                <w:color w:val="auto"/>
              </w:rPr>
              <w:t>Interest paid</w:t>
            </w:r>
          </w:p>
        </w:tc>
        <w:tc>
          <w:tcPr>
            <w:tcW w:w="13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(8,842)</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(9,034)</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(9,429)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Income taxes paid</w:t>
            </w:r>
          </w:p>
        </w:tc>
        <w:tc>
          <w:tcPr>
            <w:tcW w:w="13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(2,160)</w:t>
            </w:r>
          </w:p>
        </w:tc>
        <w:tc>
          <w:tcPr>
            <w:tcW w:w="18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(5,665)</w:t>
            </w:r>
          </w:p>
        </w:tc>
        <w:tc>
          <w:tcPr>
            <w:tcW w:w="18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ind w:left="60"/>
              <w:spacing w:after="0" w:line="102" w:lineRule="exact"/>
              <w:rPr>
                <w:sz w:val="20"/>
                <w:szCs w:val="20"/>
                <w:color w:val="auto"/>
              </w:rPr>
            </w:pPr>
            <w:r>
              <w:rPr>
                <w:rFonts w:ascii="Arial" w:cs="Arial" w:eastAsia="Arial" w:hAnsi="Arial"/>
                <w:sz w:val="10"/>
                <w:szCs w:val="10"/>
                <w:b w:val="1"/>
                <w:bCs w:val="1"/>
                <w:color w:val="auto"/>
              </w:rPr>
              <w:t>Net cash inflow from operating activities</w:t>
            </w:r>
          </w:p>
        </w:tc>
        <w:tc>
          <w:tcPr>
            <w:tcW w:w="1380" w:type="dxa"/>
            <w:vAlign w:val="bottom"/>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50,129</w:t>
            </w: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25,897</w:t>
            </w: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51,719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8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80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1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shd w:val="clear" w:color="auto" w:fill="CCEEFF"/>
          </w:tcPr>
          <w:p>
            <w:pPr>
              <w:ind w:left="60"/>
              <w:spacing w:after="0" w:line="111" w:lineRule="exact"/>
              <w:rPr>
                <w:sz w:val="20"/>
                <w:szCs w:val="20"/>
                <w:color w:val="auto"/>
              </w:rPr>
            </w:pPr>
            <w:r>
              <w:rPr>
                <w:rFonts w:ascii="Arial" w:cs="Arial" w:eastAsia="Arial" w:hAnsi="Arial"/>
                <w:sz w:val="10"/>
                <w:szCs w:val="10"/>
                <w:color w:val="auto"/>
              </w:rPr>
              <w:t>Purchase of property and equipment</w:t>
            </w:r>
          </w:p>
        </w:tc>
        <w:tc>
          <w:tcPr>
            <w:tcW w:w="1380" w:type="dxa"/>
            <w:vAlign w:val="bottom"/>
            <w:shd w:val="clear" w:color="auto" w:fill="CCEEFF"/>
          </w:tcPr>
          <w:p>
            <w:pPr>
              <w:jc w:val="center"/>
              <w:ind w:left="188"/>
              <w:spacing w:after="0" w:line="111" w:lineRule="exact"/>
              <w:rPr>
                <w:sz w:val="20"/>
                <w:szCs w:val="20"/>
                <w:color w:val="auto"/>
              </w:rPr>
            </w:pPr>
            <w:r>
              <w:rPr>
                <w:rFonts w:ascii="Arial" w:cs="Arial" w:eastAsia="Arial" w:hAnsi="Arial"/>
                <w:sz w:val="10"/>
                <w:szCs w:val="10"/>
                <w:i w:val="1"/>
                <w:iCs w:val="1"/>
                <w:color w:val="auto"/>
              </w:rPr>
              <w:t>6</w:t>
            </w: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(24,649)</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(19,360)</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(4,283)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tcPr>
          <w:p>
            <w:pPr>
              <w:ind w:left="60"/>
              <w:spacing w:after="0" w:line="111" w:lineRule="exact"/>
              <w:rPr>
                <w:sz w:val="20"/>
                <w:szCs w:val="20"/>
                <w:color w:val="auto"/>
              </w:rPr>
            </w:pPr>
            <w:r>
              <w:rPr>
                <w:rFonts w:ascii="Arial" w:cs="Arial" w:eastAsia="Arial" w:hAnsi="Arial"/>
                <w:sz w:val="10"/>
                <w:szCs w:val="10"/>
                <w:color w:val="auto"/>
              </w:rPr>
              <w:t>Purchase of other intangible assets</w:t>
            </w:r>
          </w:p>
        </w:tc>
        <w:tc>
          <w:tcPr>
            <w:tcW w:w="1380" w:type="dxa"/>
            <w:vAlign w:val="bottom"/>
          </w:tcPr>
          <w:p>
            <w:pPr>
              <w:jc w:val="center"/>
              <w:ind w:left="188"/>
              <w:spacing w:after="0" w:line="111" w:lineRule="exact"/>
              <w:rPr>
                <w:sz w:val="20"/>
                <w:szCs w:val="20"/>
                <w:color w:val="auto"/>
              </w:rPr>
            </w:pPr>
            <w:r>
              <w:rPr>
                <w:rFonts w:ascii="Arial" w:cs="Arial" w:eastAsia="Arial" w:hAnsi="Arial"/>
                <w:sz w:val="10"/>
                <w:szCs w:val="10"/>
                <w:i w:val="1"/>
                <w:iCs w:val="1"/>
                <w:color w:val="auto"/>
              </w:rPr>
              <w:t>5</w:t>
            </w: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(1,270)</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(1,463)</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(982)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shd w:val="clear" w:color="auto" w:fill="CCEEFF"/>
          </w:tcPr>
          <w:p>
            <w:pPr>
              <w:ind w:left="60"/>
              <w:spacing w:after="0" w:line="111" w:lineRule="exact"/>
              <w:rPr>
                <w:sz w:val="20"/>
                <w:szCs w:val="20"/>
                <w:color w:val="auto"/>
              </w:rPr>
            </w:pPr>
            <w:r>
              <w:rPr>
                <w:rFonts w:ascii="Arial" w:cs="Arial" w:eastAsia="Arial" w:hAnsi="Arial"/>
                <w:sz w:val="10"/>
                <w:szCs w:val="10"/>
                <w:color w:val="auto"/>
              </w:rPr>
              <w:t>Dividend received from joint venture</w:t>
            </w:r>
          </w:p>
        </w:tc>
        <w:tc>
          <w:tcPr>
            <w:tcW w:w="1380" w:type="dxa"/>
            <w:vAlign w:val="bottom"/>
            <w:shd w:val="clear" w:color="auto" w:fill="CCEEFF"/>
          </w:tcPr>
          <w:p>
            <w:pPr>
              <w:jc w:val="center"/>
              <w:ind w:left="188"/>
              <w:spacing w:after="0" w:line="111" w:lineRule="exact"/>
              <w:rPr>
                <w:sz w:val="20"/>
                <w:szCs w:val="20"/>
                <w:color w:val="auto"/>
              </w:rPr>
            </w:pPr>
            <w:r>
              <w:rPr>
                <w:rFonts w:ascii="Arial" w:cs="Arial" w:eastAsia="Arial" w:hAnsi="Arial"/>
                <w:sz w:val="10"/>
                <w:szCs w:val="10"/>
                <w:i w:val="1"/>
                <w:iCs w:val="1"/>
                <w:color w:val="auto"/>
              </w:rPr>
              <w:t>7</w:t>
            </w:r>
          </w:p>
        </w:tc>
        <w:tc>
          <w:tcPr>
            <w:tcW w:w="7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1,027</w:t>
            </w:r>
          </w:p>
        </w:tc>
        <w:tc>
          <w:tcPr>
            <w:tcW w:w="18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650</w:t>
            </w:r>
          </w:p>
        </w:tc>
        <w:tc>
          <w:tcPr>
            <w:tcW w:w="18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430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line="102" w:lineRule="exact"/>
              <w:rPr>
                <w:sz w:val="20"/>
                <w:szCs w:val="20"/>
                <w:color w:val="auto"/>
              </w:rPr>
            </w:pPr>
            <w:r>
              <w:rPr>
                <w:rFonts w:ascii="Arial" w:cs="Arial" w:eastAsia="Arial" w:hAnsi="Arial"/>
                <w:sz w:val="10"/>
                <w:szCs w:val="10"/>
                <w:b w:val="1"/>
                <w:bCs w:val="1"/>
                <w:color w:val="auto"/>
              </w:rPr>
              <w:t>Net cash outflow from investing activities</w:t>
            </w:r>
          </w:p>
        </w:tc>
        <w:tc>
          <w:tcPr>
            <w:tcW w:w="1380" w:type="dxa"/>
            <w:vAlign w:val="bottom"/>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(24,892)</w:t>
            </w: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(20,173)</w:t>
            </w: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(4,835)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60"/>
              <w:spacing w:after="0"/>
              <w:rPr>
                <w:sz w:val="20"/>
                <w:szCs w:val="20"/>
                <w:color w:val="auto"/>
              </w:rPr>
            </w:pPr>
            <w:r>
              <w:rPr>
                <w:rFonts w:ascii="Arial" w:cs="Arial" w:eastAsia="Arial" w:hAnsi="Arial"/>
                <w:sz w:val="10"/>
                <w:szCs w:val="10"/>
                <w:color w:val="auto"/>
              </w:rPr>
              <w:t>Proceeds from line of credit</w:t>
            </w:r>
          </w:p>
        </w:tc>
        <w:tc>
          <w:tcPr>
            <w:tcW w:w="13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88,117</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116,026</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127,567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Repayments of line of credit</w:t>
            </w: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(99,227)</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(115,189)</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(142,118)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60"/>
              <w:spacing w:after="0"/>
              <w:rPr>
                <w:sz w:val="20"/>
                <w:szCs w:val="20"/>
                <w:color w:val="auto"/>
              </w:rPr>
            </w:pPr>
            <w:r>
              <w:rPr>
                <w:rFonts w:ascii="Arial" w:cs="Arial" w:eastAsia="Arial" w:hAnsi="Arial"/>
                <w:sz w:val="10"/>
                <w:szCs w:val="10"/>
                <w:color w:val="auto"/>
              </w:rPr>
              <w:t>Proceeds from borrowings</w:t>
            </w:r>
          </w:p>
        </w:tc>
        <w:tc>
          <w:tcPr>
            <w:tcW w:w="13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1,714</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Repayment of borrowings</w:t>
            </w: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(6,834)</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(11,080)</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tcPr>
          <w:p>
            <w:pPr>
              <w:ind w:left="60"/>
              <w:spacing w:after="0" w:line="111" w:lineRule="exact"/>
              <w:rPr>
                <w:sz w:val="20"/>
                <w:szCs w:val="20"/>
                <w:color w:val="auto"/>
              </w:rPr>
            </w:pPr>
            <w:r>
              <w:rPr>
                <w:rFonts w:ascii="Arial" w:cs="Arial" w:eastAsia="Arial" w:hAnsi="Arial"/>
                <w:sz w:val="10"/>
                <w:szCs w:val="10"/>
                <w:color w:val="auto"/>
              </w:rPr>
              <w:t>Repayment of related party loans</w:t>
            </w:r>
          </w:p>
        </w:tc>
        <w:tc>
          <w:tcPr>
            <w:tcW w:w="1380" w:type="dxa"/>
            <w:vAlign w:val="bottom"/>
          </w:tcPr>
          <w:p>
            <w:pPr>
              <w:jc w:val="center"/>
              <w:ind w:left="188"/>
              <w:spacing w:after="0" w:line="111" w:lineRule="exact"/>
              <w:rPr>
                <w:sz w:val="20"/>
                <w:szCs w:val="20"/>
                <w:color w:val="auto"/>
              </w:rPr>
            </w:pPr>
            <w:r>
              <w:rPr>
                <w:rFonts w:ascii="Arial" w:cs="Arial" w:eastAsia="Arial" w:hAnsi="Arial"/>
                <w:sz w:val="10"/>
                <w:szCs w:val="10"/>
                <w:i w:val="1"/>
                <w:iCs w:val="1"/>
                <w:color w:val="auto"/>
              </w:rPr>
              <w:t>23.4 &amp; 23.7</w:t>
            </w:r>
          </w:p>
        </w:tc>
        <w:tc>
          <w:tcPr>
            <w:tcW w:w="9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(1,614)</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Net proceeds from initial public offering</w:t>
            </w:r>
          </w:p>
        </w:tc>
        <w:tc>
          <w:tcPr>
            <w:tcW w:w="1380" w:type="dxa"/>
            <w:vAlign w:val="bottom"/>
            <w:shd w:val="clear" w:color="auto" w:fill="CCEEFF"/>
          </w:tcPr>
          <w:p>
            <w:pPr>
              <w:jc w:val="center"/>
              <w:ind w:left="208"/>
              <w:spacing w:after="0"/>
              <w:rPr>
                <w:sz w:val="20"/>
                <w:szCs w:val="20"/>
                <w:color w:val="auto"/>
              </w:rPr>
            </w:pPr>
            <w:r>
              <w:rPr>
                <w:rFonts w:ascii="Arial" w:cs="Arial" w:eastAsia="Arial" w:hAnsi="Arial"/>
                <w:sz w:val="10"/>
                <w:szCs w:val="10"/>
                <w:i w:val="1"/>
                <w:iCs w:val="1"/>
                <w:color w:val="auto"/>
              </w:rPr>
              <w:t>12.1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63,107</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60"/>
              <w:spacing w:after="0"/>
              <w:rPr>
                <w:sz w:val="20"/>
                <w:szCs w:val="20"/>
                <w:color w:val="auto"/>
              </w:rPr>
            </w:pPr>
            <w:r>
              <w:rPr>
                <w:rFonts w:ascii="Arial" w:cs="Arial" w:eastAsia="Arial" w:hAnsi="Arial"/>
                <w:sz w:val="10"/>
                <w:szCs w:val="10"/>
                <w:color w:val="auto"/>
              </w:rPr>
              <w:t>Payment of listing related cost</w:t>
            </w:r>
          </w:p>
        </w:tc>
        <w:tc>
          <w:tcPr>
            <w:tcW w:w="1380" w:type="dxa"/>
            <w:vAlign w:val="bottom"/>
          </w:tcPr>
          <w:p>
            <w:pPr>
              <w:jc w:val="center"/>
              <w:ind w:left="208"/>
              <w:spacing w:after="0"/>
              <w:rPr>
                <w:sz w:val="20"/>
                <w:szCs w:val="20"/>
                <w:color w:val="auto"/>
              </w:rPr>
            </w:pPr>
            <w:r>
              <w:rPr>
                <w:rFonts w:ascii="Arial" w:cs="Arial" w:eastAsia="Arial" w:hAnsi="Arial"/>
                <w:sz w:val="10"/>
                <w:szCs w:val="10"/>
                <w:i w:val="1"/>
                <w:iCs w:val="1"/>
                <w:color w:val="auto"/>
              </w:rPr>
              <w:t>12.3</w:t>
            </w: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(1,074)</w:t>
            </w: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Exercise of options</w:t>
            </w: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ind w:left="60"/>
              <w:spacing w:after="0"/>
              <w:rPr>
                <w:sz w:val="20"/>
                <w:szCs w:val="20"/>
                <w:color w:val="auto"/>
              </w:rPr>
            </w:pPr>
            <w:r>
              <w:rPr>
                <w:rFonts w:ascii="Arial" w:cs="Arial" w:eastAsia="Arial" w:hAnsi="Arial"/>
                <w:sz w:val="10"/>
                <w:szCs w:val="10"/>
                <w:color w:val="auto"/>
              </w:rPr>
              <w:t>Proceeds from lease obligations</w:t>
            </w:r>
          </w:p>
        </w:tc>
        <w:tc>
          <w:tcPr>
            <w:tcW w:w="13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1,417</w:t>
            </w:r>
          </w:p>
        </w:tc>
        <w:tc>
          <w:tcPr>
            <w:tcW w:w="180" w:type="dxa"/>
            <w:vAlign w:val="bottom"/>
          </w:tcPr>
          <w:p>
            <w:pPr>
              <w:spacing w:after="0"/>
              <w:rPr>
                <w:sz w:val="10"/>
                <w:szCs w:val="1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Principal payments on lease obligations</w:t>
            </w: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(13,379)</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(17,489)</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(12,162)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tcPr>
          <w:p>
            <w:pPr>
              <w:ind w:left="60"/>
              <w:spacing w:after="0" w:line="111" w:lineRule="exact"/>
              <w:rPr>
                <w:sz w:val="20"/>
                <w:szCs w:val="20"/>
                <w:color w:val="auto"/>
              </w:rPr>
            </w:pPr>
            <w:r>
              <w:rPr>
                <w:rFonts w:ascii="Arial" w:cs="Arial" w:eastAsia="Arial" w:hAnsi="Arial"/>
                <w:sz w:val="10"/>
                <w:szCs w:val="10"/>
                <w:color w:val="auto"/>
              </w:rPr>
              <w:t>Dividend distribution</w:t>
            </w:r>
          </w:p>
        </w:tc>
        <w:tc>
          <w:tcPr>
            <w:tcW w:w="1380" w:type="dxa"/>
            <w:vAlign w:val="bottom"/>
          </w:tcPr>
          <w:p>
            <w:pPr>
              <w:jc w:val="center"/>
              <w:ind w:left="188"/>
              <w:spacing w:after="0" w:line="111" w:lineRule="exact"/>
              <w:rPr>
                <w:sz w:val="20"/>
                <w:szCs w:val="20"/>
                <w:color w:val="auto"/>
              </w:rPr>
            </w:pPr>
            <w:r>
              <w:rPr>
                <w:rFonts w:ascii="Arial" w:cs="Arial" w:eastAsia="Arial" w:hAnsi="Arial"/>
                <w:sz w:val="10"/>
                <w:szCs w:val="10"/>
                <w:i w:val="1"/>
                <w:iCs w:val="1"/>
                <w:color w:val="auto"/>
                <w:w w:val="89"/>
              </w:rPr>
              <w:t>21</w:t>
            </w:r>
          </w:p>
        </w:tc>
        <w:tc>
          <w:tcPr>
            <w:tcW w:w="9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(4,000)</w:t>
            </w:r>
          </w:p>
        </w:tc>
        <w:tc>
          <w:tcPr>
            <w:tcW w:w="1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shd w:val="clear" w:color="auto" w:fill="CCEEFF"/>
          </w:tcPr>
          <w:p>
            <w:pPr>
              <w:ind w:left="60"/>
              <w:spacing w:after="0" w:line="111" w:lineRule="exact"/>
              <w:rPr>
                <w:sz w:val="20"/>
                <w:szCs w:val="20"/>
                <w:color w:val="auto"/>
              </w:rPr>
            </w:pPr>
            <w:r>
              <w:rPr>
                <w:rFonts w:ascii="Arial" w:cs="Arial" w:eastAsia="Arial" w:hAnsi="Arial"/>
                <w:sz w:val="10"/>
                <w:szCs w:val="10"/>
                <w:color w:val="auto"/>
              </w:rPr>
              <w:t>Purchase of treasury shares</w:t>
            </w:r>
          </w:p>
        </w:tc>
        <w:tc>
          <w:tcPr>
            <w:tcW w:w="13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(3,406)</w:t>
            </w:r>
          </w:p>
        </w:tc>
        <w:tc>
          <w:tcPr>
            <w:tcW w:w="1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line="102" w:lineRule="exact"/>
              <w:rPr>
                <w:sz w:val="20"/>
                <w:szCs w:val="20"/>
                <w:color w:val="auto"/>
              </w:rPr>
            </w:pPr>
            <w:r>
              <w:rPr>
                <w:rFonts w:ascii="Arial" w:cs="Arial" w:eastAsia="Arial" w:hAnsi="Arial"/>
                <w:sz w:val="10"/>
                <w:szCs w:val="10"/>
                <w:b w:val="1"/>
                <w:bCs w:val="1"/>
                <w:color w:val="auto"/>
              </w:rPr>
              <w:t>Net cash (outflow) / inflow from financing activities</w:t>
            </w:r>
          </w:p>
        </w:tc>
        <w:tc>
          <w:tcPr>
            <w:tcW w:w="1380" w:type="dxa"/>
            <w:vAlign w:val="bottom"/>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(33,277)</w:t>
            </w:r>
          </w:p>
        </w:tc>
        <w:tc>
          <w:tcPr>
            <w:tcW w:w="180" w:type="dxa"/>
            <w:vAlign w:val="bottom"/>
          </w:tcPr>
          <w:p>
            <w:pPr>
              <w:spacing w:after="0"/>
              <w:rPr>
                <w:sz w:val="8"/>
                <w:szCs w:val="8"/>
                <w:color w:val="auto"/>
              </w:rPr>
            </w:pPr>
          </w:p>
        </w:tc>
        <w:tc>
          <w:tcPr>
            <w:tcW w:w="8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30,429</w:t>
            </w:r>
          </w:p>
        </w:tc>
        <w:tc>
          <w:tcPr>
            <w:tcW w:w="180" w:type="dxa"/>
            <w:vAlign w:val="bottom"/>
          </w:tcPr>
          <w:p>
            <w:pPr>
              <w:spacing w:after="0"/>
              <w:rPr>
                <w:sz w:val="8"/>
                <w:szCs w:val="8"/>
                <w:color w:val="auto"/>
              </w:rPr>
            </w:pPr>
          </w:p>
        </w:tc>
        <w:tc>
          <w:tcPr>
            <w:tcW w:w="8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(33,867)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Effects of exchange rate difference on cash and cash equivalents</w:t>
            </w:r>
          </w:p>
        </w:tc>
        <w:tc>
          <w:tcPr>
            <w:tcW w:w="13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(971)</w:t>
            </w:r>
          </w:p>
        </w:tc>
        <w:tc>
          <w:tcPr>
            <w:tcW w:w="18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(181)</w:t>
            </w:r>
          </w:p>
        </w:tc>
        <w:tc>
          <w:tcPr>
            <w:tcW w:w="18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ind w:left="60"/>
              <w:spacing w:after="0" w:line="102" w:lineRule="exact"/>
              <w:rPr>
                <w:sz w:val="20"/>
                <w:szCs w:val="20"/>
                <w:color w:val="auto"/>
              </w:rPr>
            </w:pPr>
            <w:r>
              <w:rPr>
                <w:rFonts w:ascii="Arial" w:cs="Arial" w:eastAsia="Arial" w:hAnsi="Arial"/>
                <w:sz w:val="10"/>
                <w:szCs w:val="10"/>
                <w:color w:val="auto"/>
              </w:rPr>
              <w:t>Net (decrease) / increase in cash and cash equivalents</w:t>
            </w:r>
          </w:p>
        </w:tc>
        <w:tc>
          <w:tcPr>
            <w:tcW w:w="1380" w:type="dxa"/>
            <w:vAlign w:val="bottom"/>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0"/>
                <w:szCs w:val="10"/>
                <w:color w:val="auto"/>
              </w:rPr>
              <w:t>(9,011)</w:t>
            </w: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color w:val="auto"/>
              </w:rPr>
              <w:t>35,972</w:t>
            </w: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color w:val="auto"/>
              </w:rPr>
              <w:t>12,997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0"/>
                <w:szCs w:val="10"/>
                <w:color w:val="auto"/>
              </w:rPr>
              <w:t>Cash and cash equivalents at beginning of the year</w:t>
            </w:r>
          </w:p>
        </w:tc>
        <w:tc>
          <w:tcPr>
            <w:tcW w:w="13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57,842</w:t>
            </w:r>
          </w:p>
        </w:tc>
        <w:tc>
          <w:tcPr>
            <w:tcW w:w="18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21,870</w:t>
            </w:r>
          </w:p>
        </w:tc>
        <w:tc>
          <w:tcPr>
            <w:tcW w:w="18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line="102" w:lineRule="exact"/>
              <w:rPr>
                <w:sz w:val="20"/>
                <w:szCs w:val="20"/>
                <w:color w:val="auto"/>
              </w:rPr>
            </w:pPr>
            <w:r>
              <w:rPr>
                <w:rFonts w:ascii="Arial" w:cs="Arial" w:eastAsia="Arial" w:hAnsi="Arial"/>
                <w:sz w:val="10"/>
                <w:szCs w:val="10"/>
                <w:b w:val="1"/>
                <w:bCs w:val="1"/>
                <w:color w:val="auto"/>
              </w:rPr>
              <w:t>Cash and cash equivalents at end of the year</w:t>
            </w:r>
          </w:p>
        </w:tc>
        <w:tc>
          <w:tcPr>
            <w:tcW w:w="13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48,831</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57,842</w:t>
            </w: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21,870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48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800" w:type="dxa"/>
            <w:vAlign w:val="bottom"/>
          </w:tcPr>
          <w:p>
            <w:pPr>
              <w:spacing w:after="0"/>
              <w:rPr>
                <w:sz w:val="20"/>
                <w:szCs w:val="20"/>
                <w:color w:val="auto"/>
              </w:rPr>
            </w:pPr>
            <w:r>
              <w:rPr>
                <w:rFonts w:ascii="Arial" w:cs="Arial" w:eastAsia="Arial" w:hAnsi="Arial"/>
                <w:sz w:val="10"/>
                <w:szCs w:val="10"/>
                <w:b w:val="1"/>
                <w:bCs w:val="1"/>
                <w:color w:val="auto"/>
              </w:rPr>
              <w:t>Non-cash items</w:t>
            </w:r>
          </w:p>
        </w:tc>
        <w:tc>
          <w:tcPr>
            <w:tcW w:w="1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Investing cash flows</w:t>
            </w:r>
          </w:p>
        </w:tc>
        <w:tc>
          <w:tcPr>
            <w:tcW w:w="1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tcPr>
          <w:p>
            <w:pPr>
              <w:ind w:left="60"/>
              <w:spacing w:after="0" w:line="111" w:lineRule="exact"/>
              <w:rPr>
                <w:sz w:val="20"/>
                <w:szCs w:val="20"/>
                <w:color w:val="auto"/>
              </w:rPr>
            </w:pPr>
            <w:r>
              <w:rPr>
                <w:rFonts w:ascii="Arial" w:cs="Arial" w:eastAsia="Arial" w:hAnsi="Arial"/>
                <w:sz w:val="10"/>
                <w:szCs w:val="10"/>
                <w:color w:val="auto"/>
              </w:rPr>
              <w:t>Change in accounts payable related to fixed assets</w:t>
            </w:r>
          </w:p>
        </w:tc>
        <w:tc>
          <w:tcPr>
            <w:tcW w:w="13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1,631</w:t>
            </w:r>
          </w:p>
        </w:tc>
        <w:tc>
          <w:tcPr>
            <w:tcW w:w="180" w:type="dxa"/>
            <w:vAlign w:val="bottom"/>
          </w:tcPr>
          <w:p>
            <w:pPr>
              <w:spacing w:after="0"/>
              <w:rPr>
                <w:sz w:val="9"/>
                <w:szCs w:val="9"/>
                <w:color w:val="auto"/>
              </w:rPr>
            </w:pPr>
          </w:p>
        </w:tc>
        <w:tc>
          <w:tcPr>
            <w:tcW w:w="98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8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820" w:type="dxa"/>
            <w:vAlign w:val="bottom"/>
            <w:gridSpan w:val="2"/>
          </w:tcPr>
          <w:p>
            <w:pPr>
              <w:spacing w:after="0"/>
              <w:rPr>
                <w:sz w:val="20"/>
                <w:szCs w:val="20"/>
                <w:color w:val="auto"/>
              </w:rPr>
            </w:pPr>
            <w:r>
              <w:rPr>
                <w:rFonts w:ascii="Arial" w:cs="Arial" w:eastAsia="Arial" w:hAnsi="Arial"/>
                <w:sz w:val="10"/>
                <w:szCs w:val="10"/>
                <w:b w:val="1"/>
                <w:bCs w:val="1"/>
                <w:color w:val="auto"/>
              </w:rPr>
              <w:t>Financing cash flows</w:t>
            </w: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rPr>
              <w:t>New leases</w:t>
            </w:r>
          </w:p>
        </w:tc>
        <w:tc>
          <w:tcPr>
            <w:tcW w:w="1380" w:type="dxa"/>
            <w:vAlign w:val="bottom"/>
            <w:tcBorders>
              <w:bottom w:val="single" w:sz="8" w:color="auto"/>
            </w:tcBorders>
            <w:shd w:val="clear" w:color="auto" w:fill="CCEEFF"/>
          </w:tcPr>
          <w:p>
            <w:pPr>
              <w:jc w:val="center"/>
              <w:ind w:left="208"/>
              <w:spacing w:after="0"/>
              <w:rPr>
                <w:sz w:val="20"/>
                <w:szCs w:val="20"/>
                <w:color w:val="auto"/>
              </w:rPr>
            </w:pPr>
            <w:r>
              <w:rPr>
                <w:rFonts w:ascii="Arial" w:cs="Arial" w:eastAsia="Arial" w:hAnsi="Arial"/>
                <w:sz w:val="10"/>
                <w:szCs w:val="10"/>
                <w:i w:val="1"/>
                <w:iCs w:val="1"/>
                <w:color w:val="auto"/>
              </w:rPr>
              <w:t>13.4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24,072</w:t>
            </w:r>
          </w:p>
        </w:tc>
        <w:tc>
          <w:tcPr>
            <w:tcW w:w="1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31,790</w:t>
            </w:r>
          </w:p>
        </w:tc>
        <w:tc>
          <w:tcPr>
            <w:tcW w:w="1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24,295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80" w:hanging="445"/>
        <w:spacing w:after="0"/>
        <w:tabs>
          <w:tab w:leader="none" w:pos="48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THE GROUP AND ITS OPERATIONS</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IBEX Holdings Limited “the Holding Company,” was incorporated on February 28, 2017 and changed its name to IBEX Limited on September 11, 2019. IBEX Limited is hereinafter also referred to as “the Holding Company”. The registered office of the Holding Company is situated at Crawford House, 50 Cedar Avenue, Hamilton HM 11, Bermuda, which is also the principal place of business of the Holding Company. “The Group” or the “Company” refers to the Holding Company and its subsidiaries. The Holding Company is controlled by The Resource Group International Limited (“TRGI”) (the “Controlling Shareholder”), of which TRG Pakistan Limited holds a majority interest in TRGI. On August 7, 2020, the Group was admitted to trade on the Nasdaq Global Market on the same date under the ticker symbol “IBEX”. These consolidated financial statements of the Holding Company as of June 30, 2022 and 2021 and for the years ended June 30, 2022, 2021 and 2020 (hereafter the financial year) comprise the financial statements of IBEX Limited and its subsidiaries.</w:t>
      </w:r>
    </w:p>
    <w:p>
      <w:pPr>
        <w:spacing w:after="0" w:line="15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Group is a leading end-to-end provider of technology-enabled customer lifecycle experience (“CLX”) solutions. Through the Group’s integrated CLX platform, a comprehensive portfolio of solutions is offered to optimize customer acquisition, engagement, expansion and experience for clients. The Group leverages sophisticated technology and proprietary analytics, in combination with its global contact and delivery center footprint and business process outsourcing expertise, to protect and enhance clients’ brands. The Group manages over 200 million interactions each year with consumers on behalf of clients through an omni-channel approach, using voice, web, chat and email.</w:t>
      </w:r>
    </w:p>
    <w:p>
      <w:pPr>
        <w:spacing w:after="0" w:line="15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financial position of the Group, its cash, liquidity position and borrowing facilities are described in Note 10, Note 22.3 and Note 13, respectively, to the consolidated financial statements. In addition, Notes 22 and 24 to the consolidated financial statements include the Group’s objectives, policies and processes for managing its capital; financial risk management objectives; details of financial instruments; exposures to credit risk, market risks and liquidity risks.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Going Concern</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For the year ended June 30, 2022, the Company had net income of $23.0 million, net cash generated from operating activities of $50.1 million and an accumulated deficit of $87.7 million. Current assets exceed current liabilities by $40.9 million as of June 30, 2022. Total borrowings are $15.0 million, including the line of credit of $11.2 million at June 30, 2022 (See Note 13.2). The Group has cash and cash equivalents of $48.8 million as of June 30, 2022.</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for at least a period of twelve months from the date of approval of these consolidated financial statements. This basis of accounting contemplates the recovery of the Company’s assets and the satisfaction of liabilities in the normal course of business.</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During fiscal year 2022, the Company incurred non-recurring expenses due to COVID-19 (the Pandemic) of $1.6 million, primarily in the form of transportation expenses. The Company believes that its liquidity and operating cash flow will be sufficient to absorb additional costs for a period of at least 12 months from date of approval of the consolidated financial statements. Refer to Note 24 for more information on the Company’s capital risk management practices.</w:t>
      </w:r>
    </w:p>
    <w:p>
      <w:pPr>
        <w:spacing w:after="0" w:line="151"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We believe that the Pandemic continues to present risks and opportunities for our business. Any weakening of the economy, including but not limited to, the Pandemic, rising global inflation, or rising interest rates, could have an impact on consumer demand for goods and services, thus impacting demand from consumer-facing businesses for customer support. On the other hand, our client base has a heavy preponderance of companies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that either provide online services, are enablers of the online economy, or are inflation resistant (such as healthcare providers), and are likely to see continued demand for their services despite these global economic uncertainties.</w:t>
      </w:r>
    </w:p>
    <w:p>
      <w:pPr>
        <w:spacing w:after="0" w:line="124" w:lineRule="exact"/>
        <w:rPr>
          <w:sz w:val="20"/>
          <w:szCs w:val="20"/>
          <w:color w:val="auto"/>
        </w:rPr>
      </w:pPr>
    </w:p>
    <w:p>
      <w:pPr>
        <w:jc w:val="both"/>
        <w:ind w:left="40" w:right="39"/>
        <w:spacing w:after="0" w:line="252" w:lineRule="auto"/>
        <w:rPr>
          <w:sz w:val="20"/>
          <w:szCs w:val="20"/>
          <w:color w:val="auto"/>
        </w:rPr>
      </w:pPr>
      <w:r>
        <w:rPr>
          <w:rFonts w:ascii="Arial" w:cs="Arial" w:eastAsia="Arial" w:hAnsi="Arial"/>
          <w:sz w:val="14"/>
          <w:szCs w:val="14"/>
          <w:color w:val="auto"/>
        </w:rPr>
        <w:t>In August 2020, we detected a ransomware attack that briefly impacted a portion of our information technology systems. At no time did the attack impact our business operations or accounting systems, but the unauthorized access included the exfiltration of certain non-production data files from a file server in our backup data center. In conjunction with our containment activities, we launched an investigation, notified our insurance broker and carrier, and engaged an incident response team and cybersecurity forensics firm. In March 2022, a class action lawsuit was filed against the Company in the United States District Court for the District of Columbia alleging plaintiffs’ personal information was exposed as a result of the ransomware incident. In July 2022, the parties agreed to a preliminary settlement, which is subject to Court approval and will be fully covered by available insurance. Through the date of issuance of these financial statements, this incident has not had a material financial impact on our business, however we may incur losses associated with claims by third parties, as well as fines, penalties and other sanctions imposed by regulators relating to or arising from the incident, which could have a material adverse impact on our business, financial condition or results of operations in future periods.</w:t>
      </w:r>
    </w:p>
    <w:p>
      <w:pPr>
        <w:spacing w:after="0" w:line="146"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The Company’s forecasts and projections, taking account of reasonably possible changes in trading performance, show that the Company should be able to operate within the level of its current monetary facilities and plans. Management therefore has a reasonable expectation that the Company has adequate resources to continue its operational existence for a period of at least twelve months from the date of approval of these consolidated financial statements, and have therefore adopted the going concern basis of accounting in preparation of these consolidated financial statements.</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Group is comprised of the Holding Company and the following direct subsidiaries with the location (country of incorporation and principal place of business), nature of business and ownership percentage:</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Description</w:t>
            </w:r>
          </w:p>
        </w:tc>
        <w:tc>
          <w:tcPr>
            <w:tcW w:w="2380" w:type="dxa"/>
            <w:vAlign w:val="bottom"/>
            <w:vMerge w:val="restart"/>
          </w:tcPr>
          <w:p>
            <w:pPr>
              <w:jc w:val="center"/>
              <w:ind w:left="1270"/>
              <w:spacing w:after="0"/>
              <w:rPr>
                <w:sz w:val="20"/>
                <w:szCs w:val="20"/>
                <w:color w:val="auto"/>
              </w:rPr>
            </w:pPr>
            <w:r>
              <w:rPr>
                <w:rFonts w:ascii="Arial" w:cs="Arial" w:eastAsia="Arial" w:hAnsi="Arial"/>
                <w:sz w:val="12"/>
                <w:szCs w:val="12"/>
                <w:b w:val="1"/>
                <w:bCs w:val="1"/>
                <w:color w:val="auto"/>
                <w:w w:val="95"/>
              </w:rPr>
              <w:t>Location</w:t>
            </w:r>
          </w:p>
        </w:tc>
        <w:tc>
          <w:tcPr>
            <w:tcW w:w="19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8"/>
              </w:rPr>
              <w:t>Nature of Business</w:t>
            </w:r>
          </w:p>
        </w:tc>
        <w:tc>
          <w:tcPr>
            <w:tcW w:w="1720" w:type="dxa"/>
            <w:vAlign w:val="bottom"/>
            <w:gridSpan w:val="3"/>
          </w:tcPr>
          <w:p>
            <w:pPr>
              <w:jc w:val="right"/>
              <w:ind w:right="580"/>
              <w:spacing w:after="0" w:line="124" w:lineRule="exact"/>
              <w:rPr>
                <w:sz w:val="20"/>
                <w:szCs w:val="20"/>
                <w:color w:val="auto"/>
              </w:rPr>
            </w:pPr>
            <w:r>
              <w:rPr>
                <w:rFonts w:ascii="Arial" w:cs="Arial" w:eastAsia="Arial" w:hAnsi="Arial"/>
                <w:sz w:val="12"/>
                <w:szCs w:val="12"/>
                <w:b w:val="1"/>
                <w:bCs w:val="1"/>
                <w:color w:val="auto"/>
              </w:rPr>
              <w:t>Ownership %</w:t>
            </w:r>
          </w:p>
        </w:tc>
        <w:tc>
          <w:tcPr>
            <w:tcW w:w="0" w:type="dxa"/>
            <w:vAlign w:val="bottom"/>
          </w:tcPr>
          <w:p>
            <w:pPr>
              <w:spacing w:after="0"/>
              <w:rPr>
                <w:sz w:val="1"/>
                <w:szCs w:val="1"/>
                <w:color w:val="auto"/>
              </w:rPr>
            </w:pPr>
          </w:p>
        </w:tc>
      </w:tr>
      <w:tr>
        <w:trPr>
          <w:trHeight w:val="124"/>
        </w:trPr>
        <w:tc>
          <w:tcPr>
            <w:tcW w:w="2860" w:type="dxa"/>
            <w:vAlign w:val="bottom"/>
            <w:gridSpan w:val="3"/>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860" w:type="dxa"/>
            <w:vAlign w:val="bottom"/>
            <w:tcBorders>
              <w:top w:val="single" w:sz="8" w:color="auto"/>
            </w:tcBorders>
          </w:tcPr>
          <w:p>
            <w:pPr>
              <w:jc w:val="right"/>
              <w:ind w:right="392"/>
              <w:spacing w:after="0" w:line="124" w:lineRule="exact"/>
              <w:rPr>
                <w:sz w:val="20"/>
                <w:szCs w:val="20"/>
                <w:color w:val="auto"/>
              </w:rPr>
            </w:pPr>
            <w:r>
              <w:rPr>
                <w:rFonts w:ascii="Arial" w:cs="Arial" w:eastAsia="Arial" w:hAnsi="Arial"/>
                <w:sz w:val="12"/>
                <w:szCs w:val="12"/>
                <w:b w:val="1"/>
                <w:bCs w:val="1"/>
                <w:color w:val="auto"/>
              </w:rPr>
              <w:t>2022</w:t>
            </w:r>
          </w:p>
        </w:tc>
        <w:tc>
          <w:tcPr>
            <w:tcW w:w="700" w:type="dxa"/>
            <w:vAlign w:val="bottom"/>
            <w:tcBorders>
              <w:top w:val="single" w:sz="8" w:color="auto"/>
            </w:tcBorders>
          </w:tcPr>
          <w:p>
            <w:pPr>
              <w:jc w:val="right"/>
              <w:ind w:right="190"/>
              <w:spacing w:after="0" w:line="124"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Arial" w:cs="Arial" w:eastAsia="Arial" w:hAnsi="Arial"/>
                <w:sz w:val="15"/>
                <w:szCs w:val="15"/>
                <w:b w:val="1"/>
                <w:bCs w:val="1"/>
                <w:color w:val="auto"/>
                <w:w w:val="94"/>
              </w:rPr>
              <w:t>Subsidiaries</w:t>
            </w:r>
          </w:p>
        </w:tc>
        <w:tc>
          <w:tcPr>
            <w:tcW w:w="1980" w:type="dxa"/>
            <w:vAlign w:val="bottom"/>
            <w:tcBorders>
              <w:top w:val="single" w:sz="8" w:color="auto"/>
              <w:bottom w:val="single" w:sz="8" w:color="CCEEFF"/>
            </w:tcBorders>
            <w:shd w:val="clear" w:color="auto" w:fill="CCEEFF"/>
          </w:tcPr>
          <w:p>
            <w:pPr>
              <w:spacing w:after="0"/>
              <w:rPr>
                <w:sz w:val="13"/>
                <w:szCs w:val="13"/>
                <w:color w:val="auto"/>
              </w:rPr>
            </w:pPr>
          </w:p>
        </w:tc>
        <w:tc>
          <w:tcPr>
            <w:tcW w:w="2380" w:type="dxa"/>
            <w:vAlign w:val="bottom"/>
            <w:tcBorders>
              <w:top w:val="single" w:sz="8" w:color="auto"/>
              <w:bottom w:val="single" w:sz="8" w:color="CCEEFF"/>
            </w:tcBorders>
            <w:shd w:val="clear" w:color="auto" w:fill="CCEEFF"/>
          </w:tcPr>
          <w:p>
            <w:pPr>
              <w:spacing w:after="0"/>
              <w:rPr>
                <w:sz w:val="13"/>
                <w:szCs w:val="13"/>
                <w:color w:val="auto"/>
              </w:rPr>
            </w:pPr>
          </w:p>
        </w:tc>
        <w:tc>
          <w:tcPr>
            <w:tcW w:w="198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gridSpan w:val="2"/>
          </w:tcPr>
          <w:p>
            <w:pPr>
              <w:spacing w:after="0" w:line="148" w:lineRule="exact"/>
              <w:rPr>
                <w:sz w:val="20"/>
                <w:szCs w:val="20"/>
                <w:color w:val="auto"/>
              </w:rPr>
            </w:pPr>
            <w:r>
              <w:rPr>
                <w:rFonts w:ascii="Arial" w:cs="Arial" w:eastAsia="Arial" w:hAnsi="Arial"/>
                <w:sz w:val="15"/>
                <w:szCs w:val="15"/>
                <w:color w:val="auto"/>
              </w:rPr>
              <w:t>IBEX Global Limited</w:t>
            </w:r>
          </w:p>
        </w:tc>
        <w:tc>
          <w:tcPr>
            <w:tcW w:w="2380" w:type="dxa"/>
            <w:vAlign w:val="bottom"/>
          </w:tcPr>
          <w:p>
            <w:pPr>
              <w:jc w:val="center"/>
              <w:ind w:left="1270"/>
              <w:spacing w:after="0" w:line="148" w:lineRule="exact"/>
              <w:rPr>
                <w:sz w:val="20"/>
                <w:szCs w:val="20"/>
                <w:color w:val="auto"/>
              </w:rPr>
            </w:pPr>
            <w:r>
              <w:rPr>
                <w:rFonts w:ascii="Arial" w:cs="Arial" w:eastAsia="Arial" w:hAnsi="Arial"/>
                <w:sz w:val="15"/>
                <w:szCs w:val="15"/>
                <w:color w:val="auto"/>
                <w:w w:val="98"/>
              </w:rPr>
              <w:t>Bermuda</w:t>
            </w:r>
          </w:p>
        </w:tc>
        <w:tc>
          <w:tcPr>
            <w:tcW w:w="1980" w:type="dxa"/>
            <w:vAlign w:val="bottom"/>
          </w:tcPr>
          <w:p>
            <w:pPr>
              <w:jc w:val="center"/>
              <w:ind w:right="50"/>
              <w:spacing w:after="0" w:line="148" w:lineRule="exact"/>
              <w:rPr>
                <w:sz w:val="20"/>
                <w:szCs w:val="20"/>
                <w:color w:val="auto"/>
              </w:rPr>
            </w:pPr>
            <w:r>
              <w:rPr>
                <w:rFonts w:ascii="Arial" w:cs="Arial" w:eastAsia="Arial" w:hAnsi="Arial"/>
                <w:sz w:val="15"/>
                <w:szCs w:val="15"/>
                <w:color w:val="auto"/>
                <w:w w:val="98"/>
              </w:rPr>
              <w:t>Holding Company</w:t>
            </w:r>
          </w:p>
        </w:tc>
        <w:tc>
          <w:tcPr>
            <w:tcW w:w="860" w:type="dxa"/>
            <w:vAlign w:val="bottom"/>
          </w:tcPr>
          <w:p>
            <w:pPr>
              <w:jc w:val="right"/>
              <w:ind w:right="112"/>
              <w:spacing w:after="0" w:line="148" w:lineRule="exact"/>
              <w:rPr>
                <w:sz w:val="20"/>
                <w:szCs w:val="20"/>
                <w:color w:val="auto"/>
              </w:rPr>
            </w:pPr>
            <w:r>
              <w:rPr>
                <w:rFonts w:ascii="Arial" w:cs="Arial" w:eastAsia="Arial" w:hAnsi="Arial"/>
                <w:sz w:val="15"/>
                <w:szCs w:val="15"/>
                <w:color w:val="auto"/>
              </w:rPr>
              <w:t>100 %</w:t>
            </w:r>
          </w:p>
        </w:tc>
        <w:tc>
          <w:tcPr>
            <w:tcW w:w="860" w:type="dxa"/>
            <w:vAlign w:val="bottom"/>
            <w:gridSpan w:val="2"/>
          </w:tcPr>
          <w:p>
            <w:pPr>
              <w:jc w:val="right"/>
              <w:ind w:right="40"/>
              <w:spacing w:after="0" w:line="148" w:lineRule="exact"/>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DGS Limited</w:t>
            </w:r>
          </w:p>
        </w:tc>
        <w:tc>
          <w:tcPr>
            <w:tcW w:w="2380" w:type="dxa"/>
            <w:vAlign w:val="bottom"/>
            <w:shd w:val="clear" w:color="auto" w:fill="CCEEFF"/>
          </w:tcPr>
          <w:p>
            <w:pPr>
              <w:jc w:val="center"/>
              <w:ind w:left="1270"/>
              <w:spacing w:after="0" w:line="166" w:lineRule="exact"/>
              <w:rPr>
                <w:sz w:val="20"/>
                <w:szCs w:val="20"/>
                <w:color w:val="auto"/>
              </w:rPr>
            </w:pPr>
            <w:r>
              <w:rPr>
                <w:rFonts w:ascii="Arial" w:cs="Arial" w:eastAsia="Arial" w:hAnsi="Arial"/>
                <w:sz w:val="15"/>
                <w:szCs w:val="15"/>
                <w:color w:val="auto"/>
                <w:w w:val="98"/>
              </w:rPr>
              <w:t>Bermuda</w:t>
            </w:r>
          </w:p>
        </w:tc>
        <w:tc>
          <w:tcPr>
            <w:tcW w:w="1980" w:type="dxa"/>
            <w:vAlign w:val="bottom"/>
            <w:shd w:val="clear" w:color="auto" w:fill="CCEEFF"/>
          </w:tcPr>
          <w:p>
            <w:pPr>
              <w:jc w:val="center"/>
              <w:ind w:right="50"/>
              <w:spacing w:after="0" w:line="166" w:lineRule="exact"/>
              <w:rPr>
                <w:sz w:val="20"/>
                <w:szCs w:val="20"/>
                <w:color w:val="auto"/>
              </w:rPr>
            </w:pPr>
            <w:r>
              <w:rPr>
                <w:rFonts w:ascii="Arial" w:cs="Arial" w:eastAsia="Arial" w:hAnsi="Arial"/>
                <w:sz w:val="15"/>
                <w:szCs w:val="15"/>
                <w:color w:val="auto"/>
                <w:w w:val="98"/>
              </w:rPr>
              <w:t>Holding Company</w:t>
            </w:r>
          </w:p>
        </w:tc>
        <w:tc>
          <w:tcPr>
            <w:tcW w:w="860" w:type="dxa"/>
            <w:vAlign w:val="bottom"/>
            <w:shd w:val="clear" w:color="auto" w:fill="CCEEFF"/>
          </w:tcPr>
          <w:p>
            <w:pPr>
              <w:jc w:val="right"/>
              <w:ind w:right="112"/>
              <w:spacing w:after="0" w:line="166" w:lineRule="exact"/>
              <w:rPr>
                <w:sz w:val="20"/>
                <w:szCs w:val="20"/>
                <w:color w:val="auto"/>
              </w:rPr>
            </w:pPr>
            <w:r>
              <w:rPr>
                <w:rFonts w:ascii="Arial" w:cs="Arial" w:eastAsia="Arial" w:hAnsi="Arial"/>
                <w:sz w:val="15"/>
                <w:szCs w:val="15"/>
                <w:color w:val="auto"/>
              </w:rPr>
              <w:t>100 %</w:t>
            </w:r>
          </w:p>
        </w:tc>
        <w:tc>
          <w:tcPr>
            <w:tcW w:w="86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40" w:type="dxa"/>
            <w:vAlign w:val="bottom"/>
            <w:gridSpan w:val="2"/>
          </w:tcPr>
          <w:p>
            <w:pPr>
              <w:spacing w:after="0" w:line="166" w:lineRule="exact"/>
              <w:rPr>
                <w:sz w:val="20"/>
                <w:szCs w:val="20"/>
                <w:color w:val="auto"/>
              </w:rPr>
            </w:pPr>
            <w:r>
              <w:rPr>
                <w:rFonts w:ascii="Arial" w:cs="Arial" w:eastAsia="Arial" w:hAnsi="Arial"/>
                <w:sz w:val="15"/>
                <w:szCs w:val="15"/>
                <w:color w:val="auto"/>
              </w:rPr>
              <w:t>iSky Inc.</w:t>
            </w:r>
          </w:p>
        </w:tc>
        <w:tc>
          <w:tcPr>
            <w:tcW w:w="2380" w:type="dxa"/>
            <w:vAlign w:val="bottom"/>
          </w:tcPr>
          <w:p>
            <w:pPr>
              <w:jc w:val="center"/>
              <w:ind w:left="1290"/>
              <w:spacing w:after="0" w:line="166" w:lineRule="exact"/>
              <w:rPr>
                <w:sz w:val="20"/>
                <w:szCs w:val="20"/>
                <w:color w:val="auto"/>
              </w:rPr>
            </w:pPr>
            <w:r>
              <w:rPr>
                <w:rFonts w:ascii="Arial" w:cs="Arial" w:eastAsia="Arial" w:hAnsi="Arial"/>
                <w:sz w:val="15"/>
                <w:szCs w:val="15"/>
                <w:color w:val="auto"/>
                <w:w w:val="97"/>
              </w:rPr>
              <w:t>USA</w:t>
            </w:r>
          </w:p>
        </w:tc>
        <w:tc>
          <w:tcPr>
            <w:tcW w:w="1980" w:type="dxa"/>
            <w:vAlign w:val="bottom"/>
          </w:tcPr>
          <w:p>
            <w:pPr>
              <w:jc w:val="center"/>
              <w:ind w:right="30"/>
              <w:spacing w:after="0" w:line="166" w:lineRule="exact"/>
              <w:rPr>
                <w:sz w:val="20"/>
                <w:szCs w:val="20"/>
                <w:color w:val="auto"/>
              </w:rPr>
            </w:pPr>
            <w:r>
              <w:rPr>
                <w:rFonts w:ascii="Arial" w:cs="Arial" w:eastAsia="Arial" w:hAnsi="Arial"/>
                <w:sz w:val="15"/>
                <w:szCs w:val="15"/>
                <w:color w:val="auto"/>
                <w:w w:val="98"/>
              </w:rPr>
              <w:t>Customer experience</w:t>
            </w:r>
          </w:p>
        </w:tc>
        <w:tc>
          <w:tcPr>
            <w:tcW w:w="860" w:type="dxa"/>
            <w:vAlign w:val="bottom"/>
          </w:tcPr>
          <w:p>
            <w:pPr>
              <w:jc w:val="right"/>
              <w:ind w:right="112"/>
              <w:spacing w:after="0" w:line="166" w:lineRule="exact"/>
              <w:rPr>
                <w:sz w:val="20"/>
                <w:szCs w:val="20"/>
                <w:color w:val="auto"/>
              </w:rPr>
            </w:pPr>
            <w:r>
              <w:rPr>
                <w:rFonts w:ascii="Arial" w:cs="Arial" w:eastAsia="Arial" w:hAnsi="Arial"/>
                <w:sz w:val="15"/>
                <w:szCs w:val="15"/>
                <w:color w:val="auto"/>
              </w:rPr>
              <w:t>— %</w:t>
            </w:r>
          </w:p>
        </w:tc>
        <w:tc>
          <w:tcPr>
            <w:tcW w:w="86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On July 30, 2021, iSky, Inc. was converted from a C corporation to a limited liability company, by the filing of a certificate of conversion and formation with the Delaware Secretary of State. The subsidiary is now known as iSky, LLC and is a wholly-owned subsidiary of Ibex Global Solutions, Inc. Please refer to Note 29 for the indirect subsidiaries of the Holding Company.</w:t>
      </w:r>
    </w:p>
    <w:p>
      <w:pPr>
        <w:spacing w:after="0" w:line="135" w:lineRule="exact"/>
        <w:rPr>
          <w:sz w:val="20"/>
          <w:szCs w:val="20"/>
          <w:color w:val="auto"/>
        </w:rPr>
      </w:pPr>
    </w:p>
    <w:p>
      <w:pPr>
        <w:ind w:left="480" w:hanging="445"/>
        <w:spacing w:after="0"/>
        <w:tabs>
          <w:tab w:leader="none" w:pos="48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PREPARATION</w:t>
      </w:r>
    </w:p>
    <w:p>
      <w:pPr>
        <w:spacing w:after="0" w:line="170" w:lineRule="exact"/>
        <w:rPr>
          <w:rFonts w:ascii="Arial" w:cs="Arial" w:eastAsia="Arial" w:hAnsi="Arial"/>
          <w:sz w:val="15"/>
          <w:szCs w:val="15"/>
          <w:b w:val="1"/>
          <w:bCs w:val="1"/>
          <w:color w:val="auto"/>
        </w:rPr>
      </w:pPr>
    </w:p>
    <w:p>
      <w:pPr>
        <w:ind w:left="480" w:hanging="445"/>
        <w:spacing w:after="0"/>
        <w:tabs>
          <w:tab w:leader="none" w:pos="48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Statement of compliance</w:t>
      </w:r>
    </w:p>
    <w:p>
      <w:pPr>
        <w:spacing w:after="0" w:line="170"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These consolidated financial statements have been prepared in accordance with International Financial Reporting Standards, International Accounting Standards and Interpretations (IFRS), as issued by the International Accounting Standards Board (IASB).</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principal accounting policies applied in the preparation of the consolidated financial statements are set out below. These policies have been consistently applied to all of the years presented.</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These consolidated financial statements do not include any information or disclosures that, not requiring presentation due to their qualitative significance, have been determined as immaterial or of no relevance pursuant to the concepts of materiality or relevance defined in the IFRS conceptual framework, insofar as the Group’s consolidated financial statements, taken as a whole, are concerned. All amounts are presented in thousands of dollars, unless otherwise indicated, rounded to the nearest $1,000.</w:t>
      </w:r>
    </w:p>
    <w:p>
      <w:pPr>
        <w:spacing w:after="0" w:line="151"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Basis of measurement</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consolidated financial statements have been prepared on the basis of historical cost convention, except as otherwise disclosed, and assuming that the Group will continue as a going concern, which contemplates the realization of assets and satisfaction of liabilities in the normal course of business.</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For the fiscal year ended June 30, 2021, right of use assets were bifurcated from property, plant, &amp; equipment on the statement of financial position to conform to the current year presentation. Further, the property and equipment table disclosure in footnote 6 has been updated to reflect only owned assets. These changes have no impact on previously reported financial position, net income, or cash flows.</w:t>
      </w:r>
    </w:p>
    <w:p>
      <w:pPr>
        <w:spacing w:after="0" w:line="151"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4"/>
          <w:szCs w:val="14"/>
          <w:b w:val="1"/>
          <w:bCs w:val="1"/>
          <w:color w:val="auto"/>
        </w:rPr>
        <w:t>Functional and presentation currency</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4"/>
          <w:szCs w:val="14"/>
          <w:color w:val="auto"/>
        </w:rPr>
        <w:t>As noted in Note 25.1, the Group generates approximately 97% of its revenue from clients based in the United States of America, which is denominated in United States Dollars (US$ or USD). However, the Group conducts transactions in multiple currencies to carry out its business in various other jurisdictions as needed. The consolidated financial statements are presented in US$, which is the Holding Company’s functional and presentation currency. Amounts are rounded to the nearest thousands of US$, unless otherwise stated.</w:t>
      </w:r>
    </w:p>
    <w:p>
      <w:pPr>
        <w:spacing w:after="0" w:line="135"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Transactions denominated in foreign currencies are translated into USD at the exchange rate at the end of the previous month-end. Monetary items in the statement of financial position are translated at the closing rate at each reporting date and the relevant translation adjustments are recognized in the financial result.</w:t>
      </w:r>
    </w:p>
    <w:p>
      <w:pPr>
        <w:spacing w:after="0" w:line="14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4"/>
          <w:szCs w:val="14"/>
          <w:b w:val="1"/>
          <w:bCs w:val="1"/>
          <w:color w:val="auto"/>
        </w:rPr>
        <w:t>Critical accounting estimates and judgments</w:t>
      </w:r>
    </w:p>
    <w:p>
      <w:pPr>
        <w:spacing w:after="0" w:line="170" w:lineRule="exact"/>
        <w:rPr>
          <w:sz w:val="20"/>
          <w:szCs w:val="20"/>
          <w:color w:val="auto"/>
        </w:rPr>
      </w:pPr>
    </w:p>
    <w:p>
      <w:pPr>
        <w:jc w:val="both"/>
        <w:ind w:left="40" w:right="59"/>
        <w:spacing w:after="0" w:line="236" w:lineRule="auto"/>
        <w:rPr>
          <w:sz w:val="20"/>
          <w:szCs w:val="20"/>
          <w:color w:val="auto"/>
        </w:rPr>
      </w:pPr>
      <w:r>
        <w:rPr>
          <w:rFonts w:ascii="Arial" w:cs="Arial" w:eastAsia="Arial" w:hAnsi="Arial"/>
          <w:sz w:val="15"/>
          <w:szCs w:val="15"/>
          <w:color w:val="auto"/>
        </w:rPr>
        <w:t>These consolidated financial statements are prepared in conformity with IFRS as issued by the IASB, which requires management to make estimates and assumptions that affect the reported amounts of assets and liabilities at the date of the consolidated financial statements and the reported amounts of revenues and expenses during the periods. Accounting estimates require the use of significant management assumptions and judgments as to future events, and the effect of those events cannot be predicted with certainty. The accounting estimates will change as new events occur, more experience is acquired and more information is obtained. We evaluate and update our assumptions and estimates on an ongoing basis and use outside experts to assist in that evaluation when we deem necessary.</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In the process of applying the Group’s accounting policies, management has made the following estimates and judgments which are significant to the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Critical accounting estimates</w:t>
      </w:r>
    </w:p>
    <w:p>
      <w:pPr>
        <w:spacing w:after="0" w:line="168" w:lineRule="exact"/>
        <w:rPr>
          <w:sz w:val="20"/>
          <w:szCs w:val="20"/>
          <w:color w:val="auto"/>
        </w:rPr>
      </w:pPr>
    </w:p>
    <w:p>
      <w:pPr>
        <w:ind w:left="300" w:hanging="265"/>
        <w:spacing w:after="0"/>
        <w:tabs>
          <w:tab w:leader="none" w:pos="300" w:val="left"/>
        </w:tabs>
        <w:numPr>
          <w:ilvl w:val="0"/>
          <w:numId w:val="66"/>
        </w:numPr>
        <w:rPr>
          <w:rFonts w:ascii="Times New Roman" w:cs="Times New Roman" w:eastAsia="Times New Roman" w:hAnsi="Times New Roman"/>
          <w:sz w:val="15"/>
          <w:szCs w:val="15"/>
          <w:color w:val="auto"/>
        </w:rPr>
      </w:pPr>
      <w:r>
        <w:rPr>
          <w:rFonts w:ascii="Arial" w:cs="Arial" w:eastAsia="Arial" w:hAnsi="Arial"/>
          <w:sz w:val="15"/>
          <w:szCs w:val="15"/>
          <w:color w:val="auto"/>
        </w:rPr>
        <w:t>Impairment of intangibles</w:t>
      </w:r>
    </w:p>
    <w:p>
      <w:pPr>
        <w:spacing w:after="0" w:line="18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Goodwill: The calculation for considering the impairment of the carrying amount of goodwill requires a comparison of the recoverable amount of the cash-generating units to which goodwill has been allocated, to the value of goodwill and the associated assets in the consolidated statement of financial position. The calculation of recoverable amount requires an estimate of the future cash flows expected to arise from the cash generating unit. Judgment is applied in selection of a suitable discount rate and terminal value. The key assumptions made in relation to the impairment of goodwill are set out in Note 4.</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Indefinite Lived Intangibles (patent and trademarks): The indefinite lived intangibles are tested for impairment by comparing their carrying amount to the estimates of their fair value based on estimates of discounted cash flow method. In those instances where the carrying value of an asset exceeds its recoverable amount (i.e. the higher of value in use and fair value less costs to sell), the asset is written down accordingly. For more information see Note 5.</w:t>
      </w:r>
    </w:p>
    <w:p>
      <w:pPr>
        <w:spacing w:after="0" w:line="151" w:lineRule="exact"/>
        <w:rPr>
          <w:sz w:val="20"/>
          <w:szCs w:val="20"/>
          <w:color w:val="auto"/>
        </w:rPr>
      </w:pPr>
    </w:p>
    <w:p>
      <w:pPr>
        <w:ind w:left="300" w:hanging="265"/>
        <w:spacing w:after="0"/>
        <w:tabs>
          <w:tab w:leader="none" w:pos="300" w:val="left"/>
        </w:tabs>
        <w:numPr>
          <w:ilvl w:val="0"/>
          <w:numId w:val="67"/>
        </w:numPr>
        <w:rPr>
          <w:rFonts w:ascii="Times New Roman" w:cs="Times New Roman" w:eastAsia="Times New Roman" w:hAnsi="Times New Roman"/>
          <w:sz w:val="15"/>
          <w:szCs w:val="15"/>
          <w:color w:val="auto"/>
        </w:rPr>
      </w:pPr>
      <w:r>
        <w:rPr>
          <w:rFonts w:ascii="Arial" w:cs="Arial" w:eastAsia="Arial" w:hAnsi="Arial"/>
          <w:sz w:val="15"/>
          <w:szCs w:val="15"/>
          <w:color w:val="auto"/>
        </w:rPr>
        <w:t>Impairment of financial assets</w:t>
      </w:r>
    </w:p>
    <w:p>
      <w:pPr>
        <w:spacing w:after="0" w:line="181"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Group applies the IFRS 9 simplified approach to measuring expected credit losses using a lifetime expected credit loss provision for trade receivables and contract assets. To measure expected credit losses on a collective basis, trade receivables and contract assets are grouped based on similar credit risk and aging. The contract assets have similar risk characteristics to the trade receivables for similar types of contracts. For more information see Note 22.2.</w:t>
      </w:r>
    </w:p>
    <w:p>
      <w:pPr>
        <w:spacing w:after="0" w:line="151" w:lineRule="exact"/>
        <w:rPr>
          <w:sz w:val="20"/>
          <w:szCs w:val="20"/>
          <w:color w:val="auto"/>
        </w:rPr>
      </w:pPr>
    </w:p>
    <w:p>
      <w:pPr>
        <w:ind w:left="300" w:hanging="265"/>
        <w:spacing w:after="0"/>
        <w:tabs>
          <w:tab w:leader="none" w:pos="30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Depreciation and amortization</w:t>
      </w:r>
    </w:p>
    <w:p>
      <w:pPr>
        <w:spacing w:after="0" w:line="18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Estimation of useful lives of property and equipment and intangible assets: The Group estimates the useful lives of property and equipment and intangible assets based on the period over which the assets are expected to be available for use. The estimated useful lives of property and equipment and intangible assets are reviewed periodically and are updated if expectations differ from previous estimates due to physical wear and tear, technical or commercial obsolescence and legal or other limits on the use of the assets. For more information see Note 5 and 6.</w:t>
      </w:r>
    </w:p>
    <w:p>
      <w:pPr>
        <w:spacing w:after="0" w:line="151" w:lineRule="exact"/>
        <w:rPr>
          <w:sz w:val="20"/>
          <w:szCs w:val="20"/>
          <w:color w:val="auto"/>
        </w:rPr>
      </w:pPr>
    </w:p>
    <w:p>
      <w:pPr>
        <w:ind w:left="260" w:hanging="225"/>
        <w:spacing w:after="0"/>
        <w:tabs>
          <w:tab w:leader="none" w:pos="2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Market value of common shares / fair market value of warrants</w:t>
      </w:r>
    </w:p>
    <w:p>
      <w:pPr>
        <w:spacing w:after="0" w:line="159"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Company is listed on a public marketplace (Nasdaq) as of June 30, 2022, and June 30, 2021, and as such, has used the Black-Scholes valuation model to calculate the fair value of the share options/awards on the grant date and to calculate the fair value of warrants. The calculation of fair value includes the price per share, expected term, expected volatility, expected dividends and the risk-free interest rate.</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the Company was not listed on a public marketplace as of June 30, 2020, the calculation of the market value of its common shares is subject to a greater degree of estimation in determining the basis for any share awards that the Company may issue.</w:t>
      </w:r>
    </w:p>
    <w:p>
      <w:pPr>
        <w:spacing w:after="0" w:line="135"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For purposes of determining the historical share-based compensation expense, the Company used the Monte Carlo simulation to calculate the fair value of the restricted stock awards (the “RSAs”) on the grant date as the Company was not listed on a public marketplace. The determination of the grant date fair value of the RSAs using a pricing model is affected by estimates and assumptions regarding a number of complex and subjective variables. These variables include the estimated fair value of the common shares, the expected price volatility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of the common shares over the expected term of the RSAs and exercise and cancellation behaviors, each of which are estimated as follows:</w:t>
      </w:r>
    </w:p>
    <w:p>
      <w:pPr>
        <w:spacing w:after="0" w:line="135" w:lineRule="exact"/>
        <w:rPr>
          <w:sz w:val="20"/>
          <w:szCs w:val="20"/>
          <w:color w:val="auto"/>
        </w:rPr>
      </w:pPr>
    </w:p>
    <w:p>
      <w:pPr>
        <w:ind w:left="580" w:right="59" w:hanging="258"/>
        <w:spacing w:after="0" w:line="273" w:lineRule="auto"/>
        <w:tabs>
          <w:tab w:leader="none" w:pos="580" w:val="left"/>
        </w:tabs>
        <w:numPr>
          <w:ilvl w:val="0"/>
          <w:numId w:val="70"/>
        </w:numPr>
        <w:rPr>
          <w:rFonts w:ascii="Times New Roman" w:cs="Times New Roman" w:eastAsia="Times New Roman" w:hAnsi="Times New Roman"/>
          <w:sz w:val="15"/>
          <w:szCs w:val="15"/>
          <w:color w:val="auto"/>
        </w:rPr>
      </w:pPr>
      <w:r>
        <w:rPr>
          <w:rFonts w:ascii="Arial" w:cs="Arial" w:eastAsia="Arial" w:hAnsi="Arial"/>
          <w:sz w:val="15"/>
          <w:szCs w:val="15"/>
          <w:color w:val="auto"/>
        </w:rPr>
        <w:t>Fair value of the Company</w:t>
      </w:r>
      <w:r>
        <w:rPr>
          <w:rFonts w:ascii="Times New Roman" w:cs="Times New Roman" w:eastAsia="Times New Roman" w:hAnsi="Times New Roman"/>
          <w:sz w:val="15"/>
          <w:szCs w:val="15"/>
          <w:color w:val="auto"/>
        </w:rPr>
        <w:t>’</w:t>
      </w:r>
      <w:r>
        <w:rPr>
          <w:rFonts w:ascii="Arial" w:cs="Arial" w:eastAsia="Arial" w:hAnsi="Arial"/>
          <w:sz w:val="15"/>
          <w:szCs w:val="15"/>
          <w:color w:val="auto"/>
        </w:rPr>
        <w:t>s common shares: As the Company</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s common shares are not publicly traded as of June 30, 2020, the Company must estimate the fair value of the common shares, as discussed in </w:t>
      </w:r>
      <w:r>
        <w:rPr>
          <w:rFonts w:ascii="Times New Roman" w:cs="Times New Roman" w:eastAsia="Times New Roman" w:hAnsi="Times New Roman"/>
          <w:sz w:val="15"/>
          <w:szCs w:val="15"/>
          <w:color w:val="auto"/>
        </w:rPr>
        <w:t>“</w:t>
      </w:r>
      <w:r>
        <w:rPr>
          <w:rFonts w:ascii="Arial" w:cs="Arial" w:eastAsia="Arial" w:hAnsi="Arial"/>
          <w:sz w:val="15"/>
          <w:szCs w:val="15"/>
          <w:color w:val="auto"/>
        </w:rPr>
        <w:t>Valuations of Common Shares</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below.</w:t>
      </w:r>
    </w:p>
    <w:p>
      <w:pPr>
        <w:spacing w:after="0" w:line="137" w:lineRule="exact"/>
        <w:rPr>
          <w:rFonts w:ascii="Times New Roman" w:cs="Times New Roman" w:eastAsia="Times New Roman" w:hAnsi="Times New Roman"/>
          <w:sz w:val="15"/>
          <w:szCs w:val="15"/>
          <w:color w:val="auto"/>
        </w:rPr>
      </w:pPr>
    </w:p>
    <w:p>
      <w:pPr>
        <w:jc w:val="both"/>
        <w:ind w:left="580" w:right="39" w:hanging="258"/>
        <w:spacing w:after="0" w:line="238" w:lineRule="auto"/>
        <w:tabs>
          <w:tab w:leader="none" w:pos="580" w:val="left"/>
        </w:tabs>
        <w:numPr>
          <w:ilvl w:val="0"/>
          <w:numId w:val="70"/>
        </w:numPr>
        <w:rPr>
          <w:rFonts w:ascii="Times New Roman" w:cs="Times New Roman" w:eastAsia="Times New Roman" w:hAnsi="Times New Roman"/>
          <w:sz w:val="15"/>
          <w:szCs w:val="15"/>
          <w:color w:val="auto"/>
        </w:rPr>
      </w:pPr>
      <w:r>
        <w:rPr>
          <w:rFonts w:ascii="Arial" w:cs="Arial" w:eastAsia="Arial" w:hAnsi="Arial"/>
          <w:sz w:val="15"/>
          <w:szCs w:val="15"/>
          <w:color w:val="auto"/>
        </w:rPr>
        <w:t>Volatility: Since there is no trading history for the Company</w:t>
      </w:r>
      <w:r>
        <w:rPr>
          <w:rFonts w:ascii="Times New Roman" w:cs="Times New Roman" w:eastAsia="Times New Roman" w:hAnsi="Times New Roman"/>
          <w:sz w:val="15"/>
          <w:szCs w:val="15"/>
          <w:color w:val="auto"/>
        </w:rPr>
        <w:t>’</w:t>
      </w:r>
      <w:r>
        <w:rPr>
          <w:rFonts w:ascii="Arial" w:cs="Arial" w:eastAsia="Arial" w:hAnsi="Arial"/>
          <w:sz w:val="15"/>
          <w:szCs w:val="15"/>
          <w:color w:val="auto"/>
        </w:rPr>
        <w:t>s common shares as of June 30, 2020, the expected price volatility for the common shares was estimated using the average historical volatility of the shares of our industry peers as of the grant date of the Company</w:t>
      </w:r>
      <w:r>
        <w:rPr>
          <w:rFonts w:ascii="Times New Roman" w:cs="Times New Roman" w:eastAsia="Times New Roman" w:hAnsi="Times New Roman"/>
          <w:sz w:val="15"/>
          <w:szCs w:val="15"/>
          <w:color w:val="auto"/>
        </w:rPr>
        <w:t>’</w:t>
      </w:r>
      <w:r>
        <w:rPr>
          <w:rFonts w:ascii="Arial" w:cs="Arial" w:eastAsia="Arial" w:hAnsi="Arial"/>
          <w:sz w:val="15"/>
          <w:szCs w:val="15"/>
          <w:color w:val="auto"/>
        </w:rPr>
        <w:t>s RSAs over a period of history commensurate with the expected life of the awards. To the extent that volatility of the share price increases in the future, the estimates of the fair value of the awards to be granted in the future could increase, thereby increasing share-based payment expense in future periods. When making the selection of the industry peers to be used in measuring implied volatility of the RSAs, the Company considered the similarity of their products and business lines, as well as their stage of development, size and financial leverage. The Company intends to continue to consistently apply this process using the same or similar public companies until a sufficient amount of historical information regarding the volatility of the Company</w:t>
      </w:r>
      <w:r>
        <w:rPr>
          <w:rFonts w:ascii="Times New Roman" w:cs="Times New Roman" w:eastAsia="Times New Roman" w:hAnsi="Times New Roman"/>
          <w:sz w:val="15"/>
          <w:szCs w:val="15"/>
          <w:color w:val="auto"/>
        </w:rPr>
        <w:t>’</w:t>
      </w:r>
      <w:r>
        <w:rPr>
          <w:rFonts w:ascii="Arial" w:cs="Arial" w:eastAsia="Arial" w:hAnsi="Arial"/>
          <w:sz w:val="15"/>
          <w:szCs w:val="15"/>
          <w:color w:val="auto"/>
        </w:rPr>
        <w:t>s own share price becomes available, or unless circumstances change such that the identified companies are no longer similar to the Company, in which case, more suitable companies whose share prices are publicly available would be utilized in the calculation.</w:t>
      </w:r>
    </w:p>
    <w:p>
      <w:pPr>
        <w:spacing w:after="0" w:line="151" w:lineRule="exact"/>
        <w:rPr>
          <w:rFonts w:ascii="Times New Roman" w:cs="Times New Roman" w:eastAsia="Times New Roman" w:hAnsi="Times New Roman"/>
          <w:sz w:val="15"/>
          <w:szCs w:val="15"/>
          <w:color w:val="auto"/>
        </w:rPr>
      </w:pPr>
    </w:p>
    <w:p>
      <w:pPr>
        <w:jc w:val="both"/>
        <w:ind w:left="580" w:right="59" w:hanging="258"/>
        <w:spacing w:after="0" w:line="259" w:lineRule="auto"/>
        <w:tabs>
          <w:tab w:leader="none" w:pos="580" w:val="left"/>
        </w:tabs>
        <w:numPr>
          <w:ilvl w:val="0"/>
          <w:numId w:val="70"/>
        </w:numPr>
        <w:rPr>
          <w:rFonts w:ascii="Times New Roman" w:cs="Times New Roman" w:eastAsia="Times New Roman" w:hAnsi="Times New Roman"/>
          <w:sz w:val="15"/>
          <w:szCs w:val="15"/>
          <w:color w:val="auto"/>
        </w:rPr>
      </w:pPr>
      <w:r>
        <w:rPr>
          <w:rFonts w:ascii="Arial" w:cs="Arial" w:eastAsia="Arial" w:hAnsi="Arial"/>
          <w:sz w:val="15"/>
          <w:szCs w:val="15"/>
          <w:color w:val="auto"/>
        </w:rPr>
        <w:t>Expected life of the RSAs: The Company calculated the weighted-average expected life of the RSAs to be four years based on management</w:t>
      </w:r>
      <w:r>
        <w:rPr>
          <w:rFonts w:ascii="Times New Roman" w:cs="Times New Roman" w:eastAsia="Times New Roman" w:hAnsi="Times New Roman"/>
          <w:sz w:val="15"/>
          <w:szCs w:val="15"/>
          <w:color w:val="auto"/>
        </w:rPr>
        <w:t>’</w:t>
      </w:r>
      <w:r>
        <w:rPr>
          <w:rFonts w:ascii="Arial" w:cs="Arial" w:eastAsia="Arial" w:hAnsi="Arial"/>
          <w:sz w:val="15"/>
          <w:szCs w:val="15"/>
          <w:color w:val="auto"/>
        </w:rPr>
        <w:t>s best estimates regarding the effect of vesting schedules. RSAs granted may not be sold, pledged, assigned, hypothecated, transferred or disposed of in any manner other than by will or by the laws of descent or distribution.</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Valuations of Common Shares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Given the absence of an active market for the Company’s common shares as of June 30, 2020, the Company was required to estimate the fair value of its common shares at the time of each grant. The Company considered objective and subjective factors in determining the estimated fair value of its common shares on each RSA grant date. Factors considered by the Company included the following:</w:t>
      </w:r>
    </w:p>
    <w:p>
      <w:pPr>
        <w:spacing w:after="0" w:line="146" w:lineRule="exact"/>
        <w:rPr>
          <w:sz w:val="20"/>
          <w:szCs w:val="20"/>
          <w:color w:val="auto"/>
        </w:rPr>
      </w:pPr>
    </w:p>
    <w:p>
      <w:pPr>
        <w:ind w:left="580" w:hanging="258"/>
        <w:spacing w:after="0"/>
        <w:tabs>
          <w:tab w:leader="none" w:pos="58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color w:val="auto"/>
        </w:rPr>
        <w:t>third-party valuations of the Company’s common shares;</w:t>
      </w:r>
    </w:p>
    <w:p>
      <w:pPr>
        <w:spacing w:after="0" w:line="17" w:lineRule="exact"/>
        <w:rPr>
          <w:rFonts w:ascii="Times New Roman" w:cs="Times New Roman" w:eastAsia="Times New Roman" w:hAnsi="Times New Roman"/>
          <w:sz w:val="15"/>
          <w:szCs w:val="15"/>
          <w:color w:val="auto"/>
        </w:rPr>
      </w:pPr>
    </w:p>
    <w:p>
      <w:pPr>
        <w:ind w:left="580" w:hanging="258"/>
        <w:spacing w:after="0"/>
        <w:tabs>
          <w:tab w:leader="none" w:pos="58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color w:val="auto"/>
        </w:rPr>
        <w:t>the lack of marketability of Company’s common shares;</w:t>
      </w:r>
    </w:p>
    <w:p>
      <w:pPr>
        <w:spacing w:after="0" w:line="3" w:lineRule="exact"/>
        <w:rPr>
          <w:rFonts w:ascii="Times New Roman" w:cs="Times New Roman" w:eastAsia="Times New Roman" w:hAnsi="Times New Roman"/>
          <w:sz w:val="15"/>
          <w:szCs w:val="15"/>
          <w:color w:val="auto"/>
        </w:rPr>
      </w:pPr>
    </w:p>
    <w:p>
      <w:pPr>
        <w:ind w:left="580" w:hanging="258"/>
        <w:spacing w:after="0"/>
        <w:tabs>
          <w:tab w:leader="none" w:pos="58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historical and projected operating and financial performance;</w:t>
      </w:r>
    </w:p>
    <w:p>
      <w:pPr>
        <w:spacing w:after="0" w:line="3" w:lineRule="exact"/>
        <w:rPr>
          <w:rFonts w:ascii="Times New Roman" w:cs="Times New Roman" w:eastAsia="Times New Roman" w:hAnsi="Times New Roman"/>
          <w:sz w:val="15"/>
          <w:szCs w:val="15"/>
          <w:color w:val="auto"/>
        </w:rPr>
      </w:pPr>
    </w:p>
    <w:p>
      <w:pPr>
        <w:ind w:left="580" w:hanging="258"/>
        <w:spacing w:after="0"/>
        <w:tabs>
          <w:tab w:leader="none" w:pos="58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introduction of new services;</w:t>
      </w:r>
    </w:p>
    <w:p>
      <w:pPr>
        <w:spacing w:after="0" w:line="3" w:lineRule="exact"/>
        <w:rPr>
          <w:rFonts w:ascii="Times New Roman" w:cs="Times New Roman" w:eastAsia="Times New Roman" w:hAnsi="Times New Roman"/>
          <w:sz w:val="15"/>
          <w:szCs w:val="15"/>
          <w:color w:val="auto"/>
        </w:rPr>
      </w:pPr>
    </w:p>
    <w:p>
      <w:pPr>
        <w:ind w:left="580" w:hanging="258"/>
        <w:spacing w:after="0"/>
        <w:tabs>
          <w:tab w:leader="none" w:pos="58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stage of development;</w:t>
      </w:r>
    </w:p>
    <w:p>
      <w:pPr>
        <w:spacing w:after="0" w:line="3" w:lineRule="exact"/>
        <w:rPr>
          <w:rFonts w:ascii="Times New Roman" w:cs="Times New Roman" w:eastAsia="Times New Roman" w:hAnsi="Times New Roman"/>
          <w:sz w:val="15"/>
          <w:szCs w:val="15"/>
          <w:color w:val="auto"/>
        </w:rPr>
      </w:pPr>
    </w:p>
    <w:p>
      <w:pPr>
        <w:ind w:left="580" w:hanging="258"/>
        <w:spacing w:after="0"/>
        <w:tabs>
          <w:tab w:leader="none" w:pos="58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color w:val="auto"/>
        </w:rPr>
        <w:t>the global economic outlook and its expected impact on the business;</w:t>
      </w:r>
    </w:p>
    <w:p>
      <w:pPr>
        <w:spacing w:after="0" w:line="3" w:lineRule="exact"/>
        <w:rPr>
          <w:rFonts w:ascii="Times New Roman" w:cs="Times New Roman" w:eastAsia="Times New Roman" w:hAnsi="Times New Roman"/>
          <w:sz w:val="15"/>
          <w:szCs w:val="15"/>
          <w:color w:val="auto"/>
        </w:rPr>
      </w:pPr>
    </w:p>
    <w:p>
      <w:pPr>
        <w:ind w:left="580" w:hanging="258"/>
        <w:spacing w:after="0"/>
        <w:tabs>
          <w:tab w:leader="none" w:pos="58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color w:val="auto"/>
        </w:rPr>
        <w:t>the market performance of comparable companies; and</w:t>
      </w:r>
    </w:p>
    <w:p>
      <w:pPr>
        <w:spacing w:after="0" w:line="3" w:lineRule="exact"/>
        <w:rPr>
          <w:rFonts w:ascii="Times New Roman" w:cs="Times New Roman" w:eastAsia="Times New Roman" w:hAnsi="Times New Roman"/>
          <w:sz w:val="15"/>
          <w:szCs w:val="15"/>
          <w:color w:val="auto"/>
        </w:rPr>
      </w:pPr>
    </w:p>
    <w:p>
      <w:pPr>
        <w:ind w:left="580" w:right="59" w:hanging="258"/>
        <w:spacing w:after="0" w:line="239" w:lineRule="auto"/>
        <w:tabs>
          <w:tab w:leader="none" w:pos="58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color w:val="auto"/>
        </w:rPr>
        <w:t>the likelihood of achieving a liquidity event for the common shares underlying the awards, such as an initial public offering or sale of the Company, given prevailing market conditions.</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Company determined valuations of its common shares for purposes of granting awards through a two-step valuation process described below. The Company first estimated the value of its equity. The Company utilized the income and market approaches to estimate its equity value. Then, the Company’s equity value was allocated across the Company’s various equity securities to arrive at a value for the common shares. The income approach, which relies on a discounted cash flow (“DCF”) analysis, measures the value of a company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6" w:name="page137"/>
    <w:bookmarkEnd w:id="13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the present value of its future economic benefits by applying an appropriate risk-adjusted discount rate to expected cash flows, based on forecasts of revenue and costs.</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Company used two forms of the market approach to determine a fair market value for its equity: (i) the guideline public company method (the “GPCM”), and (ii) the merger and acquisition method (the “MAM”).</w:t>
      </w:r>
    </w:p>
    <w:p>
      <w:pPr>
        <w:spacing w:after="0" w:line="135"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GPCM involves the review of pricing and performance information for public companies deemed generally similar to a subject company and subject to similar industry dynamics. The MAM consists of a review of transactions involving similar companies over the last five years. The valuation conclusion was based on the income approach (using DCF analysis), GPCM, and MAM. The Company assigned more weight to the DCF as it better reflected the Company’s operations and placed less weight to the GPCM and MAM. More specifically, less weight was assigned to the MAM as compared to the GPCM given the limited number of transactions involving comparable companies, which made the MAM less meaningful relative to the GPCM.</w:t>
      </w:r>
    </w:p>
    <w:p>
      <w:pPr>
        <w:spacing w:after="0" w:line="150" w:lineRule="exact"/>
        <w:rPr>
          <w:sz w:val="20"/>
          <w:szCs w:val="20"/>
          <w:color w:val="auto"/>
        </w:rPr>
      </w:pPr>
    </w:p>
    <w:p>
      <w:pPr>
        <w:jc w:val="both"/>
        <w:ind w:left="40" w:right="39"/>
        <w:spacing w:after="0" w:line="259" w:lineRule="auto"/>
        <w:rPr>
          <w:sz w:val="20"/>
          <w:szCs w:val="20"/>
          <w:color w:val="auto"/>
        </w:rPr>
      </w:pPr>
      <w:r>
        <w:rPr>
          <w:rFonts w:ascii="Arial" w:cs="Arial" w:eastAsia="Arial" w:hAnsi="Arial"/>
          <w:sz w:val="14"/>
          <w:szCs w:val="14"/>
          <w:color w:val="auto"/>
        </w:rPr>
        <w:t>For each valuation report, the Company first prepared a financial forecast to be used in the computation of the enterprise value using the income approach. The financial forecasts took into account our past experience and future expectations. Second, the risks associated with achieving these forecasts were assessed in selecting the appropriate discount rate. There is inherent uncertainty in these estimates. Third, the Company allocated the resulting equity value among the securities that comprise our capital structure. The aggregate value of the common shares was then divided by the number of common shares outstanding to arrive at the per share value.</w:t>
      </w:r>
    </w:p>
    <w:p>
      <w:pPr>
        <w:spacing w:after="0" w:line="13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Since the fair value of the Company’s common shares has been determined partially by using the DCF analysis, the valuations have been heavily dependent on the Company estimates of revenue, costs and related cash flows. These estimates are highly subjective and may change frequently based on both new operating data as well as various macroeconomic conditions that impact the Company’s business. Each of the valuations was prepared using data that was consistent with the Company’s then-current operating plans that the Company was using to manage its business.</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In addition, the DCF calculations are sensitive to highly subjective assumptions that the Company was required to make relating to its financial forecasts and the selection of an appropriate discount rate, which was based on the Company’s estimated cost of equity.</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Company’s discount rate was determined based on the stage of development at each valuation date and was quantified based on a risk-free discount rate for government debt, capital markets risk, the Company’s sector and size.</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Company granted 2,373,374 restricted share awards at a fair value of $0.61 per restricted common share in December 2018. The fair value of the restricted common shares was based on a Monte Carlo simulation, which can be considered a form of the probability weighted expected return method (“PWERM”), using an equity value as determined via the income approach (present value of discounted cash flows) and the market approaches (guideline public company method and mergers and acquisition method).</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On December 22, 2018, the preference shares were entitled to an aggregate of $149.2 million in participating and non-participating preference. This amount was significantly higher than the fair value of the Company as determined by the Board of Directors as of November 30, 2018 on the basis of the independent valuation referred to in the previous paragraph. Because the common shares are not entitled to any distribution until the applicable preferences are satisfied, the fair value of the common shares was significantly lower than the fair value of the preference shares on November 30, 2018.</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300" w:hanging="265"/>
        <w:spacing w:after="0"/>
        <w:tabs>
          <w:tab w:leader="none" w:pos="300" w:val="left"/>
        </w:tabs>
        <w:numPr>
          <w:ilvl w:val="0"/>
          <w:numId w:val="72"/>
        </w:numPr>
        <w:rPr>
          <w:rFonts w:ascii="Times New Roman" w:cs="Times New Roman" w:eastAsia="Times New Roman" w:hAnsi="Times New Roman"/>
          <w:sz w:val="15"/>
          <w:szCs w:val="15"/>
          <w:color w:val="auto"/>
        </w:rPr>
      </w:pPr>
      <w:r>
        <w:rPr>
          <w:rFonts w:ascii="Arial" w:cs="Arial" w:eastAsia="Arial" w:hAnsi="Arial"/>
          <w:sz w:val="15"/>
          <w:szCs w:val="15"/>
          <w:color w:val="auto"/>
        </w:rPr>
        <w:t>Legal provisions:</w:t>
      </w:r>
    </w:p>
    <w:p>
      <w:pPr>
        <w:spacing w:after="0" w:line="181"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The Group reviews outstanding legal cases following developments in the legal proceedings and at each reporting date, in order to assess the need for provisions and disclosures in the audited consolidated financial statements. Among the factors considered in making decisions on provisions are the nature of litigation, claim or assessment, the legal process and potential level of damages in the jurisdiction in which the litigation, claim or assessment has been brought, the progress of the case (including the progress after the date of the audited consolidated financial statements but before those statements are issued), the opinions or views of legal advisers, experience on similar cases and any decision of the Group’s management as to how it will respond to the litigation, claim or assessment. Refer to Note 16.</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Judgments</w:t>
      </w:r>
    </w:p>
    <w:p>
      <w:pPr>
        <w:spacing w:after="0" w:line="168" w:lineRule="exact"/>
        <w:rPr>
          <w:sz w:val="20"/>
          <w:szCs w:val="20"/>
          <w:color w:val="auto"/>
        </w:rPr>
      </w:pPr>
    </w:p>
    <w:p>
      <w:pPr>
        <w:ind w:left="300" w:hanging="265"/>
        <w:spacing w:after="0"/>
        <w:tabs>
          <w:tab w:leader="none" w:pos="300" w:val="left"/>
        </w:tabs>
        <w:numPr>
          <w:ilvl w:val="0"/>
          <w:numId w:val="73"/>
        </w:numPr>
        <w:rPr>
          <w:rFonts w:ascii="Times New Roman" w:cs="Times New Roman" w:eastAsia="Times New Roman" w:hAnsi="Times New Roman"/>
          <w:sz w:val="15"/>
          <w:szCs w:val="15"/>
          <w:color w:val="auto"/>
        </w:rPr>
      </w:pPr>
      <w:r>
        <w:rPr>
          <w:rFonts w:ascii="Arial" w:cs="Arial" w:eastAsia="Arial" w:hAnsi="Arial"/>
          <w:sz w:val="15"/>
          <w:szCs w:val="15"/>
          <w:color w:val="auto"/>
        </w:rPr>
        <w:t>Leases:</w:t>
      </w:r>
    </w:p>
    <w:p>
      <w:pPr>
        <w:spacing w:after="0" w:line="18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In some cases, judgment may be required in determining whether a contract contains a lease. This assessment involves the exercise of judgment about whether it depends on a specific lease, whether the Group obtains substantially all the economic benefits from the use of that asset and whether the Group has the right to direct the use of that asset. In addition, determining the lease term, the Group considers all facts and circumstances that create an economic incentive to exercise an extension option, or not exercise a termination option. Extension options (or periods after termination options) are only included in the lease term if the lease is reasonably certain (in accordance with lease contracts) to be extended (or not terminated).</w:t>
      </w:r>
    </w:p>
    <w:p>
      <w:pPr>
        <w:spacing w:after="0" w:line="15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lease liability is measured at the present value of the lease payments discounted using the interest rate implicit in the lease. If the implicit rate cannot be readily determined, the Group uses an incremental borrowing rate specific to the country, term and currency of the contract. See Note 6.2 for further information.</w:t>
      </w:r>
    </w:p>
    <w:p>
      <w:pPr>
        <w:spacing w:after="0" w:line="146" w:lineRule="exact"/>
        <w:rPr>
          <w:sz w:val="20"/>
          <w:szCs w:val="20"/>
          <w:color w:val="auto"/>
        </w:rPr>
      </w:pPr>
    </w:p>
    <w:p>
      <w:pPr>
        <w:ind w:left="300" w:hanging="265"/>
        <w:spacing w:after="0"/>
        <w:tabs>
          <w:tab w:leader="none" w:pos="3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5"/>
          <w:szCs w:val="15"/>
          <w:color w:val="auto"/>
        </w:rPr>
        <w:t>Staff retirement plans:</w:t>
      </w:r>
    </w:p>
    <w:p>
      <w:pPr>
        <w:spacing w:after="0" w:line="18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net defined benefit pension scheme assets or liabilities are recognized in the Group’s consolidated statement of financial position. The determination of the position requires assumptions to be made regarding future salary increases, mortality, discount rates and inflation. The key assumptions made in relation to the pension plans are set out in Note 14.1.</w:t>
      </w:r>
    </w:p>
    <w:p>
      <w:pPr>
        <w:spacing w:after="0" w:line="146" w:lineRule="exact"/>
        <w:rPr>
          <w:sz w:val="20"/>
          <w:szCs w:val="20"/>
          <w:color w:val="auto"/>
        </w:rPr>
      </w:pPr>
    </w:p>
    <w:p>
      <w:pPr>
        <w:ind w:left="300" w:hanging="265"/>
        <w:spacing w:after="0"/>
        <w:tabs>
          <w:tab w:leader="none" w:pos="300" w:val="left"/>
        </w:tabs>
        <w:numPr>
          <w:ilvl w:val="0"/>
          <w:numId w:val="75"/>
        </w:numPr>
        <w:rPr>
          <w:rFonts w:ascii="Times New Roman" w:cs="Times New Roman" w:eastAsia="Times New Roman" w:hAnsi="Times New Roman"/>
          <w:sz w:val="15"/>
          <w:szCs w:val="15"/>
          <w:color w:val="auto"/>
        </w:rPr>
      </w:pPr>
      <w:r>
        <w:rPr>
          <w:rFonts w:ascii="Arial" w:cs="Arial" w:eastAsia="Arial" w:hAnsi="Arial"/>
          <w:sz w:val="15"/>
          <w:szCs w:val="15"/>
          <w:color w:val="auto"/>
        </w:rPr>
        <w:t>Share-based payments:</w:t>
      </w:r>
    </w:p>
    <w:p>
      <w:pPr>
        <w:spacing w:after="0" w:line="181"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The share-based payments expense is recognized in the Group’s consolidated statement of profit or loss and other comprehensive income (loss). The key assumptions made in relation to the share-based payments are set out in Note 19.</w:t>
      </w:r>
    </w:p>
    <w:p>
      <w:pPr>
        <w:spacing w:after="0" w:line="135" w:lineRule="exact"/>
        <w:rPr>
          <w:sz w:val="20"/>
          <w:szCs w:val="20"/>
          <w:color w:val="auto"/>
        </w:rPr>
      </w:pPr>
    </w:p>
    <w:p>
      <w:pPr>
        <w:ind w:left="300" w:hanging="265"/>
        <w:spacing w:after="0"/>
        <w:tabs>
          <w:tab w:leader="none" w:pos="300" w:val="left"/>
        </w:tabs>
        <w:numPr>
          <w:ilvl w:val="0"/>
          <w:numId w:val="76"/>
        </w:numPr>
        <w:rPr>
          <w:rFonts w:ascii="Times New Roman" w:cs="Times New Roman" w:eastAsia="Times New Roman" w:hAnsi="Times New Roman"/>
          <w:sz w:val="15"/>
          <w:szCs w:val="15"/>
          <w:color w:val="auto"/>
        </w:rPr>
      </w:pPr>
      <w:r>
        <w:rPr>
          <w:rFonts w:ascii="Arial" w:cs="Arial" w:eastAsia="Arial" w:hAnsi="Arial"/>
          <w:sz w:val="15"/>
          <w:szCs w:val="15"/>
          <w:color w:val="auto"/>
        </w:rPr>
        <w:t>Provision for taxation:</w:t>
      </w:r>
    </w:p>
    <w:p>
      <w:pPr>
        <w:spacing w:after="0" w:line="18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Group is subject to income tax in several jurisdictions and significant judgment is required in determining the provision for current and deferred income taxes. During the ordinary course of business, there are transactions and calculations for which the ultimate tax determination is uncertain. As a result, the Company recognizes tax liabilities based on estimates of whether additional taxes and interest will be due. Although the Group believes that its tax positions are supportable, these tax positions could still be challenged by the tax authorities upon review. The Company believes that its accruals for tax liabilities are adequate for all open audit years based on its assessment of many factors including past experience and interpretations of tax law.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Management evaluates the recoverability of deferred income tax assets by assessing the adequacy of future expected taxable income from all sources, including reversal of taxable temporary differences, forecasted operating earnings and available tax planning strategies, which heavily rely on estimates.</w:t>
      </w:r>
    </w:p>
    <w:p>
      <w:pPr>
        <w:spacing w:after="0" w:line="124"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This assessment relies on estimates and assumptions and may involve a series of complex judgments about future events. To the extent that the final tax outcome of these matters is different than the amounts recorded, such differences will impact current and deferred income tax expense in the period in which such determination is made.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key assumptions made in relation to tax provisioning are set out in Note 18.</w:t>
      </w:r>
    </w:p>
    <w:p>
      <w:pPr>
        <w:spacing w:after="0" w:line="170" w:lineRule="exact"/>
        <w:rPr>
          <w:sz w:val="20"/>
          <w:szCs w:val="20"/>
          <w:color w:val="auto"/>
        </w:rPr>
      </w:pPr>
    </w:p>
    <w:p>
      <w:pPr>
        <w:ind w:left="480" w:hanging="445"/>
        <w:spacing w:after="0"/>
        <w:tabs>
          <w:tab w:leader="none" w:pos="48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70" w:lineRule="exact"/>
        <w:rPr>
          <w:rFonts w:ascii="Arial" w:cs="Arial" w:eastAsia="Arial" w:hAnsi="Arial"/>
          <w:sz w:val="15"/>
          <w:szCs w:val="15"/>
          <w:b w:val="1"/>
          <w:bCs w:val="1"/>
          <w:color w:val="auto"/>
        </w:rPr>
      </w:pPr>
    </w:p>
    <w:p>
      <w:pPr>
        <w:ind w:left="480" w:hanging="445"/>
        <w:spacing w:after="0"/>
        <w:tabs>
          <w:tab w:leader="none" w:pos="48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Basis of consolidation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consolidated financial statements present the results of the Holding Company and its subsidiaries as if they formed a single entity.</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Intercompany transactions and balances between group companies are therefore eliminated in full.</w:t>
      </w:r>
    </w:p>
    <w:p>
      <w:pPr>
        <w:spacing w:after="0" w:line="156"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Where the Company has control over an investee, it is classified as a subsidiary. The Company controls an investee if all three of the following elements are present:</w:t>
      </w:r>
    </w:p>
    <w:p>
      <w:pPr>
        <w:spacing w:after="0" w:line="135" w:lineRule="exact"/>
        <w:rPr>
          <w:sz w:val="20"/>
          <w:szCs w:val="20"/>
          <w:color w:val="auto"/>
        </w:rPr>
      </w:pPr>
    </w:p>
    <w:p>
      <w:pPr>
        <w:ind w:left="300" w:hanging="265"/>
        <w:spacing w:after="0"/>
        <w:tabs>
          <w:tab w:leader="none" w:pos="300" w:val="left"/>
        </w:tabs>
        <w:numPr>
          <w:ilvl w:val="0"/>
          <w:numId w:val="79"/>
        </w:numPr>
        <w:rPr>
          <w:rFonts w:ascii="Times New Roman" w:cs="Times New Roman" w:eastAsia="Times New Roman" w:hAnsi="Times New Roman"/>
          <w:sz w:val="15"/>
          <w:szCs w:val="15"/>
          <w:color w:val="auto"/>
        </w:rPr>
      </w:pPr>
      <w:r>
        <w:rPr>
          <w:rFonts w:ascii="Arial" w:cs="Arial" w:eastAsia="Arial" w:hAnsi="Arial"/>
          <w:sz w:val="15"/>
          <w:szCs w:val="15"/>
          <w:color w:val="auto"/>
        </w:rPr>
        <w:t>power over the investee,</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79"/>
        </w:numPr>
        <w:rPr>
          <w:rFonts w:ascii="Times New Roman" w:cs="Times New Roman" w:eastAsia="Times New Roman" w:hAnsi="Times New Roman"/>
          <w:sz w:val="15"/>
          <w:szCs w:val="15"/>
          <w:color w:val="auto"/>
        </w:rPr>
      </w:pPr>
      <w:r>
        <w:rPr>
          <w:rFonts w:ascii="Arial" w:cs="Arial" w:eastAsia="Arial" w:hAnsi="Arial"/>
          <w:sz w:val="15"/>
          <w:szCs w:val="15"/>
          <w:color w:val="auto"/>
        </w:rPr>
        <w:t>exposure to variable returns from the investee, and</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79"/>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of the investor to use its power to affect those variable returns.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Control is reassessed whenever facts and circumstances indicate that there may be a change in any of these elements of control.</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De-facto control exists in situations where the Company has the practical ability to direct the relevant activities of the investee without holding the majority of the voting rights. In determining whether de-facto control exists the Company considers all relevant facts and circumstances, including:</w:t>
      </w:r>
    </w:p>
    <w:p>
      <w:pPr>
        <w:spacing w:after="0" w:line="146" w:lineRule="exact"/>
        <w:rPr>
          <w:sz w:val="20"/>
          <w:szCs w:val="20"/>
          <w:color w:val="auto"/>
        </w:rPr>
      </w:pPr>
    </w:p>
    <w:p>
      <w:pPr>
        <w:ind w:left="300" w:hanging="265"/>
        <w:spacing w:after="0"/>
        <w:tabs>
          <w:tab w:leader="none" w:pos="300" w:val="left"/>
        </w:tabs>
        <w:numPr>
          <w:ilvl w:val="0"/>
          <w:numId w:val="80"/>
        </w:numPr>
        <w:rPr>
          <w:rFonts w:ascii="Times New Roman" w:cs="Times New Roman" w:eastAsia="Times New Roman" w:hAnsi="Times New Roman"/>
          <w:sz w:val="15"/>
          <w:szCs w:val="15"/>
          <w:color w:val="auto"/>
        </w:rPr>
      </w:pPr>
      <w:r>
        <w:rPr>
          <w:rFonts w:ascii="Arial" w:cs="Arial" w:eastAsia="Arial" w:hAnsi="Arial"/>
          <w:sz w:val="15"/>
          <w:szCs w:val="15"/>
          <w:color w:val="auto"/>
        </w:rPr>
        <w:t>The size of the company’s voting rights relative to both the size and dispersion of other parties who hold voting rights</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0"/>
        </w:numPr>
        <w:rPr>
          <w:rFonts w:ascii="Times New Roman" w:cs="Times New Roman" w:eastAsia="Times New Roman" w:hAnsi="Times New Roman"/>
          <w:sz w:val="15"/>
          <w:szCs w:val="15"/>
          <w:color w:val="auto"/>
        </w:rPr>
      </w:pPr>
      <w:r>
        <w:rPr>
          <w:rFonts w:ascii="Arial" w:cs="Arial" w:eastAsia="Arial" w:hAnsi="Arial"/>
          <w:sz w:val="15"/>
          <w:szCs w:val="15"/>
          <w:color w:val="auto"/>
        </w:rPr>
        <w:t>Substantive potential voting rights held by the Company and by other parties</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0"/>
        </w:numPr>
        <w:rPr>
          <w:rFonts w:ascii="Times New Roman" w:cs="Times New Roman" w:eastAsia="Times New Roman" w:hAnsi="Times New Roman"/>
          <w:sz w:val="15"/>
          <w:szCs w:val="15"/>
          <w:color w:val="auto"/>
        </w:rPr>
      </w:pPr>
      <w:r>
        <w:rPr>
          <w:rFonts w:ascii="Arial" w:cs="Arial" w:eastAsia="Arial" w:hAnsi="Arial"/>
          <w:sz w:val="15"/>
          <w:szCs w:val="15"/>
          <w:color w:val="auto"/>
        </w:rPr>
        <w:t>Other contractual arrangements</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0"/>
        </w:numPr>
        <w:rPr>
          <w:rFonts w:ascii="Times New Roman" w:cs="Times New Roman" w:eastAsia="Times New Roman" w:hAnsi="Times New Roman"/>
          <w:sz w:val="15"/>
          <w:szCs w:val="15"/>
          <w:color w:val="auto"/>
        </w:rPr>
      </w:pPr>
      <w:r>
        <w:rPr>
          <w:rFonts w:ascii="Arial" w:cs="Arial" w:eastAsia="Arial" w:hAnsi="Arial"/>
          <w:sz w:val="15"/>
          <w:szCs w:val="15"/>
          <w:color w:val="auto"/>
        </w:rPr>
        <w:t>Historic patterns in voting attendance</w:t>
      </w:r>
    </w:p>
    <w:p>
      <w:pPr>
        <w:spacing w:after="0" w:line="167"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consolidated financial statements incorporate the results of business combinations using the acquisition method. In the consolidated statement of financial position, the acquiree’s identifiable assets, liabilities and contingent liabilities are initially recognized at their fair values at the acquisition date. The results of acquired operations are included in the consolidated statement of profit or loss and other comprehensive income (loss) from the date on which control is obtained. They are deconsolidated from the date on which control ceases.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Joint arrangements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Group is a party to a joint arrangement when there is a contractual arrangement that confers joint control over the relevant activities of the arrangement to the Group and at least one other party. Joint control is assessed under the same principles as control over subsidiaries.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 classifies its interests in joint arrangements as either:</w:t>
      </w:r>
    </w:p>
    <w:p>
      <w:pPr>
        <w:spacing w:after="0" w:line="186" w:lineRule="exact"/>
        <w:rPr>
          <w:sz w:val="20"/>
          <w:szCs w:val="20"/>
          <w:color w:val="auto"/>
        </w:rPr>
      </w:pPr>
    </w:p>
    <w:p>
      <w:pPr>
        <w:ind w:left="300" w:hanging="265"/>
        <w:spacing w:after="0"/>
        <w:tabs>
          <w:tab w:leader="none" w:pos="300" w:val="left"/>
        </w:tabs>
        <w:numPr>
          <w:ilvl w:val="0"/>
          <w:numId w:val="81"/>
        </w:numPr>
        <w:rPr>
          <w:rFonts w:ascii="Times New Roman" w:cs="Times New Roman" w:eastAsia="Times New Roman" w:hAnsi="Times New Roman"/>
          <w:sz w:val="15"/>
          <w:szCs w:val="15"/>
          <w:color w:val="auto"/>
        </w:rPr>
      </w:pPr>
      <w:r>
        <w:rPr>
          <w:rFonts w:ascii="Arial" w:cs="Arial" w:eastAsia="Arial" w:hAnsi="Arial"/>
          <w:sz w:val="13"/>
          <w:szCs w:val="13"/>
          <w:i w:val="1"/>
          <w:iCs w:val="1"/>
          <w:color w:val="auto"/>
        </w:rPr>
        <w:t>Joint ventures</w:t>
      </w:r>
      <w:r>
        <w:rPr>
          <w:rFonts w:ascii="Arial" w:cs="Arial" w:eastAsia="Arial" w:hAnsi="Arial"/>
          <w:sz w:val="13"/>
          <w:szCs w:val="13"/>
          <w:color w:val="auto"/>
        </w:rPr>
        <w:t>: where the Group has rights to only the net assets of the joint arrangement</w:t>
      </w:r>
    </w:p>
    <w:p>
      <w:pPr>
        <w:spacing w:after="0" w:line="4"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1"/>
        </w:numPr>
        <w:rPr>
          <w:rFonts w:ascii="Times New Roman" w:cs="Times New Roman" w:eastAsia="Times New Roman" w:hAnsi="Times New Roman"/>
          <w:sz w:val="15"/>
          <w:szCs w:val="15"/>
          <w:color w:val="auto"/>
        </w:rPr>
      </w:pPr>
      <w:r>
        <w:rPr>
          <w:rFonts w:ascii="Arial" w:cs="Arial" w:eastAsia="Arial" w:hAnsi="Arial"/>
          <w:sz w:val="13"/>
          <w:szCs w:val="13"/>
          <w:i w:val="1"/>
          <w:iCs w:val="1"/>
          <w:color w:val="auto"/>
        </w:rPr>
        <w:t>Joint operations</w:t>
      </w:r>
      <w:r>
        <w:rPr>
          <w:rFonts w:ascii="Arial" w:cs="Arial" w:eastAsia="Arial" w:hAnsi="Arial"/>
          <w:sz w:val="13"/>
          <w:szCs w:val="13"/>
          <w:color w:val="auto"/>
        </w:rPr>
        <w:t>: where the Group has both the rights to assets and obligations for the liabilities of the joint arrangement.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 assessing the classification of interests in joint arrangements, the Group considers:</w:t>
      </w:r>
    </w:p>
    <w:p>
      <w:pPr>
        <w:spacing w:after="0" w:line="186" w:lineRule="exact"/>
        <w:rPr>
          <w:sz w:val="20"/>
          <w:szCs w:val="20"/>
          <w:color w:val="auto"/>
        </w:rPr>
      </w:pPr>
    </w:p>
    <w:p>
      <w:pPr>
        <w:ind w:left="300" w:hanging="265"/>
        <w:spacing w:after="0"/>
        <w:tabs>
          <w:tab w:leader="none" w:pos="300" w:val="left"/>
        </w:tabs>
        <w:numPr>
          <w:ilvl w:val="0"/>
          <w:numId w:val="82"/>
        </w:numPr>
        <w:rPr>
          <w:rFonts w:ascii="Times New Roman" w:cs="Times New Roman" w:eastAsia="Times New Roman" w:hAnsi="Times New Roman"/>
          <w:sz w:val="15"/>
          <w:szCs w:val="15"/>
          <w:color w:val="auto"/>
        </w:rPr>
      </w:pPr>
      <w:r>
        <w:rPr>
          <w:rFonts w:ascii="Arial" w:cs="Arial" w:eastAsia="Arial" w:hAnsi="Arial"/>
          <w:sz w:val="13"/>
          <w:szCs w:val="13"/>
          <w:color w:val="auto"/>
        </w:rPr>
        <w:t>The structure of the joint arrangement</w:t>
      </w:r>
    </w:p>
    <w:p>
      <w:pPr>
        <w:spacing w:after="0" w:line="4"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2"/>
        </w:numPr>
        <w:rPr>
          <w:rFonts w:ascii="Times New Roman" w:cs="Times New Roman" w:eastAsia="Times New Roman" w:hAnsi="Times New Roman"/>
          <w:sz w:val="15"/>
          <w:szCs w:val="15"/>
          <w:color w:val="auto"/>
        </w:rPr>
      </w:pPr>
      <w:r>
        <w:rPr>
          <w:rFonts w:ascii="Arial" w:cs="Arial" w:eastAsia="Arial" w:hAnsi="Arial"/>
          <w:sz w:val="13"/>
          <w:szCs w:val="13"/>
          <w:color w:val="auto"/>
        </w:rPr>
        <w:t>The legal form of joint arrangements structured through a separate vehicle</w:t>
      </w:r>
    </w:p>
    <w:p>
      <w:pPr>
        <w:spacing w:after="0" w:line="4"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2"/>
        </w:numPr>
        <w:rPr>
          <w:rFonts w:ascii="Times New Roman" w:cs="Times New Roman" w:eastAsia="Times New Roman" w:hAnsi="Times New Roman"/>
          <w:sz w:val="15"/>
          <w:szCs w:val="15"/>
          <w:color w:val="auto"/>
        </w:rPr>
      </w:pPr>
      <w:r>
        <w:rPr>
          <w:rFonts w:ascii="Arial" w:cs="Arial" w:eastAsia="Arial" w:hAnsi="Arial"/>
          <w:sz w:val="13"/>
          <w:szCs w:val="13"/>
          <w:color w:val="auto"/>
        </w:rPr>
        <w:t>The contractual terms of the joint arrangement agreement</w:t>
      </w:r>
    </w:p>
    <w:p>
      <w:pPr>
        <w:spacing w:after="0" w:line="4"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2"/>
        </w:numPr>
        <w:rPr>
          <w:rFonts w:ascii="Times New Roman" w:cs="Times New Roman" w:eastAsia="Times New Roman" w:hAnsi="Times New Roman"/>
          <w:sz w:val="15"/>
          <w:szCs w:val="15"/>
          <w:color w:val="auto"/>
        </w:rPr>
      </w:pPr>
      <w:r>
        <w:rPr>
          <w:rFonts w:ascii="Arial" w:cs="Arial" w:eastAsia="Arial" w:hAnsi="Arial"/>
          <w:sz w:val="13"/>
          <w:szCs w:val="13"/>
          <w:color w:val="auto"/>
        </w:rPr>
        <w:t>Any other facts and circumstances (including any other contractual arrangements).</w:t>
      </w:r>
    </w:p>
    <w:p>
      <w:pPr>
        <w:spacing w:after="0" w:line="166"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Joint ventures are initially recognized in the consolidated statement of financial position at cost. Subsequently joint ventures are then accounted for using the equity method, where the Group’s share of post-acquisition profits and losses and other comprehensive income is recognized in the consolidated statement of profit or loss and other comprehensive income (loss) (except for losses in excess of the Group’s investment in the joint ventures unless there is an obligation to make good those losses).</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Any premium paid for an investment in a joint venture above the fair value of the Group’s share of the identifiable assets, liabilities and contingent liabilities acquired is capitalized and included in the carrying amount of the investment in joint venture. Where there is objective evidence that the investment in a joint venture has been impaired the carrying amount of the investment is tested for impairment in the same manner as other non-financial assets.</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Unrealized gains on transactions between the Group and its joint ventures are eliminated to the extent of the Group’s interest in the joint ventures. Unrealized losses are also eliminated unless the transaction provides evidence of an impairment of the asset transferred. Accounting policies of the joint ventures have been changed where necessary to ensure consistency with the policies adopted by the Group.</w:t>
      </w:r>
    </w:p>
    <w:p>
      <w:pPr>
        <w:spacing w:after="0" w:line="151"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4"/>
          <w:szCs w:val="14"/>
          <w:b w:val="1"/>
          <w:bCs w:val="1"/>
          <w:color w:val="auto"/>
        </w:rPr>
        <w:t>Property and equipment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Owned</w:t>
      </w:r>
    </w:p>
    <w:p>
      <w:pPr>
        <w:spacing w:after="0" w:line="170"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4"/>
          <w:szCs w:val="14"/>
          <w:color w:val="auto"/>
        </w:rPr>
        <w:t>Items of property, plant and equipment are initially recognized at cost. The initial cost of an item of property and equipment consists of its purchase price including import duties, taxes and directly attributable costs of bringing the asset to its working condition and location for the intended use. Additionally, any direct labor costs that is directly attributable to the development of software is capitalized.</w:t>
      </w:r>
    </w:p>
    <w:p>
      <w:pPr>
        <w:spacing w:after="0" w:line="129"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Depreciation on assets under construction does not commence until they are complete and available for use. Depreciation is provided on all other items of property, plant and equipment so as to reduce their carrying value over their expected useful economic lives.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Depreciation on property and equipment is provided using the straight line method. A full month’s depreciation is charged in the month of addition, and no depreciation is charged in the month of disposal. Rates of depreciation are disclosed in Note 6.</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404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Depreciation</w:t>
            </w:r>
          </w:p>
        </w:tc>
      </w:tr>
      <w:tr>
        <w:trPr>
          <w:trHeight w:val="141"/>
        </w:trPr>
        <w:tc>
          <w:tcPr>
            <w:tcW w:w="4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Property and equipment</w:t>
            </w:r>
          </w:p>
        </w:tc>
        <w:tc>
          <w:tcPr>
            <w:tcW w:w="3420" w:type="dxa"/>
            <w:vAlign w:val="bottom"/>
            <w:tcBorders>
              <w:bottom w:val="single" w:sz="8" w:color="auto"/>
            </w:tcBorders>
          </w:tcPr>
          <w:p>
            <w:pPr>
              <w:jc w:val="center"/>
              <w:ind w:left="1109"/>
              <w:spacing w:after="0"/>
              <w:rPr>
                <w:sz w:val="20"/>
                <w:szCs w:val="20"/>
                <w:color w:val="auto"/>
              </w:rPr>
            </w:pPr>
            <w:r>
              <w:rPr>
                <w:rFonts w:ascii="Arial" w:cs="Arial" w:eastAsia="Arial" w:hAnsi="Arial"/>
                <w:sz w:val="12"/>
                <w:szCs w:val="12"/>
                <w:b w:val="1"/>
                <w:bCs w:val="1"/>
                <w:color w:val="auto"/>
                <w:w w:val="99"/>
              </w:rPr>
              <w:t>Useful economic life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method</w:t>
            </w:r>
          </w:p>
        </w:tc>
      </w:tr>
      <w:tr>
        <w:trPr>
          <w:trHeight w:val="157"/>
        </w:trPr>
        <w:tc>
          <w:tcPr>
            <w:tcW w:w="404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Leasehold improvements</w:t>
            </w:r>
          </w:p>
        </w:tc>
        <w:tc>
          <w:tcPr>
            <w:tcW w:w="3420" w:type="dxa"/>
            <w:vAlign w:val="bottom"/>
            <w:shd w:val="clear" w:color="auto" w:fill="CCEEFF"/>
          </w:tcPr>
          <w:p>
            <w:pPr>
              <w:jc w:val="center"/>
              <w:ind w:left="1109"/>
              <w:spacing w:after="0" w:line="157" w:lineRule="exact"/>
              <w:rPr>
                <w:sz w:val="20"/>
                <w:szCs w:val="20"/>
                <w:color w:val="auto"/>
              </w:rPr>
            </w:pPr>
            <w:r>
              <w:rPr>
                <w:rFonts w:ascii="Arial" w:cs="Arial" w:eastAsia="Arial" w:hAnsi="Arial"/>
                <w:sz w:val="15"/>
                <w:szCs w:val="15"/>
                <w:color w:val="auto"/>
                <w:w w:val="99"/>
              </w:rPr>
              <w:t>Expected term of lease</w:t>
            </w:r>
          </w:p>
        </w:tc>
        <w:tc>
          <w:tcPr>
            <w:tcW w:w="1480" w:type="dxa"/>
            <w:vAlign w:val="bottom"/>
            <w:shd w:val="clear" w:color="auto" w:fill="CCEEFF"/>
          </w:tcPr>
          <w:p>
            <w:pPr>
              <w:jc w:val="center"/>
              <w:spacing w:after="0" w:line="157" w:lineRule="exact"/>
              <w:rPr>
                <w:sz w:val="20"/>
                <w:szCs w:val="20"/>
                <w:color w:val="auto"/>
              </w:rPr>
            </w:pPr>
            <w:r>
              <w:rPr>
                <w:rFonts w:ascii="Arial" w:cs="Arial" w:eastAsia="Arial" w:hAnsi="Arial"/>
                <w:sz w:val="15"/>
                <w:szCs w:val="15"/>
                <w:color w:val="auto"/>
                <w:w w:val="98"/>
              </w:rPr>
              <w:t>Straight line</w:t>
            </w:r>
          </w:p>
        </w:tc>
      </w:tr>
      <w:tr>
        <w:trPr>
          <w:trHeight w:val="166"/>
        </w:trPr>
        <w:tc>
          <w:tcPr>
            <w:tcW w:w="4040" w:type="dxa"/>
            <w:vAlign w:val="bottom"/>
          </w:tcPr>
          <w:p>
            <w:pPr>
              <w:spacing w:after="0" w:line="166" w:lineRule="exact"/>
              <w:rPr>
                <w:sz w:val="20"/>
                <w:szCs w:val="20"/>
                <w:color w:val="auto"/>
              </w:rPr>
            </w:pPr>
            <w:r>
              <w:rPr>
                <w:rFonts w:ascii="Arial" w:cs="Arial" w:eastAsia="Arial" w:hAnsi="Arial"/>
                <w:sz w:val="15"/>
                <w:szCs w:val="15"/>
                <w:color w:val="auto"/>
              </w:rPr>
              <w:t>Furniture, fixture and office equipment</w:t>
            </w:r>
          </w:p>
        </w:tc>
        <w:tc>
          <w:tcPr>
            <w:tcW w:w="3420" w:type="dxa"/>
            <w:vAlign w:val="bottom"/>
          </w:tcPr>
          <w:p>
            <w:pPr>
              <w:jc w:val="center"/>
              <w:ind w:left="1109"/>
              <w:spacing w:after="0" w:line="166" w:lineRule="exact"/>
              <w:rPr>
                <w:sz w:val="20"/>
                <w:szCs w:val="20"/>
                <w:color w:val="auto"/>
              </w:rPr>
            </w:pPr>
            <w:r>
              <w:rPr>
                <w:rFonts w:ascii="Arial" w:cs="Arial" w:eastAsia="Arial" w:hAnsi="Arial"/>
                <w:sz w:val="15"/>
                <w:szCs w:val="15"/>
                <w:color w:val="auto"/>
                <w:w w:val="95"/>
              </w:rPr>
              <w:t>3 - 5 years</w:t>
            </w:r>
          </w:p>
        </w:tc>
        <w:tc>
          <w:tcPr>
            <w:tcW w:w="1480" w:type="dxa"/>
            <w:vAlign w:val="bottom"/>
          </w:tcPr>
          <w:p>
            <w:pPr>
              <w:jc w:val="center"/>
              <w:spacing w:after="0" w:line="166" w:lineRule="exact"/>
              <w:rPr>
                <w:sz w:val="20"/>
                <w:szCs w:val="20"/>
                <w:color w:val="auto"/>
              </w:rPr>
            </w:pPr>
            <w:r>
              <w:rPr>
                <w:rFonts w:ascii="Arial" w:cs="Arial" w:eastAsia="Arial" w:hAnsi="Arial"/>
                <w:sz w:val="15"/>
                <w:szCs w:val="15"/>
                <w:color w:val="auto"/>
                <w:w w:val="98"/>
              </w:rPr>
              <w:t>Straight line</w:t>
            </w:r>
          </w:p>
        </w:tc>
      </w:tr>
      <w:tr>
        <w:trPr>
          <w:trHeight w:val="166"/>
        </w:trPr>
        <w:tc>
          <w:tcPr>
            <w:tcW w:w="40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Computer equipment</w:t>
            </w:r>
          </w:p>
        </w:tc>
        <w:tc>
          <w:tcPr>
            <w:tcW w:w="3420" w:type="dxa"/>
            <w:vAlign w:val="bottom"/>
            <w:shd w:val="clear" w:color="auto" w:fill="CCEEFF"/>
          </w:tcPr>
          <w:p>
            <w:pPr>
              <w:jc w:val="center"/>
              <w:ind w:left="1109"/>
              <w:spacing w:after="0" w:line="166" w:lineRule="exact"/>
              <w:rPr>
                <w:sz w:val="20"/>
                <w:szCs w:val="20"/>
                <w:color w:val="auto"/>
              </w:rPr>
            </w:pPr>
            <w:r>
              <w:rPr>
                <w:rFonts w:ascii="Arial" w:cs="Arial" w:eastAsia="Arial" w:hAnsi="Arial"/>
                <w:sz w:val="15"/>
                <w:szCs w:val="15"/>
                <w:color w:val="auto"/>
                <w:w w:val="97"/>
              </w:rPr>
              <w:t>3 years</w:t>
            </w:r>
          </w:p>
        </w:tc>
        <w:tc>
          <w:tcPr>
            <w:tcW w:w="148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Straight line</w:t>
            </w:r>
          </w:p>
        </w:tc>
      </w:tr>
      <w:tr>
        <w:trPr>
          <w:trHeight w:val="166"/>
        </w:trPr>
        <w:tc>
          <w:tcPr>
            <w:tcW w:w="4040" w:type="dxa"/>
            <w:vAlign w:val="bottom"/>
          </w:tcPr>
          <w:p>
            <w:pPr>
              <w:spacing w:after="0" w:line="166" w:lineRule="exact"/>
              <w:rPr>
                <w:sz w:val="20"/>
                <w:szCs w:val="20"/>
                <w:color w:val="auto"/>
              </w:rPr>
            </w:pPr>
            <w:r>
              <w:rPr>
                <w:rFonts w:ascii="Arial" w:cs="Arial" w:eastAsia="Arial" w:hAnsi="Arial"/>
                <w:sz w:val="15"/>
                <w:szCs w:val="15"/>
                <w:color w:val="auto"/>
              </w:rPr>
              <w:t>Vehicles</w:t>
            </w:r>
          </w:p>
        </w:tc>
        <w:tc>
          <w:tcPr>
            <w:tcW w:w="3420" w:type="dxa"/>
            <w:vAlign w:val="bottom"/>
          </w:tcPr>
          <w:p>
            <w:pPr>
              <w:jc w:val="center"/>
              <w:ind w:left="1109"/>
              <w:spacing w:after="0" w:line="166" w:lineRule="exact"/>
              <w:rPr>
                <w:sz w:val="20"/>
                <w:szCs w:val="20"/>
                <w:color w:val="auto"/>
              </w:rPr>
            </w:pPr>
            <w:r>
              <w:rPr>
                <w:rFonts w:ascii="Arial" w:cs="Arial" w:eastAsia="Arial" w:hAnsi="Arial"/>
                <w:sz w:val="15"/>
                <w:szCs w:val="15"/>
                <w:color w:val="auto"/>
                <w:w w:val="97"/>
              </w:rPr>
              <w:t>5 years</w:t>
            </w:r>
          </w:p>
        </w:tc>
        <w:tc>
          <w:tcPr>
            <w:tcW w:w="1480" w:type="dxa"/>
            <w:vAlign w:val="bottom"/>
          </w:tcPr>
          <w:p>
            <w:pPr>
              <w:jc w:val="center"/>
              <w:spacing w:after="0" w:line="166" w:lineRule="exact"/>
              <w:rPr>
                <w:sz w:val="20"/>
                <w:szCs w:val="20"/>
                <w:color w:val="auto"/>
              </w:rPr>
            </w:pPr>
            <w:r>
              <w:rPr>
                <w:rFonts w:ascii="Arial" w:cs="Arial" w:eastAsia="Arial" w:hAnsi="Arial"/>
                <w:sz w:val="15"/>
                <w:szCs w:val="15"/>
                <w:color w:val="auto"/>
                <w:w w:val="98"/>
              </w:rPr>
              <w:t>Straight line</w:t>
            </w:r>
          </w:p>
        </w:tc>
      </w:tr>
      <w:tr>
        <w:trPr>
          <w:trHeight w:val="166"/>
        </w:trPr>
        <w:tc>
          <w:tcPr>
            <w:tcW w:w="40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Right of Use Assets</w:t>
            </w:r>
          </w:p>
        </w:tc>
        <w:tc>
          <w:tcPr>
            <w:tcW w:w="3420" w:type="dxa"/>
            <w:vAlign w:val="bottom"/>
            <w:shd w:val="clear" w:color="auto" w:fill="CCEEFF"/>
          </w:tcPr>
          <w:p>
            <w:pPr>
              <w:jc w:val="center"/>
              <w:ind w:left="1109"/>
              <w:spacing w:after="0" w:line="166" w:lineRule="exact"/>
              <w:rPr>
                <w:sz w:val="20"/>
                <w:szCs w:val="20"/>
                <w:color w:val="auto"/>
              </w:rPr>
            </w:pPr>
            <w:r>
              <w:rPr>
                <w:rFonts w:ascii="Arial" w:cs="Arial" w:eastAsia="Arial" w:hAnsi="Arial"/>
                <w:sz w:val="15"/>
                <w:szCs w:val="15"/>
                <w:color w:val="auto"/>
                <w:w w:val="99"/>
              </w:rPr>
              <w:t>Expected term of lease</w:t>
            </w:r>
          </w:p>
        </w:tc>
        <w:tc>
          <w:tcPr>
            <w:tcW w:w="148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8"/>
              </w:rPr>
              <w:t>Straight line</w:t>
            </w:r>
          </w:p>
        </w:tc>
      </w:tr>
      <w:tr>
        <w:trPr>
          <w:trHeight w:val="166"/>
        </w:trPr>
        <w:tc>
          <w:tcPr>
            <w:tcW w:w="40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bl>
    <w:p>
      <w:pPr>
        <w:spacing w:after="0" w:line="162"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assets’ residual values, useful lives and methods of depreciation are reviewed at each financial year-end and adjusted prospectively, if appropriate.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Right of use assets and lease liabilities</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Group recognizes a right-of-use asset and a lease liability at the commencement date, except for short-term leases of 12 months or less and low value. Measurement of right-of-use assets and lease liabilities are as follows:</w:t>
      </w:r>
    </w:p>
    <w:p>
      <w:pPr>
        <w:spacing w:after="0" w:line="135" w:lineRule="exact"/>
        <w:rPr>
          <w:sz w:val="20"/>
          <w:szCs w:val="20"/>
          <w:color w:val="auto"/>
        </w:rPr>
      </w:pPr>
    </w:p>
    <w:p>
      <w:pPr>
        <w:ind w:left="560" w:right="59"/>
        <w:spacing w:after="0" w:line="238" w:lineRule="auto"/>
        <w:rPr>
          <w:sz w:val="20"/>
          <w:szCs w:val="20"/>
          <w:color w:val="auto"/>
        </w:rPr>
      </w:pPr>
      <w:r>
        <w:rPr>
          <w:rFonts w:ascii="Arial" w:cs="Arial" w:eastAsia="Arial" w:hAnsi="Arial"/>
          <w:sz w:val="15"/>
          <w:szCs w:val="15"/>
          <w:color w:val="auto"/>
        </w:rPr>
        <w:t>The lease liability is initially measured at the commencement date at the present value of the remaining lease payments using the incremental borrowing rate specific to the country, term and currency of the contract. The lease liability is subsequently measured at amortized cost using the effective interest rate method and re-measured (with a corresponding adjustment to the related ROU asset) when there is change in future lease payments in case of renegotiation, change of an index or rate or in case of reassessment of options.</w:t>
      </w:r>
    </w:p>
    <w:p>
      <w:pPr>
        <w:spacing w:after="0" w:line="151" w:lineRule="exact"/>
        <w:rPr>
          <w:sz w:val="20"/>
          <w:szCs w:val="20"/>
          <w:color w:val="auto"/>
        </w:rPr>
      </w:pPr>
    </w:p>
    <w:p>
      <w:pPr>
        <w:jc w:val="both"/>
        <w:ind w:left="560" w:right="39"/>
        <w:spacing w:after="0"/>
        <w:rPr>
          <w:sz w:val="20"/>
          <w:szCs w:val="20"/>
          <w:color w:val="auto"/>
        </w:rPr>
      </w:pPr>
      <w:r>
        <w:rPr>
          <w:rFonts w:ascii="Arial" w:cs="Arial" w:eastAsia="Arial" w:hAnsi="Arial"/>
          <w:sz w:val="15"/>
          <w:szCs w:val="15"/>
          <w:color w:val="auto"/>
        </w:rPr>
        <w:t>At inception, the ROU asset comprises the initial lease liability, initial direct costs and the obligation to refurbish the asset, less any incentives granted by the lessors. The ROU asset is depreciated over the shorter of the lease term or the useful life of the underlying asset. The ROU asset is subject to testing for impairment if there is an indicator for impairment, as indicated in Note 3.4.</w:t>
      </w:r>
    </w:p>
    <w:p>
      <w:pPr>
        <w:spacing w:after="0" w:line="151"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Payments associated with short-term leases and leases of low-value assets are recognized on a straight-line basis as an expense in profit or loss. Short-term leases are leases with a lease term of 12 months or less.</w:t>
      </w:r>
    </w:p>
    <w:p>
      <w:pPr>
        <w:spacing w:after="0" w:line="135"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ROU assets are included in the heading Property and Equipment (see Note 6.1), the lease liability is shown separately as current and non-current in the statements of financial position, and interest on the lease liability is included in the heading Finance Expenses.</w:t>
      </w:r>
    </w:p>
    <w:p>
      <w:pPr>
        <w:spacing w:after="0" w:line="157"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gains and losses on disposal of assets or termination of right of use assets are recognized in the consolidated statement of profit or loss.</w:t>
      </w:r>
    </w:p>
    <w:p>
      <w:pPr>
        <w:spacing w:after="0" w:line="168"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Right of use assets are transferred to owned assets when the Group makes early payment or when there is an option to exercise purchase option and the Group exercises it.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79"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4"/>
          <w:szCs w:val="14"/>
          <w:b w:val="1"/>
          <w:bCs w:val="1"/>
          <w:color w:val="auto"/>
        </w:rPr>
        <w:t>Intangible assets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3.3.1. Goodwill</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Goodwill represents the excess of the cost of a business combination over the total acquisition date fair value of the identifiable assets, liabilities and contingent liabilities acquired.</w:t>
      </w:r>
    </w:p>
    <w:p>
      <w:pPr>
        <w:spacing w:after="0" w:line="135"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Cost comprises the fair value of assets given, liabilities assumed and equity instruments issued, plus the amount of any non-controlling interests in the capital plus, if the business combination is achieved in stages, the fair value of the existing equity interest in the capital. Contingent consideration is included in cost at its acquisition date fair value and, in the case of contingent consideration classified as a financial liability, re-measured subsequently through the consolidated statement of profit or loss. Direct costs of acquisition are expensed immediately.</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Goodwill is capitalized as an intangible asset with any impairment in carrying value being charged to the profit or loss. Where the fair value of identifiable assets, liabilities and contingent liabilities exceed the fair value of consideration paid, the excess is credited in full to the profit or loss on the acquisition date.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3.3.2. Other intangible assets</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Externally acquired intangible assets (such as software) are initially recognized at cost and subsequently amortized on a straight-line basis over their useful economic lives.</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Intangible assets are recognized on business combinations if they are separable from the acquired entity or give rise to other contractual/legal rights. The amounts ascribed to such intangibles are arrived at by using appropriate valuation techniques.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Expenditure on internally developed products is capitalized if it can be demonstrated that:</w:t>
      </w:r>
    </w:p>
    <w:p>
      <w:pPr>
        <w:spacing w:after="0" w:line="170" w:lineRule="exact"/>
        <w:rPr>
          <w:sz w:val="20"/>
          <w:szCs w:val="20"/>
          <w:color w:val="auto"/>
        </w:rPr>
      </w:pPr>
    </w:p>
    <w:p>
      <w:pPr>
        <w:ind w:left="300" w:hanging="265"/>
        <w:spacing w:after="0"/>
        <w:tabs>
          <w:tab w:leader="none" w:pos="300" w:val="left"/>
        </w:tabs>
        <w:numPr>
          <w:ilvl w:val="0"/>
          <w:numId w:val="83"/>
        </w:numPr>
        <w:rPr>
          <w:rFonts w:ascii="Times New Roman" w:cs="Times New Roman" w:eastAsia="Times New Roman" w:hAnsi="Times New Roman"/>
          <w:sz w:val="15"/>
          <w:szCs w:val="15"/>
          <w:color w:val="auto"/>
        </w:rPr>
      </w:pPr>
      <w:r>
        <w:rPr>
          <w:rFonts w:ascii="Arial" w:cs="Arial" w:eastAsia="Arial" w:hAnsi="Arial"/>
          <w:sz w:val="15"/>
          <w:szCs w:val="15"/>
          <w:color w:val="auto"/>
        </w:rPr>
        <w:t>it is technically feasible to develop the product for it to be sold</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3"/>
        </w:numPr>
        <w:rPr>
          <w:rFonts w:ascii="Times New Roman" w:cs="Times New Roman" w:eastAsia="Times New Roman" w:hAnsi="Times New Roman"/>
          <w:sz w:val="15"/>
          <w:szCs w:val="15"/>
          <w:color w:val="auto"/>
        </w:rPr>
      </w:pPr>
      <w:r>
        <w:rPr>
          <w:rFonts w:ascii="Arial" w:cs="Arial" w:eastAsia="Arial" w:hAnsi="Arial"/>
          <w:sz w:val="15"/>
          <w:szCs w:val="15"/>
          <w:color w:val="auto"/>
        </w:rPr>
        <w:t>adequate resources are available to complete the development</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3"/>
        </w:numPr>
        <w:rPr>
          <w:rFonts w:ascii="Times New Roman" w:cs="Times New Roman" w:eastAsia="Times New Roman" w:hAnsi="Times New Roman"/>
          <w:sz w:val="15"/>
          <w:szCs w:val="15"/>
          <w:color w:val="auto"/>
        </w:rPr>
      </w:pPr>
      <w:r>
        <w:rPr>
          <w:rFonts w:ascii="Arial" w:cs="Arial" w:eastAsia="Arial" w:hAnsi="Arial"/>
          <w:sz w:val="15"/>
          <w:szCs w:val="15"/>
          <w:color w:val="auto"/>
        </w:rPr>
        <w:t>there is an intention to complete and sell the product</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3"/>
        </w:numPr>
        <w:rPr>
          <w:rFonts w:ascii="Times New Roman" w:cs="Times New Roman" w:eastAsia="Times New Roman" w:hAnsi="Times New Roman"/>
          <w:sz w:val="15"/>
          <w:szCs w:val="15"/>
          <w:color w:val="auto"/>
        </w:rPr>
      </w:pPr>
      <w:r>
        <w:rPr>
          <w:rFonts w:ascii="Arial" w:cs="Arial" w:eastAsia="Arial" w:hAnsi="Arial"/>
          <w:sz w:val="15"/>
          <w:szCs w:val="15"/>
          <w:color w:val="auto"/>
        </w:rPr>
        <w:t>the Group is able to sell the product</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3"/>
        </w:numPr>
        <w:rPr>
          <w:rFonts w:ascii="Times New Roman" w:cs="Times New Roman" w:eastAsia="Times New Roman" w:hAnsi="Times New Roman"/>
          <w:sz w:val="15"/>
          <w:szCs w:val="15"/>
          <w:color w:val="auto"/>
        </w:rPr>
      </w:pPr>
      <w:r>
        <w:rPr>
          <w:rFonts w:ascii="Arial" w:cs="Arial" w:eastAsia="Arial" w:hAnsi="Arial"/>
          <w:sz w:val="15"/>
          <w:szCs w:val="15"/>
          <w:color w:val="auto"/>
        </w:rPr>
        <w:t>sale of the product will generate future economic benefits, and</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3"/>
        </w:numPr>
        <w:rPr>
          <w:rFonts w:ascii="Times New Roman" w:cs="Times New Roman" w:eastAsia="Times New Roman" w:hAnsi="Times New Roman"/>
          <w:sz w:val="15"/>
          <w:szCs w:val="15"/>
          <w:color w:val="auto"/>
        </w:rPr>
      </w:pPr>
      <w:r>
        <w:rPr>
          <w:rFonts w:ascii="Arial" w:cs="Arial" w:eastAsia="Arial" w:hAnsi="Arial"/>
          <w:sz w:val="15"/>
          <w:szCs w:val="15"/>
          <w:color w:val="auto"/>
        </w:rPr>
        <w:t>expenditure on the project can be measured reliably</w:t>
      </w:r>
    </w:p>
    <w:p>
      <w:pPr>
        <w:spacing w:after="0" w:line="167"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Capitalized development costs are amortized over the periods the Group expects to benefit from selling the products developed. The amortization expense is included within the “Depreciation and amortization” line in the profit or loss. Development expenditures not satisfying the above criteria and expenditures associated with the research phase of internal projects is charged out in the consolidated statements of profit or loss and other comprehensive income / (loss).</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Trademarks and patents are capitalized at cost of acquisition and are not amortized but are tested for impairment annually. Trademarks and patents have an indefinite life on the grounds of the proven longevity of the trademarks or patents and the Group’s commitment to maintaining those trademarks or patents. The significant intangibles recognized by the Group, their useful economic lives and the methods used to determine the cost of intangibles acquired in a business combination are as follows: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Intangible Asset</w:t>
            </w:r>
          </w:p>
        </w:tc>
        <w:tc>
          <w:tcPr>
            <w:tcW w:w="2940" w:type="dxa"/>
            <w:vAlign w:val="bottom"/>
            <w:tcBorders>
              <w:top w:val="single" w:sz="8" w:color="auto"/>
              <w:bottom w:val="single" w:sz="8" w:color="auto"/>
            </w:tcBorders>
          </w:tcPr>
          <w:p>
            <w:pPr>
              <w:jc w:val="center"/>
              <w:ind w:left="931"/>
              <w:spacing w:after="0"/>
              <w:rPr>
                <w:sz w:val="20"/>
                <w:szCs w:val="20"/>
                <w:color w:val="auto"/>
              </w:rPr>
            </w:pPr>
            <w:r>
              <w:rPr>
                <w:rFonts w:ascii="Arial" w:cs="Arial" w:eastAsia="Arial" w:hAnsi="Arial"/>
                <w:sz w:val="12"/>
                <w:szCs w:val="12"/>
                <w:b w:val="1"/>
                <w:bCs w:val="1"/>
                <w:color w:val="auto"/>
                <w:w w:val="97"/>
              </w:rPr>
              <w:t>Useful economic life</w:t>
            </w: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Valuation method</w:t>
            </w:r>
          </w:p>
        </w:tc>
      </w:tr>
      <w:tr>
        <w:trPr>
          <w:trHeight w:val="157"/>
        </w:trPr>
        <w:tc>
          <w:tcPr>
            <w:tcW w:w="4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Customer lists</w:t>
            </w:r>
          </w:p>
        </w:tc>
        <w:tc>
          <w:tcPr>
            <w:tcW w:w="2940" w:type="dxa"/>
            <w:vAlign w:val="bottom"/>
            <w:shd w:val="clear" w:color="auto" w:fill="CCEEFF"/>
          </w:tcPr>
          <w:p>
            <w:pPr>
              <w:jc w:val="center"/>
              <w:ind w:left="931"/>
              <w:spacing w:after="0" w:line="157" w:lineRule="exact"/>
              <w:rPr>
                <w:sz w:val="20"/>
                <w:szCs w:val="20"/>
                <w:color w:val="auto"/>
              </w:rPr>
            </w:pPr>
            <w:r>
              <w:rPr>
                <w:rFonts w:ascii="Arial" w:cs="Arial" w:eastAsia="Arial" w:hAnsi="Arial"/>
                <w:sz w:val="15"/>
                <w:szCs w:val="15"/>
                <w:color w:val="auto"/>
                <w:w w:val="98"/>
              </w:rPr>
              <w:t>5 - 6 years</w:t>
            </w:r>
          </w:p>
        </w:tc>
        <w:tc>
          <w:tcPr>
            <w:tcW w:w="1720" w:type="dxa"/>
            <w:vAlign w:val="bottom"/>
            <w:shd w:val="clear" w:color="auto" w:fill="CCEEFF"/>
          </w:tcPr>
          <w:p>
            <w:pPr>
              <w:jc w:val="center"/>
              <w:spacing w:after="0" w:line="157" w:lineRule="exact"/>
              <w:rPr>
                <w:sz w:val="20"/>
                <w:szCs w:val="20"/>
                <w:color w:val="auto"/>
              </w:rPr>
            </w:pPr>
            <w:r>
              <w:rPr>
                <w:rFonts w:ascii="Arial" w:cs="Arial" w:eastAsia="Arial" w:hAnsi="Arial"/>
                <w:sz w:val="15"/>
                <w:szCs w:val="15"/>
                <w:color w:val="auto"/>
                <w:w w:val="98"/>
              </w:rPr>
              <w:t>Straight line</w:t>
            </w:r>
          </w:p>
        </w:tc>
      </w:tr>
      <w:tr>
        <w:trPr>
          <w:trHeight w:val="166"/>
        </w:trPr>
        <w:tc>
          <w:tcPr>
            <w:tcW w:w="4280" w:type="dxa"/>
            <w:vAlign w:val="bottom"/>
          </w:tcPr>
          <w:p>
            <w:pPr>
              <w:spacing w:after="0" w:line="166" w:lineRule="exact"/>
              <w:rPr>
                <w:sz w:val="20"/>
                <w:szCs w:val="20"/>
                <w:color w:val="auto"/>
              </w:rPr>
            </w:pPr>
            <w:r>
              <w:rPr>
                <w:rFonts w:ascii="Arial" w:cs="Arial" w:eastAsia="Arial" w:hAnsi="Arial"/>
                <w:sz w:val="15"/>
                <w:szCs w:val="15"/>
                <w:color w:val="auto"/>
              </w:rPr>
              <w:t>Software</w:t>
            </w:r>
          </w:p>
        </w:tc>
        <w:tc>
          <w:tcPr>
            <w:tcW w:w="2940" w:type="dxa"/>
            <w:vAlign w:val="bottom"/>
          </w:tcPr>
          <w:p>
            <w:pPr>
              <w:jc w:val="center"/>
              <w:ind w:left="931"/>
              <w:spacing w:after="0" w:line="166" w:lineRule="exact"/>
              <w:rPr>
                <w:sz w:val="20"/>
                <w:szCs w:val="20"/>
                <w:color w:val="auto"/>
              </w:rPr>
            </w:pPr>
            <w:r>
              <w:rPr>
                <w:rFonts w:ascii="Arial" w:cs="Arial" w:eastAsia="Arial" w:hAnsi="Arial"/>
                <w:sz w:val="15"/>
                <w:szCs w:val="15"/>
                <w:color w:val="auto"/>
                <w:w w:val="98"/>
              </w:rPr>
              <w:t>3 - 5 years</w:t>
            </w:r>
          </w:p>
        </w:tc>
        <w:tc>
          <w:tcPr>
            <w:tcW w:w="1720" w:type="dxa"/>
            <w:vAlign w:val="bottom"/>
          </w:tcPr>
          <w:p>
            <w:pPr>
              <w:jc w:val="center"/>
              <w:spacing w:after="0" w:line="166" w:lineRule="exact"/>
              <w:rPr>
                <w:sz w:val="20"/>
                <w:szCs w:val="20"/>
                <w:color w:val="auto"/>
              </w:rPr>
            </w:pPr>
            <w:r>
              <w:rPr>
                <w:rFonts w:ascii="Arial" w:cs="Arial" w:eastAsia="Arial" w:hAnsi="Arial"/>
                <w:sz w:val="15"/>
                <w:szCs w:val="15"/>
                <w:color w:val="auto"/>
                <w:w w:val="98"/>
              </w:rPr>
              <w:t>Straight line</w:t>
            </w:r>
          </w:p>
        </w:tc>
      </w:tr>
      <w:tr>
        <w:trPr>
          <w:trHeight w:val="166"/>
        </w:trPr>
        <w:tc>
          <w:tcPr>
            <w:tcW w:w="4280" w:type="dxa"/>
            <w:vAlign w:val="bottom"/>
            <w:tcBorders>
              <w:bottom w:val="single" w:sz="8" w:color="auto"/>
            </w:tcBorders>
            <w:shd w:val="clear" w:color="auto" w:fill="CCEEFF"/>
          </w:tcPr>
          <w:p>
            <w:pPr>
              <w:spacing w:after="0"/>
              <w:rPr>
                <w:sz w:val="14"/>
                <w:szCs w:val="14"/>
                <w:color w:val="auto"/>
              </w:rPr>
            </w:pPr>
          </w:p>
        </w:tc>
        <w:tc>
          <w:tcPr>
            <w:tcW w:w="29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spacing w:after="0"/>
              <w:rPr>
                <w:sz w:val="14"/>
                <w:szCs w:val="14"/>
                <w:color w:val="auto"/>
              </w:rPr>
            </w:pPr>
          </w:p>
        </w:tc>
      </w:tr>
      <w:tr>
        <w:trPr>
          <w:trHeight w:val="344"/>
        </w:trPr>
        <w:tc>
          <w:tcPr>
            <w:tcW w:w="4280" w:type="dxa"/>
            <w:vAlign w:val="bottom"/>
          </w:tcPr>
          <w:p>
            <w:pPr>
              <w:spacing w:after="0"/>
              <w:rPr>
                <w:sz w:val="20"/>
                <w:szCs w:val="20"/>
                <w:color w:val="auto"/>
              </w:rPr>
            </w:pPr>
            <w:r>
              <w:rPr>
                <w:rFonts w:ascii="Arial" w:cs="Arial" w:eastAsia="Arial" w:hAnsi="Arial"/>
                <w:sz w:val="15"/>
                <w:szCs w:val="15"/>
                <w:b w:val="1"/>
                <w:bCs w:val="1"/>
                <w:color w:val="auto"/>
              </w:rPr>
              <w:t>3.4.   Impairment of non-financial assets</w:t>
            </w:r>
          </w:p>
        </w:tc>
        <w:tc>
          <w:tcPr>
            <w:tcW w:w="2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3"/>
        </w:trPr>
        <w:tc>
          <w:tcPr>
            <w:tcW w:w="4280" w:type="dxa"/>
            <w:vAlign w:val="bottom"/>
          </w:tcPr>
          <w:p>
            <w:pPr>
              <w:spacing w:after="0"/>
              <w:rPr>
                <w:sz w:val="20"/>
                <w:szCs w:val="20"/>
                <w:color w:val="auto"/>
              </w:rPr>
            </w:pPr>
            <w:r>
              <w:rPr>
                <w:rFonts w:ascii="Arial" w:cs="Arial" w:eastAsia="Arial" w:hAnsi="Arial"/>
                <w:sz w:val="15"/>
                <w:szCs w:val="15"/>
                <w:b w:val="1"/>
                <w:bCs w:val="1"/>
                <w:i w:val="1"/>
                <w:iCs w:val="1"/>
                <w:color w:val="auto"/>
              </w:rPr>
              <w:t>Goodwill and other intangibles:</w:t>
            </w:r>
          </w:p>
        </w:tc>
        <w:tc>
          <w:tcPr>
            <w:tcW w:w="29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41"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Impairment tests on goodwill and other intangible assets with indefinite useful economic lives are undertaken annually at the financial year end. Additionally, these assets are subject to impairment tests whenever events or changes in circumstances which indicate that their carrying amount may not be recoverable. In those instances where the carrying value of an asset exceeds its recoverable amount (i.e. the higher of value in use and fair value less costs to sell), the asset is written down accordingly.</w:t>
      </w:r>
    </w:p>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When it is not possible to estimate the recoverable amount of an individual asset, the impairment test is carried out on the smallest group of assets to which it belongs for which there are separately identifiable cash flows; its cash generating units (“CGUs”).</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Goodwill is allocated on initial recognition to each of the Group’s CGUs that are expected to benefit from a business combination that gives rise to the goodwill.</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170"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The carrying amounts of the Group’s assets including right-of-use assets are reviewed at the end of each reporting period to determine whether there is any indication of impairment loss. If any such indication exists, the asset’s recoverable amount is estimated in order to determine the extent of the impairment loss, if any. An impairment loss is recognized for the amount by which the asset’s carrying amount exceeds its recoverable amount. The recoverable amount is the higher of an asset’s fair value less cost to sell and value in use. Impairment losses are charged to the profit and loss in other operating expenses.</w:t>
      </w:r>
    </w:p>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Impairment charges are included in the profit or loss, except to the extent they reverse gains previously recognized in other comprehensive income.</w:t>
      </w:r>
    </w:p>
    <w:p>
      <w:pPr>
        <w:spacing w:after="0" w:line="135"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3.5.</w:t>
      </w:r>
      <w:r>
        <w:rPr>
          <w:sz w:val="20"/>
          <w:szCs w:val="20"/>
          <w:color w:val="auto"/>
        </w:rPr>
        <w:tab/>
      </w:r>
      <w:r>
        <w:rPr>
          <w:rFonts w:ascii="Arial" w:cs="Arial" w:eastAsia="Arial" w:hAnsi="Arial"/>
          <w:sz w:val="14"/>
          <w:szCs w:val="14"/>
          <w:b w:val="1"/>
          <w:bCs w:val="1"/>
          <w:color w:val="auto"/>
        </w:rPr>
        <w:t>Financial instruments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3.5.1. Financial assets</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Group classifies its financial assets at amortized cost or fair value through other comprehensive income (“FVTOCI”). The Group has not classified any of its financial assets at fair value through profit or loss.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Fair value through other comprehensive income (“FVTOCI”):</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Group uses cash flow hedges to manage interest rate risk. The swaps are accounted for at fair value at each balance sheet date and the changes in the market price are recorded in other comprehensive income.</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positive fair values of interest rate swaps are included in other receivables and other comprehensive income. The negative fair values of interest rate swaps are included in payables and other comprehensive income.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Group entered into foreign currency exchange contracts, consisting of offsetting foreign exchange option contracts (“zero-cost collars” or “collars”) to mitigate foreign exchange fluctuations on the Philippine Peso (“PHP”), within a certain range and on a certain percentage of its PHP operating costs.</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zero-cost collars were recognized, in accordance with IFRS 9, as financial assets (or liabilities, as applicable) at fair value through other comprehensive income.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Financial assets at amortized cost: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 includes in this category trade and other receivables, deposits, due from related parties and cash and cash equivalents.</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These assets are non-derivative financial assets with fixed or determinable payments that are not quoted in an active market. They arise principally through the provision of goods and services to customers (e.g. trade receivables), but also incorporate other types of contractual monetary asset.</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They are initially recognized at fair value plus transaction costs that are directly attributable to their acquisition or issue, and are subsequently carried at amortized cost using the effective interest rate method, less provision for impairment.</w:t>
      </w:r>
    </w:p>
    <w:p>
      <w:pPr>
        <w:spacing w:after="0" w:line="135" w:lineRule="exact"/>
        <w:rPr>
          <w:sz w:val="20"/>
          <w:szCs w:val="20"/>
          <w:color w:val="auto"/>
        </w:rPr>
      </w:pPr>
    </w:p>
    <w:p>
      <w:pPr>
        <w:jc w:val="both"/>
        <w:ind w:left="40" w:right="39"/>
        <w:spacing w:after="0" w:line="234" w:lineRule="auto"/>
        <w:rPr>
          <w:sz w:val="20"/>
          <w:szCs w:val="20"/>
          <w:color w:val="auto"/>
        </w:rPr>
      </w:pPr>
      <w:r>
        <w:rPr>
          <w:rFonts w:ascii="Arial" w:cs="Arial" w:eastAsia="Arial" w:hAnsi="Arial"/>
          <w:sz w:val="15"/>
          <w:szCs w:val="15"/>
          <w:color w:val="auto"/>
        </w:rPr>
        <w:t>For impairment provisions, the Group applies the IFRS 9 simplified approach to measure expected credit losses using a lifetime expected credit loss provision for trade receivables to measure expected credit losses on a collective basis. Trade receivables are grouped based on a similar credit risk and aging. The Company measures Expected Credit Losses (ECL) and recognizes credit loss allowance at each reporting date. The measurement of ECL reflects: (i) an unbiased and probability weighted amount that is determined by evaluating a range of possible outcomes, (ii) time value of money and (iii) all reasonable and supportable information that is available without undue cost and effort at the end of each reporting period about past events, current conditions and forecasts of future conditions. The expected loss rates are based on the Group’s historical credit losses experienced over the three year period prior to the period end. The historical loss rates are then adjusted for current and forward-looking information on macroeconomic factors affecting the Group’s customers. The Group has identified the gross domestic product (GDP), unemployment rate and inflation rate as the key macroeconomic factors in the countries where the Group operates. Other financial assets includes time deposits and other receivables, and the Group has determined that credit risk has not increased significantly on those assets and considers to have low credit risks at the reporting date.</w:t>
      </w:r>
    </w:p>
    <w:p>
      <w:pPr>
        <w:spacing w:after="0" w:line="15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Group applies the IFRS 9 general approach to measure expected credit losses using a lifetime expected credit loss provision for related party balances to measure expected credit losses on a collective basis.</w:t>
      </w:r>
    </w:p>
    <w:p>
      <w:pPr>
        <w:spacing w:after="0" w:line="135"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From time to time, the Group elects to renegotiate the terms of trade receivables due from customers with which it has previously had a good trading history. Such renegotiations will lead to changes in the timing of payments rather than changes to the amounts owed and, in consequence, the new expected cash flows are discounted at the original effective interest rate and any resulting difference to the carrying value is recognized in the profit and loss.</w:t>
      </w:r>
    </w:p>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Group’s assets at amortized costs comprise trade and other receivables, deposits, due from related parties and cash and cash equivalents in the consolidated statement of financial position.</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Cash and cash equivalents includes cash in hand, deposits held at call with banks, and other short term highly liquid investments with original maturities of three months or less.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3.5.2. Financial liabilities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 classifies its financial liabilities into one of three categories, depending on the purpose for which the liability was acquired.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Fair value through profit and loss (“FVTPL”):</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warrant liability is classified as a financial liability at FVTPL and valued using the Black-Scholes model (June 30, 2020: Monte Carlo simulation). Financial liabilities at FVTPL are stated at fair value, with any gains or losses arising on re-measurement recognized in profit or loss.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Fair value through other comprehensive income (“FVTOCI”):</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Group uses cash flow hedges to manage interest rate risk. The swaps are accounted for at fair value at each balance sheet date and the changes in the market price are recorded in other comprehensive income.</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positive fair values of interest rate swaps are included in other receivables and other comprehensive income. The negative fair values of interest rate swaps are included in payables and other comprehensive income.</w:t>
      </w:r>
    </w:p>
    <w:p>
      <w:pPr>
        <w:spacing w:after="0" w:line="135"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Group entered into foreign currency exchange contracts, consisting of offsetting foreign exchange option contracts (“zero-cost collars” or “collars”) to mitigate foreign exchange fluctuations on the Philippine Peso (“PHP”), within a certain range and on a certain percentage of its PHP operating costs.</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zero-cost collars were recognized, in accordance with IFRS 9, as financial assets (or liabilities, as applicable) at fair value through other comprehensive income.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Financial liabilities at amortized cost: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 includes in this category trade and other payables, borrowings, and due to related parties.</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Trade payables and other short-term monetary liabilities, which are initially recognized at fair value and subsequently carried at amortized cost using the effective interest method. Gains and losses are recognized in the profit or loss when the liabilities are derecognized as well as through the effective interest rate method amortization process. The effective interest method is a method of calculating the amortized cost of a financial liability and of allocating interest costs over the relevant period. The effective interest rate is the rate that exactly discounts estimated future cash payments through the expected life of the financial liability or (where appropriate) to the net carrying amount on initial recognition.</w:t>
      </w:r>
    </w:p>
    <w:p>
      <w:pPr>
        <w:spacing w:after="0" w:line="15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Financial liabilities at amortized cost are initially recognized at fair value net of any transaction costs directly attributable to the issue of the instrument.</w:t>
      </w:r>
    </w:p>
    <w:p>
      <w:pPr>
        <w:spacing w:after="0" w:line="135"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Interest bearing liabilities are subsequently measured at amortized cost using the effective interest rate method, which ensures that any interest expense over the period to repayment is at a constant rate on the balance of the liability carried in the consolidated statement of financial position.</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For the purposes of each financial liability, interest expense includes initial transaction costs and any premium payable on redemption, as well as any interest or coupon payable while the liability is outstanding.</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Receivables and payables made to the Group companies outside the control of IBEX Limited are presented under the heading due to/from related parties. When denominated in a currency other than the US dollar, they are translated to US dollar at closing rates. Related parties receivables and payables are initially recognized at fair value and subsequently measured at amortized cost.</w:t>
      </w:r>
    </w:p>
    <w:p>
      <w:pPr>
        <w:spacing w:after="0" w:line="14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3.6.</w:t>
      </w:r>
      <w:r>
        <w:rPr>
          <w:sz w:val="20"/>
          <w:szCs w:val="20"/>
          <w:color w:val="auto"/>
        </w:rPr>
        <w:tab/>
      </w:r>
      <w:r>
        <w:rPr>
          <w:rFonts w:ascii="Arial" w:cs="Arial" w:eastAsia="Arial" w:hAnsi="Arial"/>
          <w:sz w:val="14"/>
          <w:szCs w:val="14"/>
          <w:b w:val="1"/>
          <w:bCs w:val="1"/>
          <w:color w:val="auto"/>
        </w:rPr>
        <w:t>Trade receivables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Trade receivables are recognized and carried at original invoice amount less an allowance for expected credit losses.</w:t>
      </w:r>
    </w:p>
    <w:p>
      <w:pPr>
        <w:spacing w:after="0" w:line="170"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3.7.</w:t>
      </w:r>
      <w:r>
        <w:rPr>
          <w:sz w:val="20"/>
          <w:szCs w:val="20"/>
          <w:color w:val="auto"/>
        </w:rPr>
        <w:tab/>
      </w:r>
      <w:r>
        <w:rPr>
          <w:rFonts w:ascii="Arial" w:cs="Arial" w:eastAsia="Arial" w:hAnsi="Arial"/>
          <w:sz w:val="14"/>
          <w:szCs w:val="14"/>
          <w:b w:val="1"/>
          <w:bCs w:val="1"/>
          <w:color w:val="auto"/>
        </w:rPr>
        <w:t>Cash and cash equivalents</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Cash and cash equivalents includes cash in hand, deposits held at call with banks, other short term highly liquid investments with original maturities of three months or less. Bank overdrafts are shown within loans and borrowings in current liabilities on the consolidated statement of financial position.</w:t>
      </w:r>
    </w:p>
    <w:p>
      <w:pPr>
        <w:spacing w:after="0" w:line="14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3.8.</w:t>
      </w:r>
      <w:r>
        <w:rPr>
          <w:sz w:val="20"/>
          <w:szCs w:val="20"/>
          <w:color w:val="auto"/>
        </w:rPr>
        <w:tab/>
      </w:r>
      <w:r>
        <w:rPr>
          <w:rFonts w:ascii="Arial" w:cs="Arial" w:eastAsia="Arial" w:hAnsi="Arial"/>
          <w:sz w:val="14"/>
          <w:szCs w:val="14"/>
          <w:b w:val="1"/>
          <w:bCs w:val="1"/>
          <w:color w:val="auto"/>
        </w:rPr>
        <w:t>Revenue from Contracts with Customers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IFRS 15 lays out a five-step process to ascertain the amount and timing of revenue that should be recognized.</w:t>
      </w:r>
    </w:p>
    <w:p>
      <w:pPr>
        <w:spacing w:after="0" w:line="170" w:lineRule="exact"/>
        <w:rPr>
          <w:sz w:val="20"/>
          <w:szCs w:val="20"/>
          <w:color w:val="auto"/>
        </w:rPr>
      </w:pPr>
    </w:p>
    <w:p>
      <w:pPr>
        <w:ind w:left="300" w:right="59" w:hanging="265"/>
        <w:spacing w:after="0" w:line="259" w:lineRule="auto"/>
        <w:tabs>
          <w:tab w:leader="none" w:pos="300" w:val="left"/>
        </w:tabs>
        <w:numPr>
          <w:ilvl w:val="0"/>
          <w:numId w:val="84"/>
        </w:numPr>
        <w:rPr>
          <w:rFonts w:ascii="Times New Roman" w:cs="Times New Roman" w:eastAsia="Times New Roman" w:hAnsi="Times New Roman"/>
          <w:sz w:val="15"/>
          <w:szCs w:val="15"/>
          <w:color w:val="auto"/>
        </w:rPr>
      </w:pPr>
      <w:r>
        <w:rPr>
          <w:rFonts w:ascii="Arial" w:cs="Arial" w:eastAsia="Arial" w:hAnsi="Arial"/>
          <w:sz w:val="15"/>
          <w:szCs w:val="15"/>
          <w:color w:val="auto"/>
        </w:rPr>
        <w:t>Step 1: Identify the contract: The Company determines whether a contract exists between the reporting entity and customers that identifies rights, payment terms, has commercial substance and basis for collectability can be determined.</w:t>
      </w:r>
    </w:p>
    <w:p>
      <w:pPr>
        <w:spacing w:after="0" w:line="135" w:lineRule="exact"/>
        <w:rPr>
          <w:rFonts w:ascii="Times New Roman" w:cs="Times New Roman" w:eastAsia="Times New Roman" w:hAnsi="Times New Roman"/>
          <w:sz w:val="15"/>
          <w:szCs w:val="15"/>
          <w:color w:val="auto"/>
        </w:rPr>
      </w:pPr>
    </w:p>
    <w:p>
      <w:pPr>
        <w:ind w:left="300" w:right="59" w:hanging="265"/>
        <w:spacing w:after="0" w:line="294" w:lineRule="auto"/>
        <w:tabs>
          <w:tab w:leader="none" w:pos="30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Step 2: Identify the Performance Obligations: The Company reviews the nature of the goods or service to be rendered in the contract and whether these are distinct. The reporting entity should recognize the revenue when it satisfies the performance obligations.</w:t>
      </w:r>
    </w:p>
    <w:p>
      <w:pPr>
        <w:spacing w:after="0" w:line="113" w:lineRule="exact"/>
        <w:rPr>
          <w:rFonts w:ascii="Times New Roman" w:cs="Times New Roman" w:eastAsia="Times New Roman" w:hAnsi="Times New Roman"/>
          <w:sz w:val="14"/>
          <w:szCs w:val="14"/>
          <w:color w:val="auto"/>
        </w:rPr>
      </w:pPr>
    </w:p>
    <w:p>
      <w:pPr>
        <w:jc w:val="both"/>
        <w:ind w:left="300" w:right="59" w:hanging="265"/>
        <w:spacing w:after="0"/>
        <w:tabs>
          <w:tab w:leader="none" w:pos="300" w:val="left"/>
        </w:tabs>
        <w:numPr>
          <w:ilvl w:val="0"/>
          <w:numId w:val="84"/>
        </w:numPr>
        <w:rPr>
          <w:rFonts w:ascii="Times New Roman" w:cs="Times New Roman" w:eastAsia="Times New Roman" w:hAnsi="Times New Roman"/>
          <w:sz w:val="15"/>
          <w:szCs w:val="15"/>
          <w:color w:val="auto"/>
        </w:rPr>
      </w:pPr>
      <w:r>
        <w:rPr>
          <w:rFonts w:ascii="Arial" w:cs="Arial" w:eastAsia="Arial" w:hAnsi="Arial"/>
          <w:sz w:val="15"/>
          <w:szCs w:val="15"/>
          <w:color w:val="auto"/>
        </w:rPr>
        <w:t>Step 3: Determine the transaction price: The amount of consideration expected to be received is defined which may be fixed or variable. With variable consideration the reporting entity can reasonably estimate the expected consideration. This step includes consideration of the various criteria which need to be identified and analyzed in determining whether revenues are fixed, variable or both.</w:t>
      </w:r>
    </w:p>
    <w:p>
      <w:pPr>
        <w:spacing w:after="0" w:line="150" w:lineRule="exact"/>
        <w:rPr>
          <w:rFonts w:ascii="Times New Roman" w:cs="Times New Roman" w:eastAsia="Times New Roman" w:hAnsi="Times New Roman"/>
          <w:sz w:val="15"/>
          <w:szCs w:val="15"/>
          <w:color w:val="auto"/>
        </w:rPr>
      </w:pPr>
    </w:p>
    <w:p>
      <w:pPr>
        <w:ind w:left="300" w:right="59" w:hanging="265"/>
        <w:spacing w:after="0" w:line="259" w:lineRule="auto"/>
        <w:tabs>
          <w:tab w:leader="none" w:pos="300" w:val="left"/>
        </w:tabs>
        <w:numPr>
          <w:ilvl w:val="0"/>
          <w:numId w:val="84"/>
        </w:numPr>
        <w:rPr>
          <w:rFonts w:ascii="Times New Roman" w:cs="Times New Roman" w:eastAsia="Times New Roman" w:hAnsi="Times New Roman"/>
          <w:sz w:val="15"/>
          <w:szCs w:val="15"/>
          <w:color w:val="auto"/>
        </w:rPr>
      </w:pPr>
      <w:r>
        <w:rPr>
          <w:rFonts w:ascii="Arial" w:cs="Arial" w:eastAsia="Arial" w:hAnsi="Arial"/>
          <w:sz w:val="15"/>
          <w:szCs w:val="15"/>
          <w:color w:val="auto"/>
        </w:rPr>
        <w:t>Step 4: Allocate the transaction price to the performance obligations in the contracts – Where separate performance obligations exist, the reporting entity allocates and assigns the consideration to the respective performance obligations.</w:t>
      </w:r>
    </w:p>
    <w:p>
      <w:pPr>
        <w:spacing w:after="0" w:line="135"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4"/>
        </w:numPr>
        <w:rPr>
          <w:rFonts w:ascii="Times New Roman" w:cs="Times New Roman" w:eastAsia="Times New Roman" w:hAnsi="Times New Roman"/>
          <w:sz w:val="15"/>
          <w:szCs w:val="15"/>
          <w:color w:val="auto"/>
        </w:rPr>
      </w:pPr>
      <w:r>
        <w:rPr>
          <w:rFonts w:ascii="Arial" w:cs="Arial" w:eastAsia="Arial" w:hAnsi="Arial"/>
          <w:sz w:val="15"/>
          <w:szCs w:val="15"/>
          <w:color w:val="auto"/>
        </w:rPr>
        <w:t>Step 5: Revenue Recognition: Recognize revenue to when the entity satisfies the performance obligations.</w:t>
      </w:r>
    </w:p>
    <w:p>
      <w:pPr>
        <w:spacing w:after="0" w:line="181"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Revenues from contact center services are recognized over the period as the services are performed on the basis of the number of billable hours or other contractually agreed metrics. Revenues from inbound and outbound telephonic and internet-based communication services that are customized to the customers’ needs are recognized at the contractual rates as services are provided. Revenues for the initial training that occurs upon commencement of a new client contract are deferred and recognized over the estimated life of the client program if that training is billed to a client. Training revenues are deferred and then recognized on a straight-line basis over the life of the client contract, as it is not considered to have a standalone value to the customer. The related expenses are immediately charged to payroll and related expenses in the statement of profit or loss as incurred. Revenues are recognized in the amount as per the contractual billing rights which has a right to invoice net of discounts, incentives, and other credits as per contractual terms. The contact center solutions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6" w:name="page147"/>
    <w:bookmarkEnd w:id="14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consist of customer service, technical support and other value added outsourced back office services. This omni-channel offering is delivered through voice, email, chat, SMS, social media and other communication applications. Capital expenditure, billed to the client at actual cost, is deferred and then recognized on a straight-line basis over the life of the client contract.</w:t>
      </w:r>
    </w:p>
    <w:p>
      <w:pPr>
        <w:spacing w:after="0" w:line="146"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Revenues from CX services are recognized over the period of a client’s subscription contract on a basis that reflects usage of the product at the client’s location. Revenues and expenses related to set-up fees to customize the customer experience solution for client’s specific needs are deferred and recognized on a straight-line basis over the period in which the related service delivery is expected to be performed. Revenues related to additional consulting services are recognized over the period as the related services are performed on a per hour basis. The customer experience solution is comprised of a comprehensive suite of proprietary software tools to measure, monitor and manage the customer experience.</w:t>
      </w:r>
    </w:p>
    <w:p>
      <w:pPr>
        <w:spacing w:after="0" w:line="15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Revenues from Digital services are recognized upon the successful purchase of clients’ services as reported to the Group in monthly, semi-monthly or weekly intervals by clients. The data provided by clients to the Group include detail on pricing and product level activations from all channels (i.e. web-portal orders, call center orders, or affiliate or partner orders placed on the Group’s behalf) on the basis of which the clients calculate the payments owed to the Group. The payments received are reconciled to the activation data transmitted to the Group by the clients. Revenue is recognized from Digital Services at a point of time. Most of the digital solutions are based on two steps: (a) generating or purchasing a lead or a prospect, and (b) converting that lead or prospect into a customer, most frequently through a voice-based channel. Customers are primarily acquired for clients in the telecommunications, cable, technology and insurance industries.</w:t>
      </w:r>
    </w:p>
    <w:p>
      <w:pPr>
        <w:spacing w:after="0" w:line="153"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For renewal commissions, the Group incorporates a combination of historical lapse and premium increase data along with available industry and insurance carrier experience data to estimate forecasted renewal consideration and constrain revenue recognized to the extent that it is probable that a significant reversal in the amount of cumulative revenue recognized will not occur. The uncertainty associated with the variable consideration is subsequently resolved when the policy renews.</w:t>
      </w:r>
    </w:p>
    <w:p>
      <w:pPr>
        <w:spacing w:after="0" w:line="151"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Costs of fulfilling contracts do not result in the recognition of an asset as the majority of revenue is recognized over time and control of the asset is transferred to the customer when the service is transferred therefore no asset in relation to costs to fulfil contracts has been recognized. In relation to costs incurred to obtain a contract, no asset is recognized because the majority of costs (i.e. travel, employee commission, administrative expenses) are short-term in nature and also insignificant therefore they are recognized in the profit and loss account when incurred.</w:t>
      </w:r>
    </w:p>
    <w:p>
      <w:pPr>
        <w:spacing w:after="0" w:line="151"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3.9.</w:t>
      </w:r>
      <w:r>
        <w:rPr>
          <w:sz w:val="20"/>
          <w:szCs w:val="20"/>
          <w:color w:val="auto"/>
        </w:rPr>
        <w:tab/>
      </w:r>
      <w:r>
        <w:rPr>
          <w:rFonts w:ascii="Arial" w:cs="Arial" w:eastAsia="Arial" w:hAnsi="Arial"/>
          <w:sz w:val="14"/>
          <w:szCs w:val="14"/>
          <w:b w:val="1"/>
          <w:bCs w:val="1"/>
          <w:color w:val="auto"/>
        </w:rPr>
        <w:t>Provisions</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A provision is recognized in the statement of financial position when the Group has a legal or constructive obligation as a result of a past event; it is probable that an outflow of resources embodying economic benefits will be required to settle the obligation and a reliable estimate can be made of the amount of the obligation.</w:t>
      </w:r>
    </w:p>
    <w:p>
      <w:pPr>
        <w:spacing w:after="0" w:line="146"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Group has recognized provisions against legal disputes. Provisions are made for costs to defend legal disputes where it is considered that an outflow of economic benefit is probable. Provisions are measured at the present value of the expenditures expected to be required to settle the obligation using a pre-tax rate that reflects current market assessments of the time value of money and the risks specific to the obligation. The increase in the provision due to passage of time is recognized as interest expense in profit and loss. Provisions are reviewed at each statement of financial position date and adjusted to reflect the current best estimate. The provisions are recognized in trade and other payables.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3.10.  Retirement benefits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Defined contribution pension schemes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Contributions to defined contribution pension schemes are charged to the profit or loss in the year to which they relate.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United States based subsidiaries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Group’s United States (“US”) based subsidiaries have qualified defined contribution plans. Employees who meet certain eligibility requirements, as defined, are able to contribute up to federal annual maximums. The retirement plan provides for company matching contributions of 100% of the first 3% of employee contributions to the retirement plan and 50% of the next 2% of the employee contributions to the retirement plan. All company matching contributions are 100% vested.</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TRG Marketing Solutions Limited</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This subsidiary operates a defined contribution pension plan with a third party. Under this scheme, TRG Marketing Solutions Limited makes contributions for employees who have not opted out of the voluntary pension scheme.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Virtual World (Private) Limited and IBEX Global Solutions (Private) Limited</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Virtual World (Private) Limited, IBEX Global Solutions (Private) Limited, and DGS (Private) Limited operate a defined contribution plan (i.e. recognized provident fund scheme) for all its permanent employees. The assets of the fund are held separately under the control of trustees for such fund. Contributions made by the subsidiaries are charged to the profit or loss.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Defined benefit schemes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Defined benefit scheme surpluses and deficits are measured at:</w:t>
      </w:r>
    </w:p>
    <w:p>
      <w:pPr>
        <w:spacing w:after="0" w:line="170" w:lineRule="exact"/>
        <w:rPr>
          <w:sz w:val="20"/>
          <w:szCs w:val="20"/>
          <w:color w:val="auto"/>
        </w:rPr>
      </w:pPr>
    </w:p>
    <w:p>
      <w:pPr>
        <w:ind w:left="300" w:hanging="265"/>
        <w:spacing w:after="0"/>
        <w:tabs>
          <w:tab w:leader="none" w:pos="300" w:val="left"/>
        </w:tabs>
        <w:numPr>
          <w:ilvl w:val="0"/>
          <w:numId w:val="85"/>
        </w:numPr>
        <w:rPr>
          <w:rFonts w:ascii="Times New Roman" w:cs="Times New Roman" w:eastAsia="Times New Roman" w:hAnsi="Times New Roman"/>
          <w:sz w:val="15"/>
          <w:szCs w:val="15"/>
          <w:color w:val="auto"/>
        </w:rPr>
      </w:pPr>
      <w:r>
        <w:rPr>
          <w:rFonts w:ascii="Arial" w:cs="Arial" w:eastAsia="Arial" w:hAnsi="Arial"/>
          <w:sz w:val="15"/>
          <w:szCs w:val="15"/>
          <w:color w:val="auto"/>
        </w:rPr>
        <w:t>The fair value of plan assets at the reporting date; less</w:t>
      </w:r>
    </w:p>
    <w:p>
      <w:pPr>
        <w:spacing w:after="0" w:line="17" w:lineRule="exact"/>
        <w:rPr>
          <w:rFonts w:ascii="Times New Roman" w:cs="Times New Roman" w:eastAsia="Times New Roman" w:hAnsi="Times New Roman"/>
          <w:sz w:val="15"/>
          <w:szCs w:val="15"/>
          <w:color w:val="auto"/>
        </w:rPr>
      </w:pPr>
    </w:p>
    <w:p>
      <w:pPr>
        <w:jc w:val="both"/>
        <w:ind w:left="300" w:right="59" w:hanging="265"/>
        <w:spacing w:after="0" w:line="230" w:lineRule="auto"/>
        <w:tabs>
          <w:tab w:leader="none" w:pos="300" w:val="left"/>
        </w:tabs>
        <w:numPr>
          <w:ilvl w:val="0"/>
          <w:numId w:val="85"/>
        </w:numPr>
        <w:rPr>
          <w:rFonts w:ascii="Times New Roman" w:cs="Times New Roman" w:eastAsia="Times New Roman" w:hAnsi="Times New Roman"/>
          <w:sz w:val="15"/>
          <w:szCs w:val="15"/>
          <w:color w:val="auto"/>
        </w:rPr>
      </w:pPr>
      <w:r>
        <w:rPr>
          <w:rFonts w:ascii="Arial" w:cs="Arial" w:eastAsia="Arial" w:hAnsi="Arial"/>
          <w:sz w:val="15"/>
          <w:szCs w:val="15"/>
          <w:color w:val="auto"/>
        </w:rPr>
        <w:t>Plan liabilities calculated using the projected unit credit method discounted to its present value using yields available on high quality corporate bonds that have maturity dates approximating to the terms of the liabilities and are denominated in the same currency as the post-employment benefit obligations; less</w:t>
      </w:r>
    </w:p>
    <w:p>
      <w:pPr>
        <w:spacing w:after="0" w:line="1"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5"/>
        </w:numPr>
        <w:rPr>
          <w:rFonts w:ascii="Times New Roman" w:cs="Times New Roman" w:eastAsia="Times New Roman" w:hAnsi="Times New Roman"/>
          <w:sz w:val="15"/>
          <w:szCs w:val="15"/>
          <w:color w:val="auto"/>
        </w:rPr>
      </w:pPr>
      <w:r>
        <w:rPr>
          <w:rFonts w:ascii="Arial" w:cs="Arial" w:eastAsia="Arial" w:hAnsi="Arial"/>
          <w:sz w:val="15"/>
          <w:szCs w:val="15"/>
          <w:color w:val="auto"/>
        </w:rPr>
        <w:t>The effect of minimum funding requirements agreed with scheme trustees</w:t>
      </w:r>
    </w:p>
    <w:p>
      <w:pPr>
        <w:spacing w:after="0" w:line="167"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Re-measurements of the net defined obligation are recognized directly within other comprehensive income. The re-measurements include:</w:t>
      </w:r>
    </w:p>
    <w:p>
      <w:pPr>
        <w:spacing w:after="0" w:line="135" w:lineRule="exact"/>
        <w:rPr>
          <w:sz w:val="20"/>
          <w:szCs w:val="20"/>
          <w:color w:val="auto"/>
        </w:rPr>
      </w:pPr>
    </w:p>
    <w:p>
      <w:pPr>
        <w:ind w:left="300" w:hanging="265"/>
        <w:spacing w:after="0"/>
        <w:tabs>
          <w:tab w:leader="none" w:pos="300" w:val="left"/>
        </w:tabs>
        <w:numPr>
          <w:ilvl w:val="0"/>
          <w:numId w:val="86"/>
        </w:numPr>
        <w:rPr>
          <w:rFonts w:ascii="Times New Roman" w:cs="Times New Roman" w:eastAsia="Times New Roman" w:hAnsi="Times New Roman"/>
          <w:sz w:val="15"/>
          <w:szCs w:val="15"/>
          <w:color w:val="auto"/>
        </w:rPr>
      </w:pPr>
      <w:r>
        <w:rPr>
          <w:rFonts w:ascii="Arial" w:cs="Arial" w:eastAsia="Arial" w:hAnsi="Arial"/>
          <w:sz w:val="15"/>
          <w:szCs w:val="15"/>
          <w:color w:val="auto"/>
        </w:rPr>
        <w:t>Actuarial gains and losses</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6"/>
        </w:numPr>
        <w:rPr>
          <w:rFonts w:ascii="Times New Roman" w:cs="Times New Roman" w:eastAsia="Times New Roman" w:hAnsi="Times New Roman"/>
          <w:sz w:val="15"/>
          <w:szCs w:val="15"/>
          <w:color w:val="auto"/>
        </w:rPr>
      </w:pPr>
      <w:r>
        <w:rPr>
          <w:rFonts w:ascii="Arial" w:cs="Arial" w:eastAsia="Arial" w:hAnsi="Arial"/>
          <w:sz w:val="15"/>
          <w:szCs w:val="15"/>
          <w:color w:val="auto"/>
        </w:rPr>
        <w:t>Return on plan assets (interest exclusive)</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6"/>
        </w:numPr>
        <w:rPr>
          <w:rFonts w:ascii="Times New Roman" w:cs="Times New Roman" w:eastAsia="Times New Roman" w:hAnsi="Times New Roman"/>
          <w:sz w:val="15"/>
          <w:szCs w:val="15"/>
          <w:color w:val="auto"/>
        </w:rPr>
      </w:pPr>
      <w:r>
        <w:rPr>
          <w:rFonts w:ascii="Arial" w:cs="Arial" w:eastAsia="Arial" w:hAnsi="Arial"/>
          <w:sz w:val="15"/>
          <w:szCs w:val="15"/>
          <w:color w:val="auto"/>
        </w:rPr>
        <w:t>Any asset ceiling effects (interest exclusive)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Service costs are recognized in the profit or loss, and include current and past service costs as well as gains and losses on curtailments.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Net interest expense / income is recognized in the profit or loss, and is calculated by applying the discount rate used to measure the defined benefit obligation / asset at the beginning of the annual period to the balance of the net defined benefit obligation / asset, considering the effects of contributions and benefit payments during the period.</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Gains or losses arising from changes to scheme benefits or scheme curtailment are recognized immediately in the profit or loss.</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Settlements of defined benefit schemes are recognized in the period in which the settlement occurs.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IBEX Philippines, Inc. and IBEX Global Solutions (Philippines) Inc. operate an unfunded defined benefit scheme.</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Under the plan, pension costs are actuarially determined using the projected unit credit method. This method considers each period of service as giving rise to an additional unit of benefit entitlement and measures each unit separately to build up the final obligation. Gains or losses on the curtailment or settlement of pension benefits are recognized when the curtailment or settlement occurs. All actuarial gains and losses are recognized in the year in which they arise, with re-measurements presented within other comprehensive income. The net interest cost is derived by applying a single discount rate to the net surplus or deficit of the fund.</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3.11.  Share-based payments</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Group has a number of share based compensation plans under which it grants share options, restricted stock awards and restricted stock units.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uses the fair value method of accounting for the share options, restricted stock award plan and long-term incentive plan.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fair value of these share options are estimated using the Black-Scholes valuation model and Monte Carlo simulation as applicable.</w:t>
      </w:r>
    </w:p>
    <w:p>
      <w:pPr>
        <w:ind w:left="40"/>
        <w:spacing w:after="0"/>
        <w:rPr>
          <w:sz w:val="20"/>
          <w:szCs w:val="20"/>
          <w:color w:val="auto"/>
        </w:rPr>
      </w:pPr>
      <w:r>
        <w:rPr>
          <w:rFonts w:ascii="Arial" w:cs="Arial" w:eastAsia="Arial" w:hAnsi="Arial"/>
          <w:sz w:val="15"/>
          <w:szCs w:val="15"/>
          <w:color w:val="auto"/>
        </w:rPr>
        <w:t>The measurement of share options at fair value is based on the option pricing model taking into account the following variables:</w:t>
      </w:r>
    </w:p>
    <w:p>
      <w:pPr>
        <w:spacing w:after="0" w:line="156" w:lineRule="exact"/>
        <w:rPr>
          <w:sz w:val="20"/>
          <w:szCs w:val="20"/>
          <w:color w:val="auto"/>
        </w:rPr>
      </w:pPr>
    </w:p>
    <w:p>
      <w:pPr>
        <w:ind w:left="300" w:hanging="265"/>
        <w:spacing w:after="0"/>
        <w:tabs>
          <w:tab w:leader="none" w:pos="300" w:val="left"/>
        </w:tabs>
        <w:numPr>
          <w:ilvl w:val="0"/>
          <w:numId w:val="87"/>
        </w:numPr>
        <w:rPr>
          <w:rFonts w:ascii="Times New Roman" w:cs="Times New Roman" w:eastAsia="Times New Roman" w:hAnsi="Times New Roman"/>
          <w:sz w:val="15"/>
          <w:szCs w:val="15"/>
          <w:color w:val="auto"/>
        </w:rPr>
      </w:pPr>
      <w:r>
        <w:rPr>
          <w:rFonts w:ascii="Arial" w:cs="Arial" w:eastAsia="Arial" w:hAnsi="Arial"/>
          <w:sz w:val="15"/>
          <w:szCs w:val="15"/>
          <w:color w:val="auto"/>
        </w:rPr>
        <w:t>The share price.</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7"/>
        </w:numPr>
        <w:rPr>
          <w:rFonts w:ascii="Times New Roman" w:cs="Times New Roman" w:eastAsia="Times New Roman" w:hAnsi="Times New Roman"/>
          <w:sz w:val="15"/>
          <w:szCs w:val="15"/>
          <w:color w:val="auto"/>
        </w:rPr>
      </w:pPr>
      <w:r>
        <w:rPr>
          <w:rFonts w:ascii="Arial" w:cs="Arial" w:eastAsia="Arial" w:hAnsi="Arial"/>
          <w:sz w:val="15"/>
          <w:szCs w:val="15"/>
          <w:color w:val="auto"/>
        </w:rPr>
        <w:t>The strike price.</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7"/>
        </w:numPr>
        <w:rPr>
          <w:rFonts w:ascii="Times New Roman" w:cs="Times New Roman" w:eastAsia="Times New Roman" w:hAnsi="Times New Roman"/>
          <w:sz w:val="15"/>
          <w:szCs w:val="15"/>
          <w:color w:val="auto"/>
        </w:rPr>
      </w:pPr>
      <w:r>
        <w:rPr>
          <w:rFonts w:ascii="Arial" w:cs="Arial" w:eastAsia="Arial" w:hAnsi="Arial"/>
          <w:sz w:val="15"/>
          <w:szCs w:val="15"/>
          <w:color w:val="auto"/>
        </w:rPr>
        <w:t>Volatility determined based on historical prices of our shares.</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7"/>
        </w:numPr>
        <w:rPr>
          <w:rFonts w:ascii="Times New Roman" w:cs="Times New Roman" w:eastAsia="Times New Roman" w:hAnsi="Times New Roman"/>
          <w:sz w:val="15"/>
          <w:szCs w:val="15"/>
          <w:color w:val="auto"/>
        </w:rPr>
      </w:pPr>
      <w:r>
        <w:rPr>
          <w:rFonts w:ascii="Arial" w:cs="Arial" w:eastAsia="Arial" w:hAnsi="Arial"/>
          <w:sz w:val="15"/>
          <w:szCs w:val="15"/>
          <w:color w:val="auto"/>
        </w:rPr>
        <w:t>The duration, which has been estimated as the difference between the valuation date of the warrant plans and final exercise date.</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7"/>
        </w:numPr>
        <w:rPr>
          <w:rFonts w:ascii="Times New Roman" w:cs="Times New Roman" w:eastAsia="Times New Roman" w:hAnsi="Times New Roman"/>
          <w:sz w:val="15"/>
          <w:szCs w:val="15"/>
          <w:color w:val="auto"/>
        </w:rPr>
      </w:pPr>
      <w:r>
        <w:rPr>
          <w:rFonts w:ascii="Arial" w:cs="Arial" w:eastAsia="Arial" w:hAnsi="Arial"/>
          <w:sz w:val="15"/>
          <w:szCs w:val="15"/>
          <w:color w:val="auto"/>
        </w:rPr>
        <w:t>The risk free interest rate.</w:t>
      </w:r>
    </w:p>
    <w:p>
      <w:pPr>
        <w:spacing w:after="0" w:line="167"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During the years ended June 30, 2022 and 2021, the grant date fair value of any new stock and option grants were calculated using the Black-Scholes valuation model, however, prior to the Company becoming public, the grant date fair value of any stock and option grants were calculated using a Monte Carlo simulation model.</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Where equity settled share options are awarded to employees, the fair value of the options at the date of grant is charged to the profit or loss over the vesting period.</w:t>
      </w:r>
    </w:p>
    <w:p>
      <w:pPr>
        <w:spacing w:after="0" w:line="135"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Where the terms and conditions of awards are modified before they vest, the increase in the fair value of the awards, measured immediately before and after the modification, is also charged to the consolidated statement of comprehensive income over the remaining vesting period.</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Group also operates a Phantom share option scheme (a cash settled share-based payment). An option pricing model (Black-Scholes) is used to measure the Group’s liability at each reporting date, taking into account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the terms and conditions and the extent to which employees have rendered service. Movements in the liability (other than cash payments) are recognized in the profit or loss. For additional information, please refer to Note 19.</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3.12.  Warrants</w:t>
      </w:r>
    </w:p>
    <w:p>
      <w:pPr>
        <w:spacing w:after="0" w:line="170" w:lineRule="exact"/>
        <w:rPr>
          <w:sz w:val="20"/>
          <w:szCs w:val="20"/>
          <w:color w:val="auto"/>
        </w:rPr>
      </w:pPr>
    </w:p>
    <w:p>
      <w:pPr>
        <w:ind w:left="40" w:right="39"/>
        <w:spacing w:after="0"/>
        <w:rPr>
          <w:sz w:val="20"/>
          <w:szCs w:val="20"/>
          <w:color w:val="auto"/>
        </w:rPr>
      </w:pPr>
      <w:r>
        <w:rPr>
          <w:rFonts w:ascii="Arial" w:cs="Arial" w:eastAsia="Arial" w:hAnsi="Arial"/>
          <w:sz w:val="15"/>
          <w:szCs w:val="15"/>
          <w:color w:val="auto"/>
        </w:rPr>
        <w:t>The Company accounts for the warrants to purchase its common shares in accordance with the provisions of IAS 32 − Financial Instruments: Presentation and IFRS 9 – Financial Instruments. The Company classifies as assets or liabilities any contracts that</w:t>
      </w:r>
    </w:p>
    <w:p>
      <w:pPr>
        <w:spacing w:after="0" w:line="1" w:lineRule="exact"/>
        <w:rPr>
          <w:sz w:val="20"/>
          <w:szCs w:val="20"/>
          <w:color w:val="auto"/>
        </w:rPr>
      </w:pPr>
    </w:p>
    <w:p>
      <w:pPr>
        <w:jc w:val="both"/>
        <w:ind w:left="40" w:right="59" w:hanging="5"/>
        <w:spacing w:after="0" w:line="237" w:lineRule="auto"/>
        <w:tabs>
          <w:tab w:leader="none" w:pos="2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require net-cash settlement (including a requirement to net-cash settle the contract if an event occurs and if that event is outside the control of the Company) or (ii) gives the counterparty a choice of net-cash settlement or settlement in shares (physical settlement or net-share settlement).</w:t>
      </w:r>
    </w:p>
    <w:p>
      <w:pPr>
        <w:spacing w:after="0" w:line="15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4"/>
          <w:szCs w:val="14"/>
          <w:color w:val="auto"/>
        </w:rPr>
        <w:t>The Company assessed the classification of the warrant as of the date it was issued and determined that such instruments met the criteria for liability classification. The warrant is reported on the consolidated statement of financial position as a liability at fair value using the Black-Scholes valuation method. The initial value was recorded on the consolidated statements of financial position with the common shares underlying the warrant which have vested recorded as contra revenue and the remainder recorded to long-and short-term assets.</w:t>
      </w:r>
    </w:p>
    <w:p>
      <w:pPr>
        <w:spacing w:after="0" w:line="135"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total fair value of the warrant liability is determined at the end of each reporting period by multiplying the fair value of a warrant by the total number of warrants that are expected to vest under the arrangement based on the satisfaction of the specified revenue milestones provided in the warrant. The total number of warrants that are expected to vest is based upon the cumulative revenues that are expected, as determined at the end of each reporting period, to be earned from Amazon during a period of 7.5 years ending on June 30, 2024.</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measurement of the warrant at fair value as of the initial measurement date is based on the Black-Scholes valuation model taking into account the following variables:</w:t>
      </w:r>
    </w:p>
    <w:p>
      <w:pPr>
        <w:spacing w:after="0" w:line="102" w:lineRule="exact"/>
        <w:rPr>
          <w:sz w:val="20"/>
          <w:szCs w:val="20"/>
          <w:color w:val="auto"/>
        </w:rPr>
      </w:pPr>
    </w:p>
    <w:p>
      <w:pPr>
        <w:ind w:left="300" w:hanging="265"/>
        <w:spacing w:after="0"/>
        <w:tabs>
          <w:tab w:leader="none" w:pos="300" w:val="left"/>
        </w:tabs>
        <w:numPr>
          <w:ilvl w:val="0"/>
          <w:numId w:val="89"/>
        </w:numPr>
        <w:rPr>
          <w:rFonts w:ascii="Times New Roman" w:cs="Times New Roman" w:eastAsia="Times New Roman" w:hAnsi="Times New Roman"/>
          <w:sz w:val="15"/>
          <w:szCs w:val="15"/>
          <w:color w:val="auto"/>
        </w:rPr>
      </w:pPr>
      <w:r>
        <w:rPr>
          <w:rFonts w:ascii="Arial" w:cs="Arial" w:eastAsia="Arial" w:hAnsi="Arial"/>
          <w:sz w:val="15"/>
          <w:szCs w:val="15"/>
          <w:color w:val="auto"/>
        </w:rPr>
        <w:t>The share price.</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9"/>
        </w:numPr>
        <w:rPr>
          <w:rFonts w:ascii="Times New Roman" w:cs="Times New Roman" w:eastAsia="Times New Roman" w:hAnsi="Times New Roman"/>
          <w:sz w:val="15"/>
          <w:szCs w:val="15"/>
          <w:color w:val="auto"/>
        </w:rPr>
      </w:pPr>
      <w:r>
        <w:rPr>
          <w:rFonts w:ascii="Arial" w:cs="Arial" w:eastAsia="Arial" w:hAnsi="Arial"/>
          <w:sz w:val="15"/>
          <w:szCs w:val="15"/>
          <w:color w:val="auto"/>
        </w:rPr>
        <w:t>The strike price.</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9"/>
        </w:numPr>
        <w:rPr>
          <w:rFonts w:ascii="Times New Roman" w:cs="Times New Roman" w:eastAsia="Times New Roman" w:hAnsi="Times New Roman"/>
          <w:sz w:val="15"/>
          <w:szCs w:val="15"/>
          <w:color w:val="auto"/>
        </w:rPr>
      </w:pPr>
      <w:r>
        <w:rPr>
          <w:rFonts w:ascii="Arial" w:cs="Arial" w:eastAsia="Arial" w:hAnsi="Arial"/>
          <w:sz w:val="15"/>
          <w:szCs w:val="15"/>
          <w:color w:val="auto"/>
        </w:rPr>
        <w:t>Volatility determined based on historical prices of our shares.</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9"/>
        </w:numPr>
        <w:rPr>
          <w:rFonts w:ascii="Times New Roman" w:cs="Times New Roman" w:eastAsia="Times New Roman" w:hAnsi="Times New Roman"/>
          <w:sz w:val="15"/>
          <w:szCs w:val="15"/>
          <w:color w:val="auto"/>
        </w:rPr>
      </w:pPr>
      <w:r>
        <w:rPr>
          <w:rFonts w:ascii="Arial" w:cs="Arial" w:eastAsia="Arial" w:hAnsi="Arial"/>
          <w:sz w:val="15"/>
          <w:szCs w:val="15"/>
          <w:color w:val="auto"/>
        </w:rPr>
        <w:t>The duration, which has been estimated as the difference between the valuation date of the warrant plans and final exercise date.</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89"/>
        </w:numPr>
        <w:rPr>
          <w:rFonts w:ascii="Times New Roman" w:cs="Times New Roman" w:eastAsia="Times New Roman" w:hAnsi="Times New Roman"/>
          <w:sz w:val="15"/>
          <w:szCs w:val="15"/>
          <w:color w:val="auto"/>
        </w:rPr>
      </w:pPr>
      <w:r>
        <w:rPr>
          <w:rFonts w:ascii="Arial" w:cs="Arial" w:eastAsia="Arial" w:hAnsi="Arial"/>
          <w:sz w:val="15"/>
          <w:szCs w:val="15"/>
          <w:color w:val="auto"/>
        </w:rPr>
        <w:t>The risk free interest rate.</w:t>
      </w:r>
    </w:p>
    <w:p>
      <w:pPr>
        <w:spacing w:after="0" w:line="134"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At the end of each reporting period, the Company has fair valued the warrant liability with changes in fair value through profit and loss. For the years ended June 30, 2022 and June 30, 2021, the Company used the Black-Scholes valuation model, which requires the input of subjective assumptions, including the expected volatility and the expected term.</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considers a variety of factors in estimating the fair value of its common shares on each measurement date, including:</w:t>
      </w:r>
    </w:p>
    <w:p>
      <w:pPr>
        <w:spacing w:after="0" w:line="137" w:lineRule="exact"/>
        <w:rPr>
          <w:sz w:val="20"/>
          <w:szCs w:val="20"/>
          <w:color w:val="auto"/>
        </w:rPr>
      </w:pPr>
    </w:p>
    <w:p>
      <w:pPr>
        <w:ind w:left="300" w:hanging="265"/>
        <w:spacing w:after="0"/>
        <w:tabs>
          <w:tab w:leader="none" w:pos="300" w:val="left"/>
        </w:tabs>
        <w:numPr>
          <w:ilvl w:val="0"/>
          <w:numId w:val="90"/>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historical and projected operating and financial performance;</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90"/>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introduction of new products and services;</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90"/>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completion of strategic acquisitions;</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90"/>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stage of development;</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90"/>
        </w:numPr>
        <w:rPr>
          <w:rFonts w:ascii="Times New Roman" w:cs="Times New Roman" w:eastAsia="Times New Roman" w:hAnsi="Times New Roman"/>
          <w:sz w:val="15"/>
          <w:szCs w:val="15"/>
          <w:color w:val="auto"/>
        </w:rPr>
      </w:pPr>
      <w:r>
        <w:rPr>
          <w:rFonts w:ascii="Arial" w:cs="Arial" w:eastAsia="Arial" w:hAnsi="Arial"/>
          <w:sz w:val="15"/>
          <w:szCs w:val="15"/>
          <w:color w:val="auto"/>
        </w:rPr>
        <w:t>the global economic outlook and its expected impact on the Company’s business; and</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90"/>
        </w:numPr>
        <w:rPr>
          <w:rFonts w:ascii="Times New Roman" w:cs="Times New Roman" w:eastAsia="Times New Roman" w:hAnsi="Times New Roman"/>
          <w:sz w:val="15"/>
          <w:szCs w:val="15"/>
          <w:color w:val="auto"/>
        </w:rPr>
      </w:pPr>
      <w:r>
        <w:rPr>
          <w:rFonts w:ascii="Arial" w:cs="Arial" w:eastAsia="Arial" w:hAnsi="Arial"/>
          <w:sz w:val="15"/>
          <w:szCs w:val="15"/>
          <w:color w:val="auto"/>
        </w:rPr>
        <w:t>the market performance of comparable companies.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 assets will be amortized on a systematic basis over the life of the arrangement as revenue is recognized for the transfer of the related goods or services as included Note 3.8. The Company will review the asset on a reporting period basis to determine whether an impairment is required. In the event that an impairment is needed, the Company will reduce the asset and offset to revenues.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3.13. Treasury Shares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Share buyback</w:t>
      </w:r>
    </w:p>
    <w:p>
      <w:pPr>
        <w:spacing w:after="0" w:line="58"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In December 2021, the Company’s board of directors authorized the repurchase of up to $20 million of its common stock. The Company’s proposed repurchases may be made from time to time through open market transactions at prevailing market prices, in privately negotiated transactions, in block trades and/or through other legal permissible means, depending on the market conditions and in accordance with applicable rules and regulations. The actual timing, number, and dollar amount of repurchase transactions will be determined by management at its discretion and will depend on a number of factors including, but not limited to, the market price of the Company’s common shares, general market and economic conditions, and compliance with Rule 10b-18 and/or Rule 10b5-1 under the Securities Exchange Act of 1934, as amended. The repurchase program does not obligate the Company to acquire any particular amount of common shares, and the repurchase program may be suspended or discontinued at any time at the Company’s discretion. As of June 30, 2022, the Company repurchased 227,889 shares of its common stock totaling $3.4 million.</w:t>
      </w:r>
    </w:p>
    <w:p>
      <w:pPr>
        <w:spacing w:after="0" w:line="128"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When shares are repurchased, the amount of the consideration paid (including directly attributable costs, net of any tax effects) is recognized as a deduction of additional paid in capital. Repurchased shares are classified as treasury shares and are presented as a deduction from total equity. When treasury shares are subsequently sold or reissued, the amount received is recognized as an increase in additional paid in capital, and any resulting surplus or deficit on the transaction is reclassified to accumulated deficit.</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3.14. Income taxes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Current tax</w:t>
      </w:r>
    </w:p>
    <w:p>
      <w:pPr>
        <w:spacing w:after="0" w:line="14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Current tax expense is based on taxable income at the current rates of taxation of the respective jurisdictions after taking into account applicable tax credits, rebates and exemptions available, if any.</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Management periodically evaluates positions taken in tax returns with respect to situations in which applicable tax regulation is subject to interpretation. It establishes provisions, where appropriate, on the basis of amounts management expects to pay to the tax authorities. Any such provisions are based on estimates and are subject to changing facts and circumstances considering the progress of ongoing tax audits, case law and new legislation.</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Deferred tax</w:t>
      </w:r>
    </w:p>
    <w:p>
      <w:pPr>
        <w:spacing w:after="0" w:line="137"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Deferred tax assets and liabilities are recognized where the carrying amount of an asset or liability in the consolidated statement of financial position differs from its tax base, except for differences arising on:</w:t>
      </w:r>
    </w:p>
    <w:p>
      <w:pPr>
        <w:spacing w:after="0" w:line="113" w:lineRule="exact"/>
        <w:rPr>
          <w:sz w:val="20"/>
          <w:szCs w:val="20"/>
          <w:color w:val="auto"/>
        </w:rPr>
      </w:pPr>
    </w:p>
    <w:p>
      <w:pPr>
        <w:ind w:left="300" w:hanging="265"/>
        <w:spacing w:after="0"/>
        <w:tabs>
          <w:tab w:leader="none" w:pos="300" w:val="left"/>
        </w:tabs>
        <w:numPr>
          <w:ilvl w:val="0"/>
          <w:numId w:val="91"/>
        </w:numPr>
        <w:rPr>
          <w:rFonts w:ascii="Times New Roman" w:cs="Times New Roman" w:eastAsia="Times New Roman" w:hAnsi="Times New Roman"/>
          <w:sz w:val="15"/>
          <w:szCs w:val="15"/>
          <w:color w:val="auto"/>
        </w:rPr>
      </w:pPr>
      <w:r>
        <w:rPr>
          <w:rFonts w:ascii="Arial" w:cs="Arial" w:eastAsia="Arial" w:hAnsi="Arial"/>
          <w:sz w:val="15"/>
          <w:szCs w:val="15"/>
          <w:color w:val="auto"/>
        </w:rPr>
        <w:t>The initial recognition of goodwill,</w:t>
      </w:r>
    </w:p>
    <w:p>
      <w:pPr>
        <w:spacing w:after="0" w:line="17" w:lineRule="exact"/>
        <w:rPr>
          <w:rFonts w:ascii="Times New Roman" w:cs="Times New Roman" w:eastAsia="Times New Roman" w:hAnsi="Times New Roman"/>
          <w:sz w:val="15"/>
          <w:szCs w:val="15"/>
          <w:color w:val="auto"/>
        </w:rPr>
      </w:pPr>
    </w:p>
    <w:p>
      <w:pPr>
        <w:ind w:left="300" w:right="59" w:hanging="265"/>
        <w:spacing w:after="0" w:line="230" w:lineRule="auto"/>
        <w:tabs>
          <w:tab w:leader="none" w:pos="300" w:val="left"/>
        </w:tabs>
        <w:numPr>
          <w:ilvl w:val="0"/>
          <w:numId w:val="91"/>
        </w:numPr>
        <w:rPr>
          <w:rFonts w:ascii="Times New Roman" w:cs="Times New Roman" w:eastAsia="Times New Roman" w:hAnsi="Times New Roman"/>
          <w:sz w:val="15"/>
          <w:szCs w:val="15"/>
          <w:color w:val="auto"/>
        </w:rPr>
      </w:pPr>
      <w:r>
        <w:rPr>
          <w:rFonts w:ascii="Arial" w:cs="Arial" w:eastAsia="Arial" w:hAnsi="Arial"/>
          <w:sz w:val="15"/>
          <w:szCs w:val="15"/>
          <w:color w:val="auto"/>
        </w:rPr>
        <w:t>The initial recognition of an asset or liability in a transaction which is not a business combination and at the time of the transaction affects neither accounting or taxable profit, and</w:t>
      </w:r>
    </w:p>
    <w:p>
      <w:pPr>
        <w:ind w:left="300" w:right="59" w:hanging="265"/>
        <w:spacing w:after="0" w:line="239" w:lineRule="auto"/>
        <w:tabs>
          <w:tab w:leader="none" w:pos="300" w:val="left"/>
        </w:tabs>
        <w:numPr>
          <w:ilvl w:val="0"/>
          <w:numId w:val="91"/>
        </w:numPr>
        <w:rPr>
          <w:rFonts w:ascii="Times New Roman" w:cs="Times New Roman" w:eastAsia="Times New Roman" w:hAnsi="Times New Roman"/>
          <w:sz w:val="15"/>
          <w:szCs w:val="15"/>
          <w:color w:val="auto"/>
        </w:rPr>
      </w:pPr>
      <w:r>
        <w:rPr>
          <w:rFonts w:ascii="Arial" w:cs="Arial" w:eastAsia="Arial" w:hAnsi="Arial"/>
          <w:sz w:val="15"/>
          <w:szCs w:val="15"/>
          <w:color w:val="auto"/>
        </w:rPr>
        <w:t>Investments in subsidiaries and jointly controlled entities where the Group is able to control the timing of the reversal of the difference and it is probable that the difference will not reverse in the foreseeable future.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Recognition of deferred tax assets is restricted to those instances where it is probable that taxable profit will be available against which the difference can be utilized.</w:t>
      </w:r>
    </w:p>
    <w:p>
      <w:pPr>
        <w:spacing w:after="0" w:line="102"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amount of the asset or liability is determined using tax rates that have been enacted or substantively enacted by the reporting date and are expected to apply when the deferred tax liabilities / assets are settled / recovered.</w:t>
      </w:r>
    </w:p>
    <w:p>
      <w:pPr>
        <w:spacing w:after="0" w:line="102"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Deferred tax assets and liabilities are offset when the Group has a legally enforceable right to offset current tax assets and liabilities and the deferred tax assets and liabilities relate to taxes levied by the same tax authority on either:</w:t>
      </w:r>
    </w:p>
    <w:p>
      <w:pPr>
        <w:spacing w:after="0" w:line="113" w:lineRule="exact"/>
        <w:rPr>
          <w:sz w:val="20"/>
          <w:szCs w:val="20"/>
          <w:color w:val="auto"/>
        </w:rPr>
      </w:pPr>
    </w:p>
    <w:p>
      <w:pPr>
        <w:ind w:left="300" w:hanging="265"/>
        <w:spacing w:after="0"/>
        <w:tabs>
          <w:tab w:leader="none" w:pos="30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The same taxable group company, or</w:t>
      </w:r>
    </w:p>
    <w:p>
      <w:pPr>
        <w:spacing w:after="0" w:line="17" w:lineRule="exact"/>
        <w:rPr>
          <w:rFonts w:ascii="Times New Roman" w:cs="Times New Roman" w:eastAsia="Times New Roman" w:hAnsi="Times New Roman"/>
          <w:sz w:val="15"/>
          <w:szCs w:val="15"/>
          <w:color w:val="auto"/>
        </w:rPr>
      </w:pPr>
    </w:p>
    <w:p>
      <w:pPr>
        <w:jc w:val="both"/>
        <w:ind w:left="300" w:right="59" w:hanging="265"/>
        <w:spacing w:after="0" w:line="236" w:lineRule="auto"/>
        <w:tabs>
          <w:tab w:leader="none" w:pos="30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Different group entities which intend either to settle current tax assets and liabilities on a net basis, or to realize the assets and settle the liabilities simultaneously, in each future period in which significant amounts of deferred tax assets or liabilities are expected to be settled or recovered.</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3.15.  Foreign Currency</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Foreign currency translation</w:t>
      </w:r>
    </w:p>
    <w:p>
      <w:pPr>
        <w:spacing w:after="0" w:line="148"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Transactions entered into by Group entities in a currency other than the currency of the primary economic environment in which they operate (their “Functional Currency”) are recorded at the rates ruling when the transactions occur. Foreign currency monetary assets and liabilities are translated at the rates ruling at the reporting date. Exchange differences arising on the retranslation of unsettled monetary assets and liabilities are recognized immediately in the profit or loss. The net exchange losses amounted to $0.1 million for the year ended June 30, 2022 (June 30, 2021: $0.2 million; June 30, 2020: $0.4 million).</w:t>
      </w:r>
    </w:p>
    <w:p>
      <w:pPr>
        <w:spacing w:after="0" w:line="118" w:lineRule="exact"/>
        <w:rPr>
          <w:sz w:val="20"/>
          <w:szCs w:val="20"/>
          <w:color w:val="auto"/>
        </w:rPr>
      </w:pPr>
    </w:p>
    <w:p>
      <w:pPr>
        <w:jc w:val="both"/>
        <w:ind w:left="40" w:right="39"/>
        <w:spacing w:after="0" w:line="255" w:lineRule="auto"/>
        <w:rPr>
          <w:sz w:val="20"/>
          <w:szCs w:val="20"/>
          <w:color w:val="auto"/>
        </w:rPr>
      </w:pPr>
      <w:r>
        <w:rPr>
          <w:rFonts w:ascii="Arial" w:cs="Arial" w:eastAsia="Arial" w:hAnsi="Arial"/>
          <w:sz w:val="14"/>
          <w:szCs w:val="14"/>
          <w:color w:val="auto"/>
        </w:rPr>
        <w:t>On consolidation, the results of overseas operations are translated into dollars at rates approximating to those ruling when the transactions took place. All assets and liabilities of overseas operations, including goodwill arising on the acquisition of those operations, are translated at the rate ruling at the reporting date. Exchange differences arising on translating the opening net assets at the opening rate and the results of overseas operations at the actual rate are recognized in other comprehensive income and accumulated in the foreign exchange reserve. Exchange differences are recognized as profit or loss in the Group entities’ separate consolidated financial statements on the translation of long-term monetary items forming part of the Group’s net investment in the overseas operation concerned are reclassified to other comprehensive income and accumulated in the foreign exchange reserve on consolidation.</w:t>
      </w:r>
    </w:p>
    <w:p>
      <w:pPr>
        <w:spacing w:after="0" w:line="10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On disposal of a foreign operation, the cumulative exchange differences recognized in the foreign exchange reserve relating to that operation up to the date of disposal are transferred to the profit or loss as part of the profit or loss on disposal.</w:t>
      </w:r>
    </w:p>
    <w:p>
      <w:pPr>
        <w:spacing w:after="0" w:line="113"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Transactions denominated in foreign currencies are translated into USD at the exchange rate at the end of the previous month-end. Monetary items in the statement of financial position are translated at the closing rate at each reporting date and the relevant translation adjustments are recognized in financial result.</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3.16.  Offsetting of financial assets and financial liabilities</w:t>
      </w:r>
    </w:p>
    <w:p>
      <w:pPr>
        <w:spacing w:after="0" w:line="137"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Financial assets and financial liabilities are offset when the entity has a legally enforceable right to offset the recognized amounts and intends either to settle these on net basis or to realize the assets and settle the liabilities simultaneously. The legally enforceable right must not be contingent on future events and must be enforceable in the normal course of business and in the event of default, insolvency or winding up of the entity or the counterparties.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3.17.  Dividend</w:t>
      </w:r>
    </w:p>
    <w:p>
      <w:pPr>
        <w:spacing w:after="0" w:line="137"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Dividends declared subsequent to the balance sheet date are considered as non-adjusting events and are recognized in the consolidated financial statements in the year in which such dividends are approved / transfers are made.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3.18. Derivative instruments and hedge accounting</w:t>
      </w:r>
    </w:p>
    <w:p>
      <w:pPr>
        <w:spacing w:after="0" w:line="148"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Group designates and documents the use of certain derivatives as hedging instruments against changes in fair values of recognized assets and liabilities (fair value hedges) and highly probable forecast transactions (cash flow hedges). The effectiveness of such hedges is assessed at inception and verified at regular intervals and at least on a quarterly basis to ensure that an economic relationship exists between the hedged item and the hedging instrument.</w:t>
      </w:r>
    </w:p>
    <w:p>
      <w:pPr>
        <w:spacing w:after="0" w:line="118"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Group uses cash flow hedges to mitigate a particular risk associated with a recognized asset or liability or highly probable forecast transactions, such as variability of expected interest payments and receipts.</w:t>
      </w:r>
    </w:p>
    <w:p>
      <w:pPr>
        <w:spacing w:after="0" w:line="102"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If a highly probable forecast transaction results in the recognition of a non-monetary asset, the cumulative loss / (gain) is added to / (subtracted from) the cost of the asset acquired (“basis adjustment”). The same approach is followed where a cash flow hedge of a hedged forecast transaction for a non-financial asset or non-financial liability becomes a firm commitment to which fair value hedge accounting is applied. Otherwise the cumulative gain or loss recognized in other comprehensive income is reclassified from the cash flow hedge reserve to profit or loss at the same time as the hedged transaction affects profit or loss. The two transactions are recognized in the same line item. If a forecast transaction is no longer considered highly probable but the forecast transaction is still expected to occur, the cumulative gain or loss recognized in other comprehensive income is frozen and recognized in profit or loss. Subsequent changes in the fair value of the derivative are recognized in profit or loss. If the Group closes out its position before the transaction takes place (even though it is still expected to take place) the cumulative gain or loss on changes in fair value of the derivative is similarly recognized. If, at any point, the hedged transaction is no longer expected to occur, the cumulative gain or loss is reclassified from the cash flow hedge reserve to profit or loss immediately. The effective portion of gains and losses on derivatives used to manage cash flow interest rate risk (such as floating to fixed interest rate swaps) are also recognized in other comprehensive income and accumulated in the cash flow hedge reserve. However, if the Group closes out its position early, the cumulative gains and losses recognized in other comprehensive income are frozen and reclassified from the cash flow hedge reserve to profit or loss using the effective interest method. The ineffective portion of gains and losses on derivatives used to manage cash flow interest rate risk are recognized in profit or loss within finance charges.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Derivative instruments and hedge accounting</w:t>
      </w:r>
    </w:p>
    <w:p>
      <w:pPr>
        <w:spacing w:after="0" w:line="69"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Group implemented a foreign currency hedging program in August 2021 to mitigate its risk from fluctuations in the Philippine Peso (relative to the US Dollar) related to its operating costs in the Philippines. The Group uses foreign currency option contracts to mitigate a portion of the risk related to foreign exchange movements. The Group also has an interest rate swap to mitigate its risk to interest rate fluctuations related to its line of credit.</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Derivatives are initially recognized at fair value at the date the derivative contracts are entered into and are subsequently remeasured to fair value at the end of each reporting period. The derivatives are designated and effective as hedging instruments upon inception, and therefore the changes in fair value prior to the settlement of the derivative are recognized in other comprehensive income as long as they remain effective.</w:t>
      </w:r>
    </w:p>
    <w:p>
      <w:pPr>
        <w:spacing w:after="0" w:line="11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 derivative with a positive fair value is recognized as a financial asset whereas a derivative with a negative fair value is recognized as a financial liability. Derivatives are not offset in the financial statements unless the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Group has both a legally enforceable right and intention to offset. A derivative is presented as a non–current asset or a non–current liability if the settlement date of the instrument is more than 12 months from the end of the reporting period.</w:t>
      </w:r>
    </w:p>
    <w:p>
      <w:pPr>
        <w:spacing w:after="0" w:line="135"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Group designates all of its derivatives as hedging instruments with respect to foreign currency risk and interest rate risk as cash flow hedges. At the inception of the hedge relationship, the Group documents the relationship between the hedging instrument and the hedged item, along with its risk management objectives and its strategy for undertaking the hedge transactions. Furthermore, at the inception of the hedge and on an ongoing basis, the Group documents whether the hedging instrument is effective in offsetting changes in fair values or cash flows of the hedged item attributable to the hedged risk, which is when the hedging relationships meet all of the following hedge effectiveness requirements:</w:t>
      </w:r>
    </w:p>
    <w:p>
      <w:pPr>
        <w:spacing w:after="0" w:line="150" w:lineRule="exact"/>
        <w:rPr>
          <w:sz w:val="20"/>
          <w:szCs w:val="20"/>
          <w:color w:val="auto"/>
        </w:rPr>
      </w:pPr>
    </w:p>
    <w:p>
      <w:pPr>
        <w:ind w:left="300" w:hanging="265"/>
        <w:spacing w:after="0"/>
        <w:tabs>
          <w:tab w:leader="none" w:pos="300" w:val="left"/>
        </w:tabs>
        <w:numPr>
          <w:ilvl w:val="0"/>
          <w:numId w:val="93"/>
        </w:numPr>
        <w:rPr>
          <w:rFonts w:ascii="Times New Roman" w:cs="Times New Roman" w:eastAsia="Times New Roman" w:hAnsi="Times New Roman"/>
          <w:sz w:val="15"/>
          <w:szCs w:val="15"/>
          <w:color w:val="auto"/>
        </w:rPr>
      </w:pPr>
      <w:r>
        <w:rPr>
          <w:rFonts w:ascii="Arial" w:cs="Arial" w:eastAsia="Arial" w:hAnsi="Arial"/>
          <w:sz w:val="15"/>
          <w:szCs w:val="15"/>
          <w:color w:val="auto"/>
        </w:rPr>
        <w:t>there is an economic relationship between the hedged item and the hedging instrument;</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93"/>
        </w:numPr>
        <w:rPr>
          <w:rFonts w:ascii="Times New Roman" w:cs="Times New Roman" w:eastAsia="Times New Roman" w:hAnsi="Times New Roman"/>
          <w:sz w:val="15"/>
          <w:szCs w:val="15"/>
          <w:color w:val="auto"/>
        </w:rPr>
      </w:pPr>
      <w:r>
        <w:rPr>
          <w:rFonts w:ascii="Arial" w:cs="Arial" w:eastAsia="Arial" w:hAnsi="Arial"/>
          <w:sz w:val="15"/>
          <w:szCs w:val="15"/>
          <w:color w:val="auto"/>
        </w:rPr>
        <w:t>the effect of credit risk does not dominate the value changes that result from that economic relationship; and</w:t>
      </w:r>
    </w:p>
    <w:p>
      <w:pPr>
        <w:spacing w:after="0" w:line="3" w:lineRule="exact"/>
        <w:rPr>
          <w:rFonts w:ascii="Times New Roman" w:cs="Times New Roman" w:eastAsia="Times New Roman" w:hAnsi="Times New Roman"/>
          <w:sz w:val="15"/>
          <w:szCs w:val="15"/>
          <w:color w:val="auto"/>
        </w:rPr>
      </w:pPr>
    </w:p>
    <w:p>
      <w:pPr>
        <w:ind w:left="300" w:right="59" w:hanging="265"/>
        <w:spacing w:after="0" w:line="239" w:lineRule="auto"/>
        <w:tabs>
          <w:tab w:leader="none" w:pos="300" w:val="left"/>
        </w:tabs>
        <w:numPr>
          <w:ilvl w:val="0"/>
          <w:numId w:val="93"/>
        </w:numPr>
        <w:rPr>
          <w:rFonts w:ascii="Times New Roman" w:cs="Times New Roman" w:eastAsia="Times New Roman" w:hAnsi="Times New Roman"/>
          <w:sz w:val="15"/>
          <w:szCs w:val="15"/>
          <w:color w:val="auto"/>
        </w:rPr>
      </w:pPr>
      <w:r>
        <w:rPr>
          <w:rFonts w:ascii="Arial" w:cs="Arial" w:eastAsia="Arial" w:hAnsi="Arial"/>
          <w:sz w:val="15"/>
          <w:szCs w:val="15"/>
          <w:color w:val="auto"/>
        </w:rPr>
        <w:t>the hedge ratio of the hedging relationship is the same as that resulting from the quantity of the hedged item that the Group actually hedges and the quantity of the hedging instrument that the Group actually uses to hedge that quantity of hedged item.</w:t>
      </w:r>
    </w:p>
    <w:p>
      <w:pPr>
        <w:spacing w:after="0" w:line="151" w:lineRule="exact"/>
        <w:rPr>
          <w:sz w:val="20"/>
          <w:szCs w:val="20"/>
          <w:color w:val="auto"/>
        </w:rPr>
      </w:pPr>
    </w:p>
    <w:p>
      <w:pPr>
        <w:ind w:left="40" w:right="239"/>
        <w:spacing w:after="0" w:line="245" w:lineRule="auto"/>
        <w:rPr>
          <w:sz w:val="20"/>
          <w:szCs w:val="20"/>
          <w:color w:val="auto"/>
        </w:rPr>
      </w:pPr>
      <w:r>
        <w:rPr>
          <w:rFonts w:ascii="Arial" w:cs="Arial" w:eastAsia="Arial" w:hAnsi="Arial"/>
          <w:sz w:val="15"/>
          <w:szCs w:val="15"/>
          <w:color w:val="auto"/>
        </w:rPr>
        <w:t>If a hedging relationship ceases to meet the hedge effectiveness requirement relating to the hedge ratio but the risk management objective for that designated hedging relationship remains the same, the Group adjusts the hedge ratio of the hedging relationship (i.e. rebalances the hedge) so that it meets the qualifying criteria again.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 excludes time value from its designations of its hedging relationships.</w:t>
      </w:r>
    </w:p>
    <w:p>
      <w:pPr>
        <w:spacing w:after="0" w:line="170" w:lineRule="exact"/>
        <w:rPr>
          <w:sz w:val="20"/>
          <w:szCs w:val="20"/>
          <w:color w:val="auto"/>
        </w:rPr>
      </w:pPr>
    </w:p>
    <w:p>
      <w:pPr>
        <w:jc w:val="both"/>
        <w:ind w:left="40" w:right="59"/>
        <w:spacing w:after="0" w:line="237" w:lineRule="auto"/>
        <w:rPr>
          <w:sz w:val="20"/>
          <w:szCs w:val="20"/>
          <w:color w:val="auto"/>
        </w:rPr>
      </w:pPr>
      <w:r>
        <w:rPr>
          <w:rFonts w:ascii="Arial" w:cs="Arial" w:eastAsia="Arial" w:hAnsi="Arial"/>
          <w:sz w:val="15"/>
          <w:szCs w:val="15"/>
          <w:color w:val="auto"/>
        </w:rPr>
        <w:t>The effective portion of changes in the fair value of derivatives that are designated and qualify as cash flow hedges is recognized in other comprehensive income and accumulated under the heading of cash flow hedging reserve, limited to the cumulative change in fair value of the hedged item from inception of the hedge. The gain or loss relating to the ineffective portion is recognized immediately in profit or loss and is included in the “finance expenses” line item. Amounts previously recognized in other comprehensive income and accumulated in equity are reclassified to profit or loss in the periods when the hedged item affects profit or loss, in the same line as the recognized hedged item.</w:t>
      </w:r>
    </w:p>
    <w:p>
      <w:pPr>
        <w:spacing w:after="0" w:line="15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Group discontinues hedge accounting only when the hedging relationship (or a part thereof) ceases to meet the qualifying criteria (after rebalancing, if applicable). This includes instances when the hedging instrument expires or is sold, terminated, or exercised. The discontinuation is accounted for prospectively. Any gain or loss recognized in other comprehensive income and accumulated in cash flow hedge reserve at that time remains in equity and is reclassified to profit or loss when the forecast transaction occurs. When a forecast transaction is no longer expected to occur, the gain or loss accumulated in cash flow hedge reserve is reclassified immediately to profit or loss.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more information, please see Note 22.</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3.19.  Standards, interpretations and amendments not yet effective</w:t>
      </w:r>
    </w:p>
    <w:p>
      <w:pPr>
        <w:spacing w:after="0" w:line="148" w:lineRule="exact"/>
        <w:rPr>
          <w:sz w:val="20"/>
          <w:szCs w:val="20"/>
          <w:color w:val="auto"/>
        </w:rPr>
      </w:pPr>
    </w:p>
    <w:p>
      <w:pPr>
        <w:jc w:val="both"/>
        <w:ind w:left="800" w:right="39" w:hanging="267"/>
        <w:spacing w:after="0"/>
        <w:tabs>
          <w:tab w:leader="none" w:pos="800" w:val="left"/>
        </w:tabs>
        <w:numPr>
          <w:ilvl w:val="0"/>
          <w:numId w:val="94"/>
        </w:numPr>
        <w:rPr>
          <w:rFonts w:ascii="Times New Roman" w:cs="Times New Roman" w:eastAsia="Times New Roman" w:hAnsi="Times New Roman"/>
          <w:sz w:val="15"/>
          <w:szCs w:val="15"/>
          <w:color w:val="auto"/>
        </w:rPr>
      </w:pPr>
      <w:r>
        <w:rPr>
          <w:rFonts w:ascii="Arial" w:cs="Arial" w:eastAsia="Arial" w:hAnsi="Arial"/>
          <w:sz w:val="15"/>
          <w:szCs w:val="15"/>
          <w:color w:val="auto"/>
        </w:rPr>
        <w:t>On January 23, 2020, the International Accounting Standards Board (IASB or the Board) issued amendments to IAS 1 Presentation of Financial Statements (the amendments) to clarify that liabilities are classified as either current or non-current, depending on the rights that exist at the end of the reporting period. These amendments should be applied for annual periods beginning on or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4" w:name="page155"/>
    <w:bookmarkEnd w:id="15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800" w:right="39"/>
        <w:spacing w:after="0"/>
        <w:rPr>
          <w:sz w:val="20"/>
          <w:szCs w:val="20"/>
          <w:color w:val="auto"/>
        </w:rPr>
      </w:pPr>
      <w:r>
        <w:rPr>
          <w:rFonts w:ascii="Arial" w:cs="Arial" w:eastAsia="Arial" w:hAnsi="Arial"/>
          <w:sz w:val="15"/>
          <w:szCs w:val="15"/>
          <w:color w:val="auto"/>
        </w:rPr>
        <w:t>after January 1, 2022, retrospectively in accordance to IAS 8. On July 15, 2020, IASB issued an amendment that defers the effective date of January 2020 amendments by one year, so that the entities would be required to apply the amendment for annual periods beginning on or after January 1, 2023. The Company is assessing the impact of the amendment and expects that the impact would not have a material impact on the financial statements.</w:t>
      </w:r>
    </w:p>
    <w:p>
      <w:pPr>
        <w:spacing w:after="0" w:line="118" w:lineRule="exact"/>
        <w:rPr>
          <w:sz w:val="20"/>
          <w:szCs w:val="20"/>
          <w:color w:val="auto"/>
        </w:rPr>
      </w:pPr>
    </w:p>
    <w:p>
      <w:pPr>
        <w:jc w:val="both"/>
        <w:ind w:left="800" w:right="39" w:hanging="267"/>
        <w:spacing w:after="0" w:line="237" w:lineRule="auto"/>
        <w:tabs>
          <w:tab w:leader="none" w:pos="800" w:val="left"/>
        </w:tabs>
        <w:numPr>
          <w:ilvl w:val="0"/>
          <w:numId w:val="95"/>
        </w:numPr>
        <w:rPr>
          <w:rFonts w:ascii="Times New Roman" w:cs="Times New Roman" w:eastAsia="Times New Roman" w:hAnsi="Times New Roman"/>
          <w:sz w:val="15"/>
          <w:szCs w:val="15"/>
          <w:color w:val="auto"/>
        </w:rPr>
      </w:pPr>
      <w:r>
        <w:rPr>
          <w:rFonts w:ascii="Arial" w:cs="Arial" w:eastAsia="Arial" w:hAnsi="Arial"/>
          <w:sz w:val="15"/>
          <w:szCs w:val="15"/>
          <w:color w:val="auto"/>
        </w:rPr>
        <w:t>On February 12, 2021, the IASB issued amendments to IAS 1 to improve the accounting policy disclosures so that they provide more useful information to investors and other primary users of the financial statements. The amendments to IAS 1 require companies to disclose their material accounting policy information rather than their significant accounting policies. These amendments should be applied for annual periods beginning on or after January 1, 2023, prospectively. The Company is assessing the impact of the amendment and expects that the impact would not have a material impact on the financial statements.</w:t>
      </w:r>
    </w:p>
    <w:p>
      <w:pPr>
        <w:spacing w:after="0" w:line="116" w:lineRule="exact"/>
        <w:rPr>
          <w:rFonts w:ascii="Times New Roman" w:cs="Times New Roman" w:eastAsia="Times New Roman" w:hAnsi="Times New Roman"/>
          <w:sz w:val="15"/>
          <w:szCs w:val="15"/>
          <w:color w:val="auto"/>
        </w:rPr>
      </w:pPr>
    </w:p>
    <w:p>
      <w:pPr>
        <w:ind w:left="800" w:right="59" w:hanging="267"/>
        <w:spacing w:after="0" w:line="259" w:lineRule="auto"/>
        <w:tabs>
          <w:tab w:leader="none" w:pos="800" w:val="left"/>
        </w:tabs>
        <w:numPr>
          <w:ilvl w:val="0"/>
          <w:numId w:val="95"/>
        </w:numPr>
        <w:rPr>
          <w:rFonts w:ascii="Times New Roman" w:cs="Times New Roman" w:eastAsia="Times New Roman" w:hAnsi="Times New Roman"/>
          <w:sz w:val="15"/>
          <w:szCs w:val="15"/>
          <w:color w:val="auto"/>
        </w:rPr>
      </w:pPr>
      <w:r>
        <w:rPr>
          <w:rFonts w:ascii="Arial" w:cs="Arial" w:eastAsia="Arial" w:hAnsi="Arial"/>
          <w:sz w:val="15"/>
          <w:szCs w:val="15"/>
          <w:color w:val="auto"/>
        </w:rPr>
        <w:t>On February 12, 2021, the IASB issued amendments to IAS 8 to help entities distinguish between accounting policies and accounting estimates. The amendments to IAS 8 clarifies that:</w:t>
      </w:r>
    </w:p>
    <w:p>
      <w:pPr>
        <w:spacing w:after="0" w:line="113" w:lineRule="exact"/>
        <w:rPr>
          <w:rFonts w:ascii="Times New Roman" w:cs="Times New Roman" w:eastAsia="Times New Roman" w:hAnsi="Times New Roman"/>
          <w:sz w:val="15"/>
          <w:szCs w:val="15"/>
          <w:color w:val="auto"/>
        </w:rPr>
      </w:pPr>
    </w:p>
    <w:p>
      <w:pPr>
        <w:ind w:left="1060" w:hanging="262"/>
        <w:spacing w:after="0"/>
        <w:tabs>
          <w:tab w:leader="none" w:pos="1060" w:val="left"/>
        </w:tabs>
        <w:numPr>
          <w:ilvl w:val="1"/>
          <w:numId w:val="95"/>
        </w:numPr>
        <w:rPr>
          <w:rFonts w:ascii="Times New Roman" w:cs="Times New Roman" w:eastAsia="Times New Roman" w:hAnsi="Times New Roman"/>
          <w:sz w:val="15"/>
          <w:szCs w:val="15"/>
          <w:color w:val="auto"/>
        </w:rPr>
      </w:pPr>
      <w:r>
        <w:rPr>
          <w:rFonts w:ascii="Arial" w:cs="Arial" w:eastAsia="Arial" w:hAnsi="Arial"/>
          <w:sz w:val="15"/>
          <w:szCs w:val="15"/>
          <w:color w:val="auto"/>
        </w:rPr>
        <w:t>accounting estimates are “monetary amounts in financial statements that are subject to measurement uncertainty.”</w:t>
      </w:r>
    </w:p>
    <w:p>
      <w:pPr>
        <w:spacing w:after="0" w:line="17" w:lineRule="exact"/>
        <w:rPr>
          <w:rFonts w:ascii="Times New Roman" w:cs="Times New Roman" w:eastAsia="Times New Roman" w:hAnsi="Times New Roman"/>
          <w:sz w:val="15"/>
          <w:szCs w:val="15"/>
          <w:color w:val="auto"/>
        </w:rPr>
      </w:pPr>
    </w:p>
    <w:p>
      <w:pPr>
        <w:ind w:left="1060" w:right="39" w:hanging="262"/>
        <w:spacing w:after="0" w:line="230" w:lineRule="auto"/>
        <w:tabs>
          <w:tab w:leader="none" w:pos="1060" w:val="left"/>
        </w:tabs>
        <w:numPr>
          <w:ilvl w:val="1"/>
          <w:numId w:val="95"/>
        </w:numPr>
        <w:rPr>
          <w:rFonts w:ascii="Times New Roman" w:cs="Times New Roman" w:eastAsia="Times New Roman" w:hAnsi="Times New Roman"/>
          <w:sz w:val="15"/>
          <w:szCs w:val="15"/>
          <w:color w:val="auto"/>
        </w:rPr>
      </w:pPr>
      <w:r>
        <w:rPr>
          <w:rFonts w:ascii="Arial" w:cs="Arial" w:eastAsia="Arial" w:hAnsi="Arial"/>
          <w:sz w:val="15"/>
          <w:szCs w:val="15"/>
          <w:color w:val="auto"/>
        </w:rPr>
        <w:t>Entities develop accounting estimates if accounting policies require items in financial statements to be measured in a way that involves measurement uncertainty.</w:t>
      </w:r>
    </w:p>
    <w:p>
      <w:pPr>
        <w:jc w:val="both"/>
        <w:ind w:left="1060" w:right="39" w:hanging="262"/>
        <w:spacing w:after="0" w:line="230" w:lineRule="auto"/>
        <w:tabs>
          <w:tab w:leader="none" w:pos="1060" w:val="left"/>
        </w:tabs>
        <w:numPr>
          <w:ilvl w:val="1"/>
          <w:numId w:val="95"/>
        </w:numPr>
        <w:rPr>
          <w:rFonts w:ascii="Times New Roman" w:cs="Times New Roman" w:eastAsia="Times New Roman" w:hAnsi="Times New Roman"/>
          <w:sz w:val="15"/>
          <w:szCs w:val="15"/>
          <w:color w:val="auto"/>
        </w:rPr>
      </w:pPr>
      <w:r>
        <w:rPr>
          <w:rFonts w:ascii="Arial" w:cs="Arial" w:eastAsia="Arial" w:hAnsi="Arial"/>
          <w:sz w:val="15"/>
          <w:szCs w:val="15"/>
          <w:color w:val="auto"/>
        </w:rPr>
        <w:t>Change in accounting estimate that results from new information or new developments is not the correction of an error. In addition, the effects of a change in an input or a measurement technique used to develop an accounting estimate are changes in accounting estimates if they do not result from the correction of prior period errors.</w:t>
      </w:r>
    </w:p>
    <w:p>
      <w:pPr>
        <w:spacing w:after="0" w:line="1" w:lineRule="exact"/>
        <w:rPr>
          <w:rFonts w:ascii="Times New Roman" w:cs="Times New Roman" w:eastAsia="Times New Roman" w:hAnsi="Times New Roman"/>
          <w:sz w:val="15"/>
          <w:szCs w:val="15"/>
          <w:color w:val="auto"/>
        </w:rPr>
      </w:pPr>
    </w:p>
    <w:p>
      <w:pPr>
        <w:jc w:val="both"/>
        <w:ind w:left="1060" w:right="39" w:hanging="262"/>
        <w:spacing w:after="0" w:line="235" w:lineRule="auto"/>
        <w:tabs>
          <w:tab w:leader="none" w:pos="1060" w:val="left"/>
        </w:tabs>
        <w:numPr>
          <w:ilvl w:val="1"/>
          <w:numId w:val="95"/>
        </w:numPr>
        <w:rPr>
          <w:rFonts w:ascii="Times New Roman" w:cs="Times New Roman" w:eastAsia="Times New Roman" w:hAnsi="Times New Roman"/>
          <w:sz w:val="15"/>
          <w:szCs w:val="15"/>
          <w:color w:val="auto"/>
        </w:rPr>
      </w:pPr>
      <w:r>
        <w:rPr>
          <w:rFonts w:ascii="Arial" w:cs="Arial" w:eastAsia="Arial" w:hAnsi="Arial"/>
          <w:sz w:val="15"/>
          <w:szCs w:val="15"/>
          <w:color w:val="auto"/>
        </w:rPr>
        <w:t>A change in an accounting estimate may affect only the current period’s profit or loss, or the profit or loss of both the current period and future periods. The effect of the change relating to the current period is recognized as income or expense in the current period. The effect, if any, on future periods is recognized as income or expense in those future periods.</w:t>
      </w:r>
    </w:p>
    <w:p>
      <w:pPr>
        <w:spacing w:after="0" w:line="117" w:lineRule="exact"/>
        <w:rPr>
          <w:sz w:val="20"/>
          <w:szCs w:val="20"/>
          <w:color w:val="auto"/>
        </w:rPr>
      </w:pPr>
    </w:p>
    <w:p>
      <w:pPr>
        <w:jc w:val="both"/>
        <w:ind w:left="780" w:right="59"/>
        <w:spacing w:after="0" w:line="245" w:lineRule="auto"/>
        <w:rPr>
          <w:sz w:val="20"/>
          <w:szCs w:val="20"/>
          <w:color w:val="auto"/>
        </w:rPr>
      </w:pPr>
      <w:r>
        <w:rPr>
          <w:rFonts w:ascii="Arial" w:cs="Arial" w:eastAsia="Arial" w:hAnsi="Arial"/>
          <w:sz w:val="15"/>
          <w:szCs w:val="15"/>
          <w:color w:val="auto"/>
        </w:rPr>
        <w:t>These amendments should be applied for annual periods beginning on or after January 1, 2023, prospectively. The Company is assessing the impact of the amendment and expects that the impact would not have a material impact on the financial statements.</w:t>
      </w:r>
    </w:p>
    <w:p>
      <w:pPr>
        <w:spacing w:after="0" w:line="113" w:lineRule="exact"/>
        <w:rPr>
          <w:sz w:val="20"/>
          <w:szCs w:val="20"/>
          <w:color w:val="auto"/>
        </w:rPr>
      </w:pPr>
    </w:p>
    <w:p>
      <w:pPr>
        <w:jc w:val="both"/>
        <w:ind w:left="800" w:right="59" w:hanging="267"/>
        <w:spacing w:after="0" w:line="245" w:lineRule="auto"/>
        <w:tabs>
          <w:tab w:leader="none" w:pos="80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On May 7, 2021, the IASB has published </w:t>
      </w:r>
      <w:r>
        <w:rPr>
          <w:rFonts w:ascii="Times New Roman" w:cs="Times New Roman" w:eastAsia="Times New Roman" w:hAnsi="Times New Roman"/>
          <w:sz w:val="15"/>
          <w:szCs w:val="15"/>
          <w:color w:val="auto"/>
        </w:rPr>
        <w:t>‘</w:t>
      </w:r>
      <w:r>
        <w:rPr>
          <w:rFonts w:ascii="Arial" w:cs="Arial" w:eastAsia="Arial" w:hAnsi="Arial"/>
          <w:sz w:val="15"/>
          <w:szCs w:val="15"/>
          <w:color w:val="auto"/>
        </w:rPr>
        <w:t>Deferred Tax related to Assets and Liabilities arising from a Single Transaction (Amendments to IAS 12)</w:t>
      </w:r>
      <w:r>
        <w:rPr>
          <w:rFonts w:ascii="Times New Roman" w:cs="Times New Roman" w:eastAsia="Times New Roman" w:hAnsi="Times New Roman"/>
          <w:sz w:val="15"/>
          <w:szCs w:val="15"/>
          <w:color w:val="auto"/>
        </w:rPr>
        <w:t>’</w:t>
      </w:r>
      <w:r>
        <w:rPr>
          <w:rFonts w:ascii="Arial" w:cs="Arial" w:eastAsia="Arial" w:hAnsi="Arial"/>
          <w:sz w:val="15"/>
          <w:szCs w:val="15"/>
          <w:color w:val="auto"/>
        </w:rPr>
        <w:t>. The Board amends IAS 12 to provide a further exception from the initial recognition exemption. Under the amendments, an entity does not apply the initial recognition exemption for transactions that give rise to equal taxable and deductible temporary differences. The amendments are effective for annual reporting periods beginning on or after January 1, 2023.</w:t>
      </w:r>
    </w:p>
    <w:p>
      <w:pPr>
        <w:spacing w:after="0" w:line="157" w:lineRule="exact"/>
        <w:rPr>
          <w:rFonts w:ascii="Times New Roman" w:cs="Times New Roman" w:eastAsia="Times New Roman" w:hAnsi="Times New Roman"/>
          <w:sz w:val="15"/>
          <w:szCs w:val="15"/>
          <w:color w:val="auto"/>
        </w:rPr>
      </w:pPr>
    </w:p>
    <w:p>
      <w:pPr>
        <w:ind w:left="780" w:right="59"/>
        <w:spacing w:after="0" w:line="260" w:lineRule="auto"/>
        <w:rPr>
          <w:rFonts w:ascii="Times New Roman" w:cs="Times New Roman" w:eastAsia="Times New Roman" w:hAnsi="Times New Roman"/>
          <w:sz w:val="15"/>
          <w:szCs w:val="15"/>
          <w:color w:val="auto"/>
        </w:rPr>
      </w:pPr>
      <w:r>
        <w:rPr>
          <w:rFonts w:ascii="Arial" w:cs="Arial" w:eastAsia="Arial" w:hAnsi="Arial"/>
          <w:sz w:val="15"/>
          <w:szCs w:val="15"/>
          <w:color w:val="auto"/>
        </w:rPr>
        <w:t>The Company is assessing the impact of the amendment and expects that the impact would not have a material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80" w:type="dxa"/>
            <w:vAlign w:val="bottom"/>
          </w:tcPr>
          <w:p>
            <w:pPr>
              <w:spacing w:after="0"/>
              <w:rPr>
                <w:sz w:val="20"/>
                <w:szCs w:val="20"/>
                <w:color w:val="auto"/>
              </w:rPr>
            </w:pPr>
            <w:r>
              <w:rPr>
                <w:rFonts w:ascii="Arial" w:cs="Arial" w:eastAsia="Arial" w:hAnsi="Arial"/>
                <w:sz w:val="15"/>
                <w:szCs w:val="15"/>
                <w:b w:val="1"/>
                <w:bCs w:val="1"/>
                <w:color w:val="auto"/>
              </w:rPr>
              <w:t>4.</w:t>
            </w:r>
          </w:p>
        </w:tc>
        <w:tc>
          <w:tcPr>
            <w:tcW w:w="7020" w:type="dxa"/>
            <w:vAlign w:val="bottom"/>
          </w:tcPr>
          <w:p>
            <w:pPr>
              <w:ind w:left="160"/>
              <w:spacing w:after="0"/>
              <w:rPr>
                <w:sz w:val="20"/>
                <w:szCs w:val="20"/>
                <w:color w:val="auto"/>
              </w:rPr>
            </w:pPr>
            <w:r>
              <w:rPr>
                <w:rFonts w:ascii="Arial" w:cs="Arial" w:eastAsia="Arial" w:hAnsi="Arial"/>
                <w:sz w:val="15"/>
                <w:szCs w:val="15"/>
                <w:b w:val="1"/>
                <w:bCs w:val="1"/>
                <w:color w:val="auto"/>
              </w:rPr>
              <w:t>GOODWILL</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67"/>
        </w:trPr>
        <w:tc>
          <w:tcPr>
            <w:tcW w:w="280" w:type="dxa"/>
            <w:vAlign w:val="bottom"/>
            <w:tcBorders>
              <w:bottom w:val="single" w:sz="8" w:color="auto"/>
            </w:tcBorders>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16"/>
        </w:trPr>
        <w:tc>
          <w:tcPr>
            <w:tcW w:w="2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920" w:type="dxa"/>
            <w:vAlign w:val="bottom"/>
            <w:gridSpan w:val="2"/>
          </w:tcPr>
          <w:p>
            <w:pPr>
              <w:ind w:left="80"/>
              <w:spacing w:after="0" w:line="116" w:lineRule="exact"/>
              <w:rPr>
                <w:sz w:val="20"/>
                <w:szCs w:val="20"/>
                <w:color w:val="auto"/>
              </w:rPr>
            </w:pPr>
            <w:r>
              <w:rPr>
                <w:rFonts w:ascii="Arial" w:cs="Arial" w:eastAsia="Arial" w:hAnsi="Arial"/>
                <w:sz w:val="12"/>
                <w:szCs w:val="12"/>
                <w:b w:val="1"/>
                <w:bCs w:val="1"/>
                <w:color w:val="auto"/>
              </w:rPr>
              <w:t>June 30,</w:t>
            </w:r>
          </w:p>
        </w:tc>
        <w:tc>
          <w:tcPr>
            <w:tcW w:w="720" w:type="dxa"/>
            <w:vAlign w:val="bottom"/>
          </w:tcPr>
          <w:p>
            <w:pPr>
              <w:jc w:val="right"/>
              <w:ind w:right="71"/>
              <w:spacing w:after="0" w:line="116" w:lineRule="exact"/>
              <w:rPr>
                <w:sz w:val="20"/>
                <w:szCs w:val="20"/>
                <w:color w:val="auto"/>
              </w:rPr>
            </w:pPr>
            <w:r>
              <w:rPr>
                <w:rFonts w:ascii="Arial" w:cs="Arial" w:eastAsia="Arial" w:hAnsi="Arial"/>
                <w:sz w:val="12"/>
                <w:szCs w:val="12"/>
                <w:b w:val="1"/>
                <w:bCs w:val="1"/>
                <w:color w:val="auto"/>
              </w:rPr>
              <w:t>June 30,</w:t>
            </w:r>
          </w:p>
        </w:tc>
      </w:tr>
      <w:tr>
        <w:trPr>
          <w:trHeight w:val="141"/>
        </w:trPr>
        <w:tc>
          <w:tcPr>
            <w:tcW w:w="280" w:type="dxa"/>
            <w:vAlign w:val="bottom"/>
            <w:tcBorders>
              <w:bottom w:val="single" w:sz="8" w:color="auto"/>
            </w:tcBorders>
          </w:tcPr>
          <w:p>
            <w:pPr>
              <w:spacing w:after="0"/>
              <w:rPr>
                <w:sz w:val="12"/>
                <w:szCs w:val="12"/>
                <w:color w:val="auto"/>
              </w:rPr>
            </w:pPr>
          </w:p>
        </w:tc>
        <w:tc>
          <w:tcPr>
            <w:tcW w:w="70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2021</w:t>
            </w:r>
          </w:p>
        </w:tc>
      </w:tr>
      <w:tr>
        <w:trPr>
          <w:trHeight w:val="124"/>
        </w:trPr>
        <w:tc>
          <w:tcPr>
            <w:tcW w:w="28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right"/>
              <w:ind w:right="491"/>
              <w:spacing w:after="0" w:line="124" w:lineRule="exact"/>
              <w:rPr>
                <w:sz w:val="20"/>
                <w:szCs w:val="20"/>
                <w:color w:val="auto"/>
              </w:rPr>
            </w:pPr>
            <w:r>
              <w:rPr>
                <w:rFonts w:ascii="Arial" w:cs="Arial" w:eastAsia="Arial" w:hAnsi="Arial"/>
                <w:sz w:val="12"/>
                <w:szCs w:val="12"/>
                <w:b w:val="1"/>
                <w:bCs w:val="1"/>
                <w:color w:val="auto"/>
              </w:rPr>
              <w:t>(US$’000)</w:t>
            </w:r>
          </w:p>
        </w:tc>
      </w:tr>
      <w:tr>
        <w:trPr>
          <w:trHeight w:val="157"/>
        </w:trPr>
        <w:tc>
          <w:tcPr>
            <w:tcW w:w="730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Goodwill as of beginning of the year</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11,832</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11,832</w:t>
            </w:r>
          </w:p>
        </w:tc>
      </w:tr>
      <w:tr>
        <w:trPr>
          <w:trHeight w:val="166"/>
        </w:trPr>
        <w:tc>
          <w:tcPr>
            <w:tcW w:w="7300" w:type="dxa"/>
            <w:vAlign w:val="bottom"/>
            <w:gridSpan w:val="2"/>
          </w:tcPr>
          <w:p>
            <w:pPr>
              <w:spacing w:after="0" w:line="166" w:lineRule="exact"/>
              <w:rPr>
                <w:sz w:val="20"/>
                <w:szCs w:val="20"/>
                <w:color w:val="auto"/>
              </w:rPr>
            </w:pPr>
            <w:r>
              <w:rPr>
                <w:rFonts w:ascii="Arial" w:cs="Arial" w:eastAsia="Arial" w:hAnsi="Arial"/>
                <w:sz w:val="15"/>
                <w:szCs w:val="15"/>
                <w:color w:val="auto"/>
              </w:rPr>
              <w:t>Goodwill acquired during the year</w:t>
            </w:r>
          </w:p>
        </w:tc>
        <w:tc>
          <w:tcPr>
            <w:tcW w:w="920" w:type="dxa"/>
            <w:vAlign w:val="bottom"/>
            <w:gridSpan w:val="2"/>
          </w:tcPr>
          <w:p>
            <w:pPr>
              <w:jc w:val="right"/>
              <w:ind w:right="280"/>
              <w:spacing w:after="0" w:line="166"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730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Goodwill impaired during the year</w:t>
            </w:r>
          </w:p>
        </w:tc>
        <w:tc>
          <w:tcPr>
            <w:tcW w:w="920" w:type="dxa"/>
            <w:vAlign w:val="bottom"/>
            <w:gridSpan w:val="2"/>
            <w:shd w:val="clear" w:color="auto" w:fill="CCEEFF"/>
          </w:tcPr>
          <w:p>
            <w:pPr>
              <w:jc w:val="right"/>
              <w:ind w:right="280"/>
              <w:spacing w:after="0" w:line="16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r>
      <w:tr>
        <w:trPr>
          <w:trHeight w:val="157"/>
        </w:trPr>
        <w:tc>
          <w:tcPr>
            <w:tcW w:w="7300" w:type="dxa"/>
            <w:vAlign w:val="bottom"/>
            <w:gridSpan w:val="2"/>
          </w:tcPr>
          <w:p>
            <w:pPr>
              <w:spacing w:after="0" w:line="157" w:lineRule="exact"/>
              <w:rPr>
                <w:sz w:val="20"/>
                <w:szCs w:val="20"/>
                <w:color w:val="auto"/>
              </w:rPr>
            </w:pPr>
            <w:r>
              <w:rPr>
                <w:rFonts w:ascii="Arial" w:cs="Arial" w:eastAsia="Arial" w:hAnsi="Arial"/>
                <w:sz w:val="15"/>
                <w:szCs w:val="15"/>
                <w:color w:val="auto"/>
              </w:rPr>
              <w:t>Goodwill as of end of the year</w:t>
            </w: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11,832</w:t>
            </w: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11,832</w:t>
            </w:r>
          </w:p>
        </w:tc>
      </w:tr>
      <w:tr>
        <w:trPr>
          <w:trHeight w:val="20"/>
        </w:trPr>
        <w:tc>
          <w:tcPr>
            <w:tcW w:w="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calculation of value in use for the business operations is most sensitive to changes in the following assumptions which are discussed below, together with the amounts by which these key assumptions would have to change (independent of other changes in assumptions) for an impairment to arise. Management has calculated the recoverable amount of the cash generating unit to exceed its carrying amount by $254.0 million.</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Testing for impairment of goodwill</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Key assumptions applied in impairment testing</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recoverable amounts of all the CGUs have been determined from value in use calculations based on cash flow projections from formally approved budgets covering a three year period from 2022 to 2024. The first year of the projections is based on detailed budgets prepared by management as part of the Group’s performance and control procedures. Subsequent years are based on extrapolations using the key assumptions listed below which are management approved projections. The discount rate applied to cash flow projections beyond three-years is extrapolated using a terminal growth rate which represents the expected long-term growth rate of the Business Process Outsourcing (“BPO”) sector.</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rates were used by the Group for the years ended June 30, 2022, 2021 and 2020:</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3180" w:type="dxa"/>
            <w:vAlign w:val="bottom"/>
            <w:tcBorders>
              <w:top w:val="single" w:sz="8" w:color="auto"/>
            </w:tcBorders>
          </w:tcPr>
          <w:p>
            <w:pPr>
              <w:spacing w:after="0"/>
              <w:rPr>
                <w:sz w:val="11"/>
                <w:szCs w:val="11"/>
                <w:color w:val="auto"/>
              </w:rPr>
            </w:pPr>
          </w:p>
        </w:tc>
        <w:tc>
          <w:tcPr>
            <w:tcW w:w="3100" w:type="dxa"/>
            <w:vAlign w:val="bottom"/>
            <w:tcBorders>
              <w:top w:val="single" w:sz="8" w:color="auto"/>
            </w:tcBorders>
          </w:tcPr>
          <w:p>
            <w:pPr>
              <w:jc w:val="center"/>
              <w:ind w:left="1975"/>
              <w:spacing w:after="0" w:line="136" w:lineRule="exact"/>
              <w:rPr>
                <w:sz w:val="20"/>
                <w:szCs w:val="20"/>
                <w:color w:val="auto"/>
              </w:rPr>
            </w:pPr>
            <w:r>
              <w:rPr>
                <w:rFonts w:ascii="Arial" w:cs="Arial" w:eastAsia="Arial" w:hAnsi="Arial"/>
                <w:sz w:val="12"/>
                <w:szCs w:val="12"/>
                <w:b w:val="1"/>
                <w:bCs w:val="1"/>
                <w:color w:val="auto"/>
                <w:w w:val="97"/>
              </w:rPr>
              <w:t>Average</w:t>
            </w:r>
          </w:p>
        </w:tc>
        <w:tc>
          <w:tcPr>
            <w:tcW w:w="900" w:type="dxa"/>
            <w:vAlign w:val="bottom"/>
            <w:tcBorders>
              <w:top w:val="single" w:sz="8" w:color="auto"/>
            </w:tcBorders>
          </w:tcPr>
          <w:p>
            <w:pPr>
              <w:jc w:val="center"/>
              <w:ind w:right="15"/>
              <w:spacing w:after="0" w:line="136" w:lineRule="exact"/>
              <w:rPr>
                <w:sz w:val="20"/>
                <w:szCs w:val="20"/>
                <w:color w:val="auto"/>
              </w:rPr>
            </w:pPr>
            <w:r>
              <w:rPr>
                <w:rFonts w:ascii="Arial" w:cs="Arial" w:eastAsia="Arial" w:hAnsi="Arial"/>
                <w:sz w:val="12"/>
                <w:szCs w:val="12"/>
                <w:b w:val="1"/>
                <w:bCs w:val="1"/>
                <w:color w:val="auto"/>
                <w:w w:val="97"/>
              </w:rPr>
              <w:t>Average</w:t>
            </w:r>
          </w:p>
        </w:tc>
        <w:tc>
          <w:tcPr>
            <w:tcW w:w="9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5"/>
              </w:rPr>
              <w:t>Terminal</w:t>
            </w:r>
          </w:p>
        </w:tc>
      </w:tr>
      <w:tr>
        <w:trPr>
          <w:trHeight w:val="133"/>
        </w:trPr>
        <w:tc>
          <w:tcPr>
            <w:tcW w:w="3180" w:type="dxa"/>
            <w:vAlign w:val="bottom"/>
          </w:tcPr>
          <w:p>
            <w:pPr>
              <w:spacing w:after="0"/>
              <w:rPr>
                <w:sz w:val="11"/>
                <w:szCs w:val="11"/>
                <w:color w:val="auto"/>
              </w:rPr>
            </w:pPr>
          </w:p>
        </w:tc>
        <w:tc>
          <w:tcPr>
            <w:tcW w:w="3100" w:type="dxa"/>
            <w:vAlign w:val="bottom"/>
          </w:tcPr>
          <w:p>
            <w:pPr>
              <w:jc w:val="center"/>
              <w:ind w:left="1995"/>
              <w:spacing w:after="0" w:line="133" w:lineRule="exact"/>
              <w:rPr>
                <w:sz w:val="20"/>
                <w:szCs w:val="20"/>
                <w:color w:val="auto"/>
              </w:rPr>
            </w:pPr>
            <w:r>
              <w:rPr>
                <w:rFonts w:ascii="Arial" w:cs="Arial" w:eastAsia="Arial" w:hAnsi="Arial"/>
                <w:sz w:val="12"/>
                <w:szCs w:val="12"/>
                <w:b w:val="1"/>
                <w:bCs w:val="1"/>
                <w:color w:val="auto"/>
                <w:w w:val="95"/>
              </w:rPr>
              <w:t>revenue</w:t>
            </w:r>
          </w:p>
        </w:tc>
        <w:tc>
          <w:tcPr>
            <w:tcW w:w="900" w:type="dxa"/>
            <w:vAlign w:val="bottom"/>
          </w:tcPr>
          <w:p>
            <w:pPr>
              <w:jc w:val="center"/>
              <w:ind w:right="15"/>
              <w:spacing w:after="0" w:line="133" w:lineRule="exact"/>
              <w:rPr>
                <w:sz w:val="20"/>
                <w:szCs w:val="20"/>
                <w:color w:val="auto"/>
              </w:rPr>
            </w:pPr>
            <w:r>
              <w:rPr>
                <w:rFonts w:ascii="Arial" w:cs="Arial" w:eastAsia="Arial" w:hAnsi="Arial"/>
                <w:sz w:val="12"/>
                <w:szCs w:val="12"/>
                <w:b w:val="1"/>
                <w:bCs w:val="1"/>
                <w:color w:val="auto"/>
                <w:w w:val="97"/>
              </w:rPr>
              <w:t>Gross</w:t>
            </w:r>
          </w:p>
        </w:tc>
        <w:tc>
          <w:tcPr>
            <w:tcW w:w="940" w:type="dxa"/>
            <w:vAlign w:val="bottom"/>
          </w:tcPr>
          <w:p>
            <w:pPr>
              <w:jc w:val="right"/>
              <w:ind w:right="194"/>
              <w:spacing w:after="0" w:line="133" w:lineRule="exact"/>
              <w:rPr>
                <w:sz w:val="20"/>
                <w:szCs w:val="20"/>
                <w:color w:val="auto"/>
              </w:rPr>
            </w:pPr>
            <w:r>
              <w:rPr>
                <w:rFonts w:ascii="Arial" w:cs="Arial" w:eastAsia="Arial" w:hAnsi="Arial"/>
                <w:sz w:val="12"/>
                <w:szCs w:val="12"/>
                <w:b w:val="1"/>
                <w:bCs w:val="1"/>
                <w:color w:val="auto"/>
              </w:rPr>
              <w:t>Discount</w:t>
            </w: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Growth</w:t>
            </w:r>
          </w:p>
        </w:tc>
      </w:tr>
      <w:tr>
        <w:trPr>
          <w:trHeight w:val="141"/>
        </w:trPr>
        <w:tc>
          <w:tcPr>
            <w:tcW w:w="318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jc w:val="center"/>
              <w:ind w:left="1995"/>
              <w:spacing w:after="0"/>
              <w:rPr>
                <w:sz w:val="20"/>
                <w:szCs w:val="20"/>
                <w:color w:val="auto"/>
              </w:rPr>
            </w:pPr>
            <w:r>
              <w:rPr>
                <w:rFonts w:ascii="Arial" w:cs="Arial" w:eastAsia="Arial" w:hAnsi="Arial"/>
                <w:sz w:val="12"/>
                <w:szCs w:val="12"/>
                <w:b w:val="1"/>
                <w:bCs w:val="1"/>
                <w:color w:val="auto"/>
                <w:w w:val="97"/>
              </w:rPr>
              <w:t>growth rate</w:t>
            </w: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w w:val="96"/>
              </w:rPr>
              <w:t>Margin</w:t>
            </w: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2"/>
                <w:szCs w:val="12"/>
                <w:b w:val="1"/>
                <w:bCs w:val="1"/>
                <w:color w:val="auto"/>
              </w:rPr>
              <w:t>Rate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Rate</w:t>
            </w:r>
          </w:p>
        </w:tc>
      </w:tr>
      <w:tr>
        <w:trPr>
          <w:trHeight w:val="124"/>
        </w:trPr>
        <w:tc>
          <w:tcPr>
            <w:tcW w:w="31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jc w:val="right"/>
              <w:ind w:right="435"/>
              <w:spacing w:after="0" w:line="124"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415"/>
              <w:spacing w:after="0" w:line="124"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434"/>
              <w:spacing w:after="0" w:line="124"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315"/>
              <w:spacing w:after="0" w:line="124" w:lineRule="exact"/>
              <w:rPr>
                <w:sz w:val="20"/>
                <w:szCs w:val="20"/>
                <w:color w:val="auto"/>
              </w:rPr>
            </w:pPr>
            <w:r>
              <w:rPr>
                <w:rFonts w:ascii="Arial" w:cs="Arial" w:eastAsia="Arial" w:hAnsi="Arial"/>
                <w:sz w:val="12"/>
                <w:szCs w:val="12"/>
                <w:color w:val="auto"/>
              </w:rPr>
              <w:t>%</w:t>
            </w:r>
          </w:p>
        </w:tc>
      </w:tr>
      <w:tr>
        <w:trPr>
          <w:trHeight w:val="157"/>
        </w:trPr>
        <w:tc>
          <w:tcPr>
            <w:tcW w:w="31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June 30, 2022</w:t>
            </w:r>
          </w:p>
        </w:tc>
        <w:tc>
          <w:tcPr>
            <w:tcW w:w="3100" w:type="dxa"/>
            <w:vAlign w:val="bottom"/>
            <w:shd w:val="clear" w:color="auto" w:fill="CCEEFF"/>
          </w:tcPr>
          <w:p>
            <w:pPr>
              <w:jc w:val="right"/>
              <w:ind w:right="115"/>
              <w:spacing w:after="0" w:line="157" w:lineRule="exact"/>
              <w:rPr>
                <w:sz w:val="20"/>
                <w:szCs w:val="20"/>
                <w:color w:val="auto"/>
              </w:rPr>
            </w:pPr>
            <w:r>
              <w:rPr>
                <w:rFonts w:ascii="Arial" w:cs="Arial" w:eastAsia="Arial" w:hAnsi="Arial"/>
                <w:sz w:val="15"/>
                <w:szCs w:val="15"/>
                <w:color w:val="auto"/>
              </w:rPr>
              <w:t>7.1</w:t>
            </w:r>
          </w:p>
        </w:tc>
        <w:tc>
          <w:tcPr>
            <w:tcW w:w="900" w:type="dxa"/>
            <w:vAlign w:val="bottom"/>
            <w:shd w:val="clear" w:color="auto" w:fill="CCEEFF"/>
          </w:tcPr>
          <w:p>
            <w:pPr>
              <w:jc w:val="right"/>
              <w:ind w:right="95"/>
              <w:spacing w:after="0" w:line="157" w:lineRule="exact"/>
              <w:rPr>
                <w:sz w:val="20"/>
                <w:szCs w:val="20"/>
                <w:color w:val="auto"/>
              </w:rPr>
            </w:pPr>
            <w:r>
              <w:rPr>
                <w:rFonts w:ascii="Arial" w:cs="Arial" w:eastAsia="Arial" w:hAnsi="Arial"/>
                <w:sz w:val="15"/>
                <w:szCs w:val="15"/>
                <w:color w:val="auto"/>
              </w:rPr>
              <w:t>28.9</w:t>
            </w:r>
          </w:p>
        </w:tc>
        <w:tc>
          <w:tcPr>
            <w:tcW w:w="940" w:type="dxa"/>
            <w:vAlign w:val="bottom"/>
            <w:shd w:val="clear" w:color="auto" w:fill="CCEEFF"/>
          </w:tcPr>
          <w:p>
            <w:pPr>
              <w:jc w:val="right"/>
              <w:ind w:right="114"/>
              <w:spacing w:after="0" w:line="157" w:lineRule="exact"/>
              <w:rPr>
                <w:sz w:val="20"/>
                <w:szCs w:val="20"/>
                <w:color w:val="auto"/>
              </w:rPr>
            </w:pPr>
            <w:r>
              <w:rPr>
                <w:rFonts w:ascii="Arial" w:cs="Arial" w:eastAsia="Arial" w:hAnsi="Arial"/>
                <w:sz w:val="15"/>
                <w:szCs w:val="15"/>
                <w:color w:val="auto"/>
              </w:rPr>
              <w:t>15.6</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5</w:t>
            </w:r>
          </w:p>
        </w:tc>
      </w:tr>
      <w:tr>
        <w:trPr>
          <w:trHeight w:val="166"/>
        </w:trPr>
        <w:tc>
          <w:tcPr>
            <w:tcW w:w="3180" w:type="dxa"/>
            <w:vAlign w:val="bottom"/>
          </w:tcPr>
          <w:p>
            <w:pPr>
              <w:spacing w:after="0" w:line="166" w:lineRule="exact"/>
              <w:rPr>
                <w:sz w:val="20"/>
                <w:szCs w:val="20"/>
                <w:color w:val="auto"/>
              </w:rPr>
            </w:pPr>
            <w:r>
              <w:rPr>
                <w:rFonts w:ascii="Arial" w:cs="Arial" w:eastAsia="Arial" w:hAnsi="Arial"/>
                <w:sz w:val="15"/>
                <w:szCs w:val="15"/>
                <w:color w:val="auto"/>
              </w:rPr>
              <w:t>June 30, 2021</w:t>
            </w:r>
          </w:p>
        </w:tc>
        <w:tc>
          <w:tcPr>
            <w:tcW w:w="3100" w:type="dxa"/>
            <w:vAlign w:val="bottom"/>
          </w:tcPr>
          <w:p>
            <w:pPr>
              <w:jc w:val="right"/>
              <w:ind w:right="115"/>
              <w:spacing w:after="0" w:line="166" w:lineRule="exact"/>
              <w:rPr>
                <w:sz w:val="20"/>
                <w:szCs w:val="20"/>
                <w:color w:val="auto"/>
              </w:rPr>
            </w:pPr>
            <w:r>
              <w:rPr>
                <w:rFonts w:ascii="Arial" w:cs="Arial" w:eastAsia="Arial" w:hAnsi="Arial"/>
                <w:sz w:val="15"/>
                <w:szCs w:val="15"/>
                <w:color w:val="auto"/>
              </w:rPr>
              <w:t>9.2</w:t>
            </w:r>
          </w:p>
        </w:tc>
        <w:tc>
          <w:tcPr>
            <w:tcW w:w="900" w:type="dxa"/>
            <w:vAlign w:val="bottom"/>
          </w:tcPr>
          <w:p>
            <w:pPr>
              <w:jc w:val="right"/>
              <w:ind w:right="95"/>
              <w:spacing w:after="0" w:line="166" w:lineRule="exact"/>
              <w:rPr>
                <w:sz w:val="20"/>
                <w:szCs w:val="20"/>
                <w:color w:val="auto"/>
              </w:rPr>
            </w:pPr>
            <w:r>
              <w:rPr>
                <w:rFonts w:ascii="Arial" w:cs="Arial" w:eastAsia="Arial" w:hAnsi="Arial"/>
                <w:sz w:val="15"/>
                <w:szCs w:val="15"/>
                <w:color w:val="auto"/>
              </w:rPr>
              <w:t>29.0</w:t>
            </w:r>
          </w:p>
        </w:tc>
        <w:tc>
          <w:tcPr>
            <w:tcW w:w="940" w:type="dxa"/>
            <w:vAlign w:val="bottom"/>
          </w:tcPr>
          <w:p>
            <w:pPr>
              <w:jc w:val="right"/>
              <w:ind w:right="114"/>
              <w:spacing w:after="0" w:line="166" w:lineRule="exact"/>
              <w:rPr>
                <w:sz w:val="20"/>
                <w:szCs w:val="20"/>
                <w:color w:val="auto"/>
              </w:rPr>
            </w:pPr>
            <w:r>
              <w:rPr>
                <w:rFonts w:ascii="Arial" w:cs="Arial" w:eastAsia="Arial" w:hAnsi="Arial"/>
                <w:sz w:val="15"/>
                <w:szCs w:val="15"/>
                <w:color w:val="auto"/>
              </w:rPr>
              <w:t>13.2</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5</w:t>
            </w:r>
          </w:p>
        </w:tc>
      </w:tr>
      <w:tr>
        <w:trPr>
          <w:trHeight w:val="166"/>
        </w:trPr>
        <w:tc>
          <w:tcPr>
            <w:tcW w:w="31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June 30, 2020</w:t>
            </w:r>
          </w:p>
        </w:tc>
        <w:tc>
          <w:tcPr>
            <w:tcW w:w="3100" w:type="dxa"/>
            <w:vAlign w:val="bottom"/>
            <w:shd w:val="clear" w:color="auto" w:fill="CCEEFF"/>
          </w:tcPr>
          <w:p>
            <w:pPr>
              <w:jc w:val="right"/>
              <w:ind w:right="115"/>
              <w:spacing w:after="0" w:line="166" w:lineRule="exact"/>
              <w:rPr>
                <w:sz w:val="20"/>
                <w:szCs w:val="20"/>
                <w:color w:val="auto"/>
              </w:rPr>
            </w:pPr>
            <w:r>
              <w:rPr>
                <w:rFonts w:ascii="Arial" w:cs="Arial" w:eastAsia="Arial" w:hAnsi="Arial"/>
                <w:sz w:val="15"/>
                <w:szCs w:val="15"/>
                <w:color w:val="auto"/>
              </w:rPr>
              <w:t>7.9</w:t>
            </w:r>
          </w:p>
        </w:tc>
        <w:tc>
          <w:tcPr>
            <w:tcW w:w="900" w:type="dxa"/>
            <w:vAlign w:val="bottom"/>
            <w:shd w:val="clear" w:color="auto" w:fill="CCEEFF"/>
          </w:tcPr>
          <w:p>
            <w:pPr>
              <w:jc w:val="right"/>
              <w:ind w:right="95"/>
              <w:spacing w:after="0" w:line="166" w:lineRule="exact"/>
              <w:rPr>
                <w:sz w:val="20"/>
                <w:szCs w:val="20"/>
                <w:color w:val="auto"/>
              </w:rPr>
            </w:pPr>
            <w:r>
              <w:rPr>
                <w:rFonts w:ascii="Arial" w:cs="Arial" w:eastAsia="Arial" w:hAnsi="Arial"/>
                <w:sz w:val="15"/>
                <w:szCs w:val="15"/>
                <w:color w:val="auto"/>
              </w:rPr>
              <w:t>26.2</w:t>
            </w:r>
          </w:p>
        </w:tc>
        <w:tc>
          <w:tcPr>
            <w:tcW w:w="940" w:type="dxa"/>
            <w:vAlign w:val="bottom"/>
            <w:shd w:val="clear" w:color="auto" w:fill="CCEEFF"/>
          </w:tcPr>
          <w:p>
            <w:pPr>
              <w:jc w:val="right"/>
              <w:ind w:right="114"/>
              <w:spacing w:after="0" w:line="166" w:lineRule="exact"/>
              <w:rPr>
                <w:sz w:val="20"/>
                <w:szCs w:val="20"/>
                <w:color w:val="auto"/>
              </w:rPr>
            </w:pPr>
            <w:r>
              <w:rPr>
                <w:rFonts w:ascii="Arial" w:cs="Arial" w:eastAsia="Arial" w:hAnsi="Arial"/>
                <w:sz w:val="15"/>
                <w:szCs w:val="15"/>
                <w:color w:val="auto"/>
              </w:rPr>
              <w:t>13.2</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w:t>
            </w: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calculation of value in use for the business operations is most sensitive to changes in the following assumptions: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Revenue growth</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Revenue growth assumptions have been derived from projections prepared by management. Management is of the view that these assumptions are reasonable considering current market conditions. An impairment in the carrying value of goodwill would not arise if the 2022-2024 average revenue growth rate declined to nil. Over the projected period of three years, COVID-19 has not significantly impacted the revenue and gross margins of the Company.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Cost of sales and gross margin</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Cost of sales has been projected on the basis of multiple strategies planned by management to ensure profitable operations. These strategies include cost minimization mechanisms such as offshore migration of labor, centralization of support activities and increasing efficiency of service delivery, resulting in improved gross margins over the forecasted period.</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Discount rate</w:t>
      </w:r>
    </w:p>
    <w:p>
      <w:pPr>
        <w:spacing w:after="0" w:line="137"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Discount rates reflect management estimates of the rate of return required for the business and are calculated after taking into account the prevailing risk-free rate, industry risk and business risk. Discount rates are calculated using the weighted average cost of capital. An impairment in the carrying value of goodwill would not arise if the weighted average cost of capital were to increase significantly.</w:t>
      </w:r>
    </w:p>
    <w:p>
      <w:pPr>
        <w:spacing w:after="0" w:line="113" w:lineRule="exact"/>
        <w:rPr>
          <w:sz w:val="20"/>
          <w:szCs w:val="20"/>
          <w:color w:val="auto"/>
        </w:rPr>
      </w:pPr>
    </w:p>
    <w:p>
      <w:pPr>
        <w:ind w:left="480" w:hanging="445"/>
        <w:spacing w:after="0"/>
        <w:tabs>
          <w:tab w:leader="none" w:pos="48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OTHER INTANGIBLE ASSETS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38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7"/>
              </w:rPr>
              <w:t>Customer</w:t>
            </w: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860" w:type="dxa"/>
            <w:vAlign w:val="bottom"/>
          </w:tcPr>
          <w:p>
            <w:pPr>
              <w:spacing w:after="0"/>
              <w:rPr>
                <w:sz w:val="11"/>
                <w:szCs w:val="11"/>
                <w:color w:val="auto"/>
              </w:rPr>
            </w:pPr>
          </w:p>
        </w:tc>
        <w:tc>
          <w:tcPr>
            <w:tcW w:w="980" w:type="dxa"/>
            <w:vAlign w:val="bottom"/>
            <w:gridSpan w:val="2"/>
          </w:tcPr>
          <w:p>
            <w:pPr>
              <w:ind w:left="220"/>
              <w:spacing w:after="0"/>
              <w:rPr>
                <w:sz w:val="20"/>
                <w:szCs w:val="20"/>
                <w:color w:val="auto"/>
              </w:rPr>
            </w:pPr>
            <w:r>
              <w:rPr>
                <w:rFonts w:ascii="Arial" w:cs="Arial" w:eastAsia="Arial" w:hAnsi="Arial"/>
                <w:sz w:val="11"/>
                <w:szCs w:val="11"/>
                <w:b w:val="1"/>
                <w:bCs w:val="1"/>
                <w:color w:val="auto"/>
              </w:rPr>
              <w:t>Patents</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Trademarks</w:t>
            </w: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lists</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Software</w:t>
            </w:r>
          </w:p>
        </w:tc>
        <w:tc>
          <w:tcPr>
            <w:tcW w:w="860" w:type="dxa"/>
            <w:vAlign w:val="bottom"/>
            <w:gridSpan w:val="2"/>
          </w:tcPr>
          <w:p>
            <w:pPr>
              <w:ind w:left="3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3"/>
        </w:trPr>
        <w:tc>
          <w:tcPr>
            <w:tcW w:w="386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280" w:type="dxa"/>
            <w:vAlign w:val="bottom"/>
            <w:tcBorders>
              <w:top w:val="single" w:sz="8" w:color="auto"/>
              <w:bottom w:val="single" w:sz="8" w:color="auto"/>
            </w:tcBorders>
            <w:gridSpan w:val="2"/>
          </w:tcPr>
          <w:p>
            <w:pPr>
              <w:ind w:left="320"/>
              <w:spacing w:after="0" w:line="113" w:lineRule="exact"/>
              <w:rPr>
                <w:sz w:val="20"/>
                <w:szCs w:val="20"/>
                <w:color w:val="auto"/>
              </w:rPr>
            </w:pPr>
            <w:r>
              <w:rPr>
                <w:rFonts w:ascii="Arial" w:cs="Arial" w:eastAsia="Arial" w:hAnsi="Arial"/>
                <w:sz w:val="11"/>
                <w:szCs w:val="11"/>
                <w:b w:val="1"/>
                <w:bCs w:val="1"/>
                <w:color w:val="auto"/>
              </w:rPr>
              <w:t>(US$’000)</w:t>
            </w:r>
          </w:p>
        </w:tc>
        <w:tc>
          <w:tcPr>
            <w:tcW w:w="84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8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b w:val="1"/>
                <w:bCs w:val="1"/>
                <w:color w:val="auto"/>
              </w:rPr>
              <w:t>Cost</w:t>
            </w: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60" w:type="dxa"/>
            <w:vAlign w:val="bottom"/>
          </w:tcPr>
          <w:p>
            <w:pPr>
              <w:ind w:left="20"/>
              <w:spacing w:after="0" w:line="122" w:lineRule="exact"/>
              <w:rPr>
                <w:sz w:val="20"/>
                <w:szCs w:val="20"/>
                <w:color w:val="auto"/>
              </w:rPr>
            </w:pPr>
            <w:r>
              <w:rPr>
                <w:rFonts w:ascii="Arial" w:cs="Arial" w:eastAsia="Arial" w:hAnsi="Arial"/>
                <w:sz w:val="11"/>
                <w:szCs w:val="11"/>
                <w:color w:val="auto"/>
              </w:rPr>
              <w:t>At July 1, 2021</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541</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371</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2,817</w:t>
            </w:r>
          </w:p>
        </w:tc>
        <w:tc>
          <w:tcPr>
            <w:tcW w:w="3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21,949</w:t>
            </w:r>
          </w:p>
        </w:tc>
        <w:tc>
          <w:tcPr>
            <w:tcW w:w="14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25,678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Additions</w:t>
            </w:r>
          </w:p>
        </w:tc>
        <w:tc>
          <w:tcPr>
            <w:tcW w:w="9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1,270</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tcPr>
          <w:p>
            <w:pPr>
              <w:ind w:left="20"/>
              <w:spacing w:after="0" w:line="122" w:lineRule="exact"/>
              <w:rPr>
                <w:sz w:val="20"/>
                <w:szCs w:val="20"/>
                <w:color w:val="auto"/>
              </w:rPr>
            </w:pPr>
            <w:r>
              <w:rPr>
                <w:rFonts w:ascii="Arial" w:cs="Arial" w:eastAsia="Arial" w:hAnsi="Arial"/>
                <w:sz w:val="11"/>
                <w:szCs w:val="11"/>
                <w:color w:val="auto"/>
              </w:rPr>
              <w:t>Foreign exchange movements</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38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(110)</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86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1"/>
                <w:szCs w:val="11"/>
                <w:color w:val="auto"/>
              </w:rPr>
              <w:t>At June 30, 2022</w:t>
            </w:r>
          </w:p>
        </w:tc>
        <w:tc>
          <w:tcPr>
            <w:tcW w:w="8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541</w:t>
            </w: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371</w:t>
            </w:r>
          </w:p>
        </w:tc>
        <w:tc>
          <w:tcPr>
            <w:tcW w:w="1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2,817</w:t>
            </w:r>
          </w:p>
        </w:tc>
        <w:tc>
          <w:tcPr>
            <w:tcW w:w="3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23,109</w:t>
            </w:r>
          </w:p>
        </w:tc>
        <w:tc>
          <w:tcPr>
            <w:tcW w:w="1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26,838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860" w:type="dxa"/>
            <w:vAlign w:val="bottom"/>
          </w:tcPr>
          <w:p>
            <w:pPr>
              <w:ind w:left="20"/>
              <w:spacing w:after="0" w:line="113" w:lineRule="exact"/>
              <w:rPr>
                <w:sz w:val="20"/>
                <w:szCs w:val="20"/>
                <w:color w:val="auto"/>
              </w:rPr>
            </w:pPr>
            <w:r>
              <w:rPr>
                <w:rFonts w:ascii="Arial" w:cs="Arial" w:eastAsia="Arial" w:hAnsi="Arial"/>
                <w:sz w:val="11"/>
                <w:szCs w:val="11"/>
                <w:b w:val="1"/>
                <w:bCs w:val="1"/>
                <w:color w:val="auto"/>
              </w:rPr>
              <w:t>Accumulated amortization</w:t>
            </w: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At July 1, 2021</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w:t>
            </w: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2,637</w:t>
            </w:r>
          </w:p>
        </w:tc>
        <w:tc>
          <w:tcPr>
            <w:tcW w:w="3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19,636</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tcPr>
          <w:p>
            <w:pPr>
              <w:ind w:left="20"/>
              <w:spacing w:after="0" w:line="122" w:lineRule="exact"/>
              <w:rPr>
                <w:sz w:val="20"/>
                <w:szCs w:val="20"/>
                <w:color w:val="auto"/>
              </w:rPr>
            </w:pPr>
            <w:r>
              <w:rPr>
                <w:rFonts w:ascii="Arial" w:cs="Arial" w:eastAsia="Arial" w:hAnsi="Arial"/>
                <w:sz w:val="11"/>
                <w:szCs w:val="11"/>
                <w:color w:val="auto"/>
              </w:rPr>
              <w:t>Amortization charge for the year</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27</w:t>
            </w:r>
          </w:p>
        </w:tc>
        <w:tc>
          <w:tcPr>
            <w:tcW w:w="3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1,315</w:t>
            </w:r>
          </w:p>
        </w:tc>
        <w:tc>
          <w:tcPr>
            <w:tcW w:w="14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1,342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860" w:type="dxa"/>
            <w:vAlign w:val="bottom"/>
            <w:tcBorders>
              <w:top w:val="single" w:sz="8" w:color="CCEEFF"/>
            </w:tcBorders>
            <w:shd w:val="clear" w:color="auto" w:fill="CCEEFF"/>
          </w:tcPr>
          <w:p>
            <w:pPr>
              <w:ind w:left="20"/>
              <w:spacing w:after="0" w:line="113" w:lineRule="exact"/>
              <w:rPr>
                <w:sz w:val="20"/>
                <w:szCs w:val="20"/>
                <w:color w:val="auto"/>
              </w:rPr>
            </w:pPr>
            <w:r>
              <w:rPr>
                <w:rFonts w:ascii="Arial" w:cs="Arial" w:eastAsia="Arial" w:hAnsi="Arial"/>
                <w:sz w:val="11"/>
                <w:szCs w:val="11"/>
                <w:color w:val="auto"/>
              </w:rPr>
              <w:t>At June 30, 2022</w:t>
            </w:r>
          </w:p>
        </w:tc>
        <w:tc>
          <w:tcPr>
            <w:tcW w:w="8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196</w:t>
            </w: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2,664</w:t>
            </w:r>
          </w:p>
        </w:tc>
        <w:tc>
          <w:tcPr>
            <w:tcW w:w="3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20,951</w:t>
            </w:r>
          </w:p>
        </w:tc>
        <w:tc>
          <w:tcPr>
            <w:tcW w:w="1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23,811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860" w:type="dxa"/>
            <w:vAlign w:val="bottom"/>
          </w:tcPr>
          <w:p>
            <w:pPr>
              <w:ind w:left="20"/>
              <w:spacing w:after="0" w:line="113" w:lineRule="exact"/>
              <w:rPr>
                <w:sz w:val="20"/>
                <w:szCs w:val="20"/>
                <w:color w:val="auto"/>
              </w:rPr>
            </w:pPr>
            <w:r>
              <w:rPr>
                <w:rFonts w:ascii="Arial" w:cs="Arial" w:eastAsia="Arial" w:hAnsi="Arial"/>
                <w:sz w:val="11"/>
                <w:szCs w:val="11"/>
                <w:b w:val="1"/>
                <w:bCs w:val="1"/>
                <w:color w:val="auto"/>
              </w:rPr>
              <w:t>Net book value</w:t>
            </w: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6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At June 30, 2022</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345</w:t>
            </w:r>
          </w:p>
        </w:tc>
        <w:tc>
          <w:tcPr>
            <w:tcW w:w="1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371</w:t>
            </w:r>
          </w:p>
        </w:tc>
        <w:tc>
          <w:tcPr>
            <w:tcW w:w="16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153</w:t>
            </w:r>
          </w:p>
        </w:tc>
        <w:tc>
          <w:tcPr>
            <w:tcW w:w="3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2,158</w:t>
            </w:r>
          </w:p>
        </w:tc>
        <w:tc>
          <w:tcPr>
            <w:tcW w:w="14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3,027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rPr>
                <w:sz w:val="20"/>
                <w:szCs w:val="20"/>
                <w:color w:val="auto"/>
              </w:rPr>
            </w:pPr>
            <w:r>
              <w:rPr>
                <w:rFonts w:ascii="Arial" w:cs="Arial" w:eastAsia="Arial" w:hAnsi="Arial"/>
                <w:sz w:val="11"/>
                <w:szCs w:val="11"/>
                <w:color w:val="auto"/>
              </w:rPr>
              <w:t>At June 30, 2021</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tcBorders>
              <w:bottom w:val="single" w:sz="8" w:color="CCEEFF"/>
            </w:tcBorders>
            <w:vMerge w:val="continue"/>
          </w:tcPr>
          <w:p>
            <w:pPr>
              <w:spacing w:after="0"/>
              <w:rPr>
                <w:sz w:val="11"/>
                <w:szCs w:val="11"/>
                <w:color w:val="auto"/>
              </w:rPr>
            </w:pPr>
          </w:p>
        </w:tc>
        <w:tc>
          <w:tcPr>
            <w:tcW w:w="82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345</w:t>
            </w:r>
          </w:p>
        </w:tc>
        <w:tc>
          <w:tcPr>
            <w:tcW w:w="1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371</w:t>
            </w:r>
          </w:p>
        </w:tc>
        <w:tc>
          <w:tcPr>
            <w:tcW w:w="1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180</w:t>
            </w:r>
          </w:p>
        </w:tc>
        <w:tc>
          <w:tcPr>
            <w:tcW w:w="3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2,313</w:t>
            </w: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3,209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8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Cost</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At July 1, 2020</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541</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371</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2,817</w:t>
            </w:r>
          </w:p>
        </w:tc>
        <w:tc>
          <w:tcPr>
            <w:tcW w:w="3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20,466</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24,195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tcPr>
          <w:p>
            <w:pPr>
              <w:ind w:left="20"/>
              <w:spacing w:after="0" w:line="122" w:lineRule="exact"/>
              <w:rPr>
                <w:sz w:val="20"/>
                <w:szCs w:val="20"/>
                <w:color w:val="auto"/>
              </w:rPr>
            </w:pPr>
            <w:r>
              <w:rPr>
                <w:rFonts w:ascii="Arial" w:cs="Arial" w:eastAsia="Arial" w:hAnsi="Arial"/>
                <w:sz w:val="11"/>
                <w:szCs w:val="11"/>
                <w:color w:val="auto"/>
              </w:rPr>
              <w:t>Additions</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38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1,463</w:t>
            </w:r>
          </w:p>
        </w:tc>
        <w:tc>
          <w:tcPr>
            <w:tcW w:w="14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1,463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Foreign exchange movements</w:t>
            </w:r>
          </w:p>
        </w:tc>
        <w:tc>
          <w:tcPr>
            <w:tcW w:w="9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860" w:type="dxa"/>
            <w:vAlign w:val="bottom"/>
            <w:tcBorders>
              <w:bottom w:val="single" w:sz="8" w:color="CCEEFF"/>
            </w:tcBorders>
          </w:tcPr>
          <w:p>
            <w:pPr>
              <w:ind w:left="20"/>
              <w:spacing w:after="0" w:line="113" w:lineRule="exact"/>
              <w:rPr>
                <w:sz w:val="20"/>
                <w:szCs w:val="20"/>
                <w:color w:val="auto"/>
              </w:rPr>
            </w:pPr>
            <w:r>
              <w:rPr>
                <w:rFonts w:ascii="Arial" w:cs="Arial" w:eastAsia="Arial" w:hAnsi="Arial"/>
                <w:sz w:val="11"/>
                <w:szCs w:val="11"/>
                <w:color w:val="auto"/>
              </w:rPr>
              <w:t>At June 30, 2021</w:t>
            </w:r>
          </w:p>
        </w:tc>
        <w:tc>
          <w:tcPr>
            <w:tcW w:w="8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541</w:t>
            </w:r>
          </w:p>
        </w:tc>
        <w:tc>
          <w:tcPr>
            <w:tcW w:w="16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371</w:t>
            </w:r>
          </w:p>
        </w:tc>
        <w:tc>
          <w:tcPr>
            <w:tcW w:w="160" w:type="dxa"/>
            <w:vAlign w:val="bottom"/>
            <w:tcBorders>
              <w:bottom w:val="single" w:sz="8" w:color="CCEEFF"/>
            </w:tcBorders>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2,817</w:t>
            </w:r>
          </w:p>
        </w:tc>
        <w:tc>
          <w:tcPr>
            <w:tcW w:w="36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21,949</w:t>
            </w:r>
          </w:p>
        </w:tc>
        <w:tc>
          <w:tcPr>
            <w:tcW w:w="14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25,678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8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b w:val="1"/>
                <w:bCs w:val="1"/>
                <w:color w:val="auto"/>
              </w:rPr>
              <w:t>Accumulated amortization and impairment</w:t>
            </w: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60" w:type="dxa"/>
            <w:vAlign w:val="bottom"/>
          </w:tcPr>
          <w:p>
            <w:pPr>
              <w:ind w:left="20"/>
              <w:spacing w:after="0" w:line="122" w:lineRule="exact"/>
              <w:rPr>
                <w:sz w:val="20"/>
                <w:szCs w:val="20"/>
                <w:color w:val="auto"/>
              </w:rPr>
            </w:pPr>
            <w:r>
              <w:rPr>
                <w:rFonts w:ascii="Arial" w:cs="Arial" w:eastAsia="Arial" w:hAnsi="Arial"/>
                <w:sz w:val="11"/>
                <w:szCs w:val="11"/>
                <w:color w:val="auto"/>
              </w:rPr>
              <w:t>At July 1, 2020</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196</w:t>
            </w:r>
          </w:p>
        </w:tc>
        <w:tc>
          <w:tcPr>
            <w:tcW w:w="160" w:type="dxa"/>
            <w:vAlign w:val="bottom"/>
          </w:tcPr>
          <w:p>
            <w:pPr>
              <w:spacing w:after="0"/>
              <w:rPr>
                <w:sz w:val="10"/>
                <w:szCs w:val="10"/>
                <w:color w:val="auto"/>
              </w:rPr>
            </w:pP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2,566</w:t>
            </w:r>
          </w:p>
        </w:tc>
        <w:tc>
          <w:tcPr>
            <w:tcW w:w="3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18,652</w:t>
            </w:r>
          </w:p>
        </w:tc>
        <w:tc>
          <w:tcPr>
            <w:tcW w:w="14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21,414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Amortization charge for the year</w:t>
            </w:r>
          </w:p>
        </w:tc>
        <w:tc>
          <w:tcPr>
            <w:tcW w:w="9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w:t>
            </w:r>
          </w:p>
        </w:tc>
        <w:tc>
          <w:tcPr>
            <w:tcW w:w="3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984</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860" w:type="dxa"/>
            <w:vAlign w:val="bottom"/>
            <w:tcBorders>
              <w:bottom w:val="single" w:sz="8" w:color="CCEEFF"/>
            </w:tcBorders>
          </w:tcPr>
          <w:p>
            <w:pPr>
              <w:ind w:left="20"/>
              <w:spacing w:after="0" w:line="113" w:lineRule="exact"/>
              <w:rPr>
                <w:sz w:val="20"/>
                <w:szCs w:val="20"/>
                <w:color w:val="auto"/>
              </w:rPr>
            </w:pPr>
            <w:r>
              <w:rPr>
                <w:rFonts w:ascii="Arial" w:cs="Arial" w:eastAsia="Arial" w:hAnsi="Arial"/>
                <w:sz w:val="11"/>
                <w:szCs w:val="11"/>
                <w:color w:val="auto"/>
              </w:rPr>
              <w:t>At June 30, 2021</w:t>
            </w:r>
          </w:p>
        </w:tc>
        <w:tc>
          <w:tcPr>
            <w:tcW w:w="8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196</w:t>
            </w:r>
          </w:p>
        </w:tc>
        <w:tc>
          <w:tcPr>
            <w:tcW w:w="16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2,637</w:t>
            </w:r>
          </w:p>
        </w:tc>
        <w:tc>
          <w:tcPr>
            <w:tcW w:w="36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19,636</w:t>
            </w:r>
          </w:p>
        </w:tc>
        <w:tc>
          <w:tcPr>
            <w:tcW w:w="14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22,469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8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b w:val="1"/>
                <w:bCs w:val="1"/>
                <w:color w:val="auto"/>
              </w:rPr>
              <w:t>Net book value</w:t>
            </w: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860" w:type="dxa"/>
            <w:vAlign w:val="bottom"/>
            <w:tcBorders>
              <w:bottom w:val="single" w:sz="8" w:color="CCEEFF"/>
            </w:tcBorders>
          </w:tcPr>
          <w:p>
            <w:pPr>
              <w:ind w:left="20"/>
              <w:spacing w:after="0" w:line="122" w:lineRule="exact"/>
              <w:rPr>
                <w:sz w:val="20"/>
                <w:szCs w:val="20"/>
                <w:color w:val="auto"/>
              </w:rPr>
            </w:pPr>
            <w:r>
              <w:rPr>
                <w:rFonts w:ascii="Arial" w:cs="Arial" w:eastAsia="Arial" w:hAnsi="Arial"/>
                <w:sz w:val="11"/>
                <w:szCs w:val="11"/>
                <w:color w:val="auto"/>
              </w:rPr>
              <w:t>At June 30, 2021</w:t>
            </w: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345</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371</w:t>
            </w: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180</w:t>
            </w: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2,313</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3,209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86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10"/>
                <w:szCs w:val="10"/>
                <w:color w:val="auto"/>
              </w:rPr>
              <w:t>At June 30, 2020</w:t>
            </w:r>
          </w:p>
        </w:tc>
        <w:tc>
          <w:tcPr>
            <w:tcW w:w="8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345</w:t>
            </w:r>
          </w:p>
        </w:tc>
        <w:tc>
          <w:tcPr>
            <w:tcW w:w="1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371</w:t>
            </w:r>
          </w:p>
        </w:tc>
        <w:tc>
          <w:tcPr>
            <w:tcW w:w="16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251</w:t>
            </w:r>
          </w:p>
        </w:tc>
        <w:tc>
          <w:tcPr>
            <w:tcW w:w="3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1,814</w:t>
            </w:r>
          </w:p>
        </w:tc>
        <w:tc>
          <w:tcPr>
            <w:tcW w:w="14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2,781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5.1.</w:t>
      </w:r>
      <w:r>
        <w:rPr>
          <w:sz w:val="20"/>
          <w:szCs w:val="20"/>
          <w:color w:val="auto"/>
        </w:rPr>
        <w:tab/>
      </w:r>
      <w:r>
        <w:rPr>
          <w:rFonts w:ascii="Arial" w:cs="Arial" w:eastAsia="Arial" w:hAnsi="Arial"/>
          <w:sz w:val="14"/>
          <w:szCs w:val="14"/>
          <w:color w:val="auto"/>
        </w:rPr>
        <w:t>Net book value of software licenses held under financing is $0.1 million as of June 30, 2022 (June 30, 2021: $0.5 million).</w:t>
      </w:r>
    </w:p>
    <w:p>
      <w:pPr>
        <w:spacing w:after="0" w:line="115"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4"/>
          <w:szCs w:val="14"/>
          <w:color w:val="auto"/>
        </w:rPr>
        <w:t>Estimated amortization expense for the next three years is projected to be:</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4140" w:type="dxa"/>
            <w:vAlign w:val="bottom"/>
            <w:tcBorders>
              <w:top w:val="single" w:sz="8" w:color="auto"/>
            </w:tcBorders>
          </w:tcPr>
          <w:p>
            <w:pPr>
              <w:jc w:val="right"/>
              <w:ind w:right="391"/>
              <w:spacing w:after="0" w:line="136" w:lineRule="exact"/>
              <w:rPr>
                <w:sz w:val="20"/>
                <w:szCs w:val="20"/>
                <w:color w:val="auto"/>
              </w:rPr>
            </w:pPr>
            <w:r>
              <w:rPr>
                <w:rFonts w:ascii="Arial" w:cs="Arial" w:eastAsia="Arial" w:hAnsi="Arial"/>
                <w:sz w:val="12"/>
                <w:szCs w:val="12"/>
                <w:b w:val="1"/>
                <w:bCs w:val="1"/>
                <w:color w:val="auto"/>
              </w:rPr>
              <w:t>June 30,</w:t>
            </w:r>
          </w:p>
        </w:tc>
        <w:tc>
          <w:tcPr>
            <w:tcW w:w="1220" w:type="dxa"/>
            <w:vAlign w:val="bottom"/>
            <w:tcBorders>
              <w:top w:val="single" w:sz="8" w:color="auto"/>
            </w:tcBorders>
          </w:tcPr>
          <w:p>
            <w:pPr>
              <w:jc w:val="right"/>
              <w:ind w:right="414"/>
              <w:spacing w:after="0" w:line="136" w:lineRule="exact"/>
              <w:rPr>
                <w:sz w:val="20"/>
                <w:szCs w:val="20"/>
                <w:color w:val="auto"/>
              </w:rPr>
            </w:pPr>
            <w:r>
              <w:rPr>
                <w:rFonts w:ascii="Arial" w:cs="Arial" w:eastAsia="Arial" w:hAnsi="Arial"/>
                <w:sz w:val="12"/>
                <w:szCs w:val="12"/>
                <w:b w:val="1"/>
                <w:bCs w:val="1"/>
                <w:color w:val="auto"/>
              </w:rPr>
              <w:t>June 30,</w:t>
            </w:r>
          </w:p>
        </w:tc>
        <w:tc>
          <w:tcPr>
            <w:tcW w:w="1260" w:type="dxa"/>
            <w:vAlign w:val="bottom"/>
            <w:tcBorders>
              <w:top w:val="single" w:sz="8" w:color="auto"/>
            </w:tcBorders>
          </w:tcPr>
          <w:p>
            <w:pPr>
              <w:jc w:val="right"/>
              <w:ind w:right="452"/>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2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2022</w:t>
            </w: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2"/>
                <w:szCs w:val="12"/>
                <w:b w:val="1"/>
                <w:bCs w:val="1"/>
                <w:color w:val="auto"/>
              </w:rPr>
              <w:t>2021</w:t>
            </w: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2020</w:t>
            </w:r>
          </w:p>
        </w:tc>
      </w:tr>
      <w:tr>
        <w:trPr>
          <w:trHeight w:val="124"/>
        </w:trPr>
        <w:tc>
          <w:tcPr>
            <w:tcW w:w="20" w:type="dxa"/>
            <w:vAlign w:val="bottom"/>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354"/>
              <w:spacing w:after="0" w:line="124" w:lineRule="exact"/>
              <w:rPr>
                <w:sz w:val="20"/>
                <w:szCs w:val="20"/>
                <w:color w:val="auto"/>
              </w:rPr>
            </w:pPr>
            <w:r>
              <w:rPr>
                <w:rFonts w:ascii="Arial" w:cs="Arial" w:eastAsia="Arial" w:hAnsi="Arial"/>
                <w:sz w:val="12"/>
                <w:szCs w:val="12"/>
                <w:b w:val="1"/>
                <w:bCs w:val="1"/>
                <w:color w:val="auto"/>
              </w:rPr>
              <w:t>(US$’000)</w:t>
            </w:r>
          </w:p>
        </w:tc>
        <w:tc>
          <w:tcPr>
            <w:tcW w:w="1260" w:type="dxa"/>
            <w:vAlign w:val="bottom"/>
            <w:tcBorders>
              <w:bottom w:val="single" w:sz="8" w:color="auto"/>
            </w:tcBorders>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2320" w:type="dxa"/>
            <w:vAlign w:val="bottom"/>
            <w:shd w:val="clear" w:color="auto" w:fill="CCEEFF"/>
          </w:tcPr>
          <w:p>
            <w:pPr>
              <w:jc w:val="right"/>
              <w:ind w:right="1926"/>
              <w:spacing w:after="0" w:line="157" w:lineRule="exact"/>
              <w:rPr>
                <w:sz w:val="20"/>
                <w:szCs w:val="20"/>
                <w:color w:val="auto"/>
              </w:rPr>
            </w:pPr>
            <w:r>
              <w:rPr>
                <w:rFonts w:ascii="Arial" w:cs="Arial" w:eastAsia="Arial" w:hAnsi="Arial"/>
                <w:sz w:val="15"/>
                <w:szCs w:val="15"/>
                <w:color w:val="auto"/>
                <w:w w:val="89"/>
              </w:rPr>
              <w:t>2023</w:t>
            </w:r>
          </w:p>
        </w:tc>
        <w:tc>
          <w:tcPr>
            <w:tcW w:w="4140" w:type="dxa"/>
            <w:vAlign w:val="bottom"/>
            <w:shd w:val="clear" w:color="auto" w:fill="CCEEFF"/>
          </w:tcPr>
          <w:p>
            <w:pPr>
              <w:jc w:val="right"/>
              <w:ind w:right="191"/>
              <w:spacing w:after="0" w:line="157" w:lineRule="exact"/>
              <w:rPr>
                <w:sz w:val="20"/>
                <w:szCs w:val="20"/>
                <w:color w:val="auto"/>
              </w:rPr>
            </w:pPr>
            <w:r>
              <w:rPr>
                <w:rFonts w:ascii="Arial" w:cs="Arial" w:eastAsia="Arial" w:hAnsi="Arial"/>
                <w:sz w:val="15"/>
                <w:szCs w:val="15"/>
                <w:color w:val="auto"/>
              </w:rPr>
              <w:t>1,200</w:t>
            </w:r>
          </w:p>
        </w:tc>
        <w:tc>
          <w:tcPr>
            <w:tcW w:w="1220" w:type="dxa"/>
            <w:vAlign w:val="bottom"/>
            <w:shd w:val="clear" w:color="auto" w:fill="CCEEFF"/>
          </w:tcPr>
          <w:p>
            <w:pPr>
              <w:jc w:val="right"/>
              <w:ind w:right="194"/>
              <w:spacing w:after="0" w:line="157" w:lineRule="exact"/>
              <w:rPr>
                <w:sz w:val="20"/>
                <w:szCs w:val="20"/>
                <w:color w:val="auto"/>
              </w:rPr>
            </w:pPr>
            <w:r>
              <w:rPr>
                <w:rFonts w:ascii="Arial" w:cs="Arial" w:eastAsia="Arial" w:hAnsi="Arial"/>
                <w:sz w:val="15"/>
                <w:szCs w:val="15"/>
                <w:color w:val="auto"/>
              </w:rPr>
              <w:t>800</w:t>
            </w:r>
          </w:p>
        </w:tc>
        <w:tc>
          <w:tcPr>
            <w:tcW w:w="1260" w:type="dxa"/>
            <w:vAlign w:val="bottom"/>
            <w:shd w:val="clear" w:color="auto" w:fill="CCEEFF"/>
          </w:tcPr>
          <w:p>
            <w:pPr>
              <w:jc w:val="right"/>
              <w:ind w:right="252"/>
              <w:spacing w:after="0" w:line="157" w:lineRule="exact"/>
              <w:rPr>
                <w:sz w:val="20"/>
                <w:szCs w:val="20"/>
                <w:color w:val="auto"/>
              </w:rPr>
            </w:pPr>
            <w:r>
              <w:rPr>
                <w:rFonts w:ascii="Arial" w:cs="Arial" w:eastAsia="Arial" w:hAnsi="Arial"/>
                <w:sz w:val="15"/>
                <w:szCs w:val="15"/>
                <w:color w:val="auto"/>
              </w:rPr>
              <w:t>400</w:t>
            </w:r>
          </w:p>
        </w:tc>
      </w:tr>
      <w:tr>
        <w:trPr>
          <w:trHeight w:val="166"/>
        </w:trPr>
        <w:tc>
          <w:tcPr>
            <w:tcW w:w="20" w:type="dxa"/>
            <w:vAlign w:val="bottom"/>
          </w:tcPr>
          <w:p>
            <w:pPr>
              <w:spacing w:after="0"/>
              <w:rPr>
                <w:sz w:val="14"/>
                <w:szCs w:val="14"/>
                <w:color w:val="auto"/>
              </w:rPr>
            </w:pPr>
          </w:p>
        </w:tc>
        <w:tc>
          <w:tcPr>
            <w:tcW w:w="2320" w:type="dxa"/>
            <w:vAlign w:val="bottom"/>
          </w:tcPr>
          <w:p>
            <w:pPr>
              <w:jc w:val="right"/>
              <w:ind w:right="1926"/>
              <w:spacing w:after="0" w:line="166" w:lineRule="exact"/>
              <w:rPr>
                <w:sz w:val="20"/>
                <w:szCs w:val="20"/>
                <w:color w:val="auto"/>
              </w:rPr>
            </w:pPr>
            <w:r>
              <w:rPr>
                <w:rFonts w:ascii="Arial" w:cs="Arial" w:eastAsia="Arial" w:hAnsi="Arial"/>
                <w:sz w:val="15"/>
                <w:szCs w:val="15"/>
                <w:color w:val="auto"/>
                <w:w w:val="89"/>
              </w:rPr>
              <w:t>2024</w:t>
            </w:r>
          </w:p>
        </w:tc>
        <w:tc>
          <w:tcPr>
            <w:tcW w:w="4140" w:type="dxa"/>
            <w:vAlign w:val="bottom"/>
          </w:tcPr>
          <w:p>
            <w:pPr>
              <w:jc w:val="right"/>
              <w:ind w:right="191"/>
              <w:spacing w:after="0" w:line="166" w:lineRule="exact"/>
              <w:rPr>
                <w:sz w:val="20"/>
                <w:szCs w:val="20"/>
                <w:color w:val="auto"/>
              </w:rPr>
            </w:pPr>
            <w:r>
              <w:rPr>
                <w:rFonts w:ascii="Arial" w:cs="Arial" w:eastAsia="Arial" w:hAnsi="Arial"/>
                <w:sz w:val="15"/>
                <w:szCs w:val="15"/>
                <w:color w:val="auto"/>
              </w:rPr>
              <w:t>800</w:t>
            </w:r>
          </w:p>
        </w:tc>
        <w:tc>
          <w:tcPr>
            <w:tcW w:w="1220" w:type="dxa"/>
            <w:vAlign w:val="bottom"/>
          </w:tcPr>
          <w:p>
            <w:pPr>
              <w:jc w:val="right"/>
              <w:ind w:right="194"/>
              <w:spacing w:after="0" w:line="166" w:lineRule="exact"/>
              <w:rPr>
                <w:sz w:val="20"/>
                <w:szCs w:val="20"/>
                <w:color w:val="auto"/>
              </w:rPr>
            </w:pPr>
            <w:r>
              <w:rPr>
                <w:rFonts w:ascii="Arial" w:cs="Arial" w:eastAsia="Arial" w:hAnsi="Arial"/>
                <w:sz w:val="15"/>
                <w:szCs w:val="15"/>
                <w:color w:val="auto"/>
              </w:rPr>
              <w:t>500</w:t>
            </w:r>
          </w:p>
        </w:tc>
        <w:tc>
          <w:tcPr>
            <w:tcW w:w="1260" w:type="dxa"/>
            <w:vAlign w:val="bottom"/>
          </w:tcPr>
          <w:p>
            <w:pPr>
              <w:jc w:val="right"/>
              <w:ind w:right="252"/>
              <w:spacing w:after="0" w:line="166" w:lineRule="exact"/>
              <w:rPr>
                <w:sz w:val="20"/>
                <w:szCs w:val="20"/>
                <w:color w:val="auto"/>
              </w:rPr>
            </w:pPr>
            <w:r>
              <w:rPr>
                <w:rFonts w:ascii="Arial" w:cs="Arial" w:eastAsia="Arial" w:hAnsi="Arial"/>
                <w:sz w:val="15"/>
                <w:szCs w:val="15"/>
                <w:color w:val="auto"/>
              </w:rPr>
              <w:t>—</w:t>
            </w:r>
          </w:p>
        </w:tc>
      </w:tr>
      <w:tr>
        <w:trPr>
          <w:trHeight w:val="166"/>
        </w:trPr>
        <w:tc>
          <w:tcPr>
            <w:tcW w:w="20" w:type="dxa"/>
            <w:vAlign w:val="bottom"/>
          </w:tcPr>
          <w:p>
            <w:pPr>
              <w:spacing w:after="0"/>
              <w:rPr>
                <w:sz w:val="14"/>
                <w:szCs w:val="14"/>
                <w:color w:val="auto"/>
              </w:rPr>
            </w:pPr>
          </w:p>
        </w:tc>
        <w:tc>
          <w:tcPr>
            <w:tcW w:w="2320" w:type="dxa"/>
            <w:vAlign w:val="bottom"/>
            <w:shd w:val="clear" w:color="auto" w:fill="CCEEFF"/>
          </w:tcPr>
          <w:p>
            <w:pPr>
              <w:jc w:val="right"/>
              <w:ind w:right="1926"/>
              <w:spacing w:after="0" w:line="166" w:lineRule="exact"/>
              <w:rPr>
                <w:sz w:val="20"/>
                <w:szCs w:val="20"/>
                <w:color w:val="auto"/>
              </w:rPr>
            </w:pPr>
            <w:r>
              <w:rPr>
                <w:rFonts w:ascii="Arial" w:cs="Arial" w:eastAsia="Arial" w:hAnsi="Arial"/>
                <w:sz w:val="15"/>
                <w:szCs w:val="15"/>
                <w:color w:val="auto"/>
                <w:w w:val="89"/>
              </w:rPr>
              <w:t>2025</w:t>
            </w:r>
          </w:p>
        </w:tc>
        <w:tc>
          <w:tcPr>
            <w:tcW w:w="4140" w:type="dxa"/>
            <w:vAlign w:val="bottom"/>
            <w:shd w:val="clear" w:color="auto" w:fill="CCEEFF"/>
          </w:tcPr>
          <w:p>
            <w:pPr>
              <w:jc w:val="right"/>
              <w:ind w:right="191"/>
              <w:spacing w:after="0" w:line="166" w:lineRule="exact"/>
              <w:rPr>
                <w:sz w:val="20"/>
                <w:szCs w:val="20"/>
                <w:color w:val="auto"/>
              </w:rPr>
            </w:pPr>
            <w:r>
              <w:rPr>
                <w:rFonts w:ascii="Arial" w:cs="Arial" w:eastAsia="Arial" w:hAnsi="Arial"/>
                <w:sz w:val="15"/>
                <w:szCs w:val="15"/>
                <w:color w:val="auto"/>
              </w:rPr>
              <w:t>300</w:t>
            </w:r>
          </w:p>
        </w:tc>
        <w:tc>
          <w:tcPr>
            <w:tcW w:w="1220" w:type="dxa"/>
            <w:vAlign w:val="bottom"/>
            <w:shd w:val="clear" w:color="auto" w:fill="CCEEFF"/>
          </w:tcPr>
          <w:p>
            <w:pPr>
              <w:jc w:val="right"/>
              <w:ind w:right="194"/>
              <w:spacing w:after="0" w:line="166" w:lineRule="exact"/>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52"/>
              <w:spacing w:after="0" w:line="166" w:lineRule="exact"/>
              <w:rPr>
                <w:sz w:val="20"/>
                <w:szCs w:val="20"/>
                <w:color w:val="auto"/>
              </w:rPr>
            </w:pPr>
            <w:r>
              <w:rPr>
                <w:rFonts w:ascii="Arial" w:cs="Arial" w:eastAsia="Arial" w:hAnsi="Arial"/>
                <w:sz w:val="15"/>
                <w:szCs w:val="15"/>
                <w:color w:val="auto"/>
              </w:rPr>
              <w:t>—</w:t>
            </w:r>
          </w:p>
        </w:tc>
      </w:tr>
      <w:tr>
        <w:trPr>
          <w:trHeight w:val="166"/>
        </w:trPr>
        <w:tc>
          <w:tcPr>
            <w:tcW w:w="2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65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40" w:type="dxa"/>
            <w:vAlign w:val="bottom"/>
          </w:tcPr>
          <w:p>
            <w:pPr>
              <w:jc w:val="right"/>
              <w:ind w:right="1771"/>
              <w:spacing w:after="0"/>
              <w:rPr>
                <w:sz w:val="20"/>
                <w:szCs w:val="20"/>
                <w:color w:val="auto"/>
              </w:rPr>
            </w:pPr>
            <w:r>
              <w:rPr>
                <w:rFonts w:ascii="Arial" w:cs="Arial" w:eastAsia="Arial" w:hAnsi="Arial"/>
                <w:sz w:val="15"/>
                <w:szCs w:val="15"/>
                <w:color w:val="auto"/>
              </w:rPr>
              <w:t>F-33</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6"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During the year ended June 30, 2022, no impairment (June 30, 2021: nil, June 30, 2020: $0.8 million) was recognized in other operating costs.</w:t>
      </w:r>
    </w:p>
    <w:p>
      <w:pPr>
        <w:spacing w:after="0" w:line="102" w:lineRule="exact"/>
        <w:rPr>
          <w:sz w:val="20"/>
          <w:szCs w:val="20"/>
          <w:color w:val="auto"/>
        </w:rPr>
      </w:pPr>
    </w:p>
    <w:p>
      <w:pPr>
        <w:ind w:left="480" w:hanging="445"/>
        <w:spacing w:after="0"/>
        <w:tabs>
          <w:tab w:leader="none" w:pos="480"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PROPERTY AND EQUIPMENT</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13"/>
        </w:trPr>
        <w:tc>
          <w:tcPr>
            <w:tcW w:w="35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right"/>
              <w:ind w:right="340"/>
              <w:spacing w:after="0" w:line="114" w:lineRule="exact"/>
              <w:rPr>
                <w:sz w:val="20"/>
                <w:szCs w:val="20"/>
                <w:color w:val="auto"/>
              </w:rPr>
            </w:pPr>
            <w:r>
              <w:rPr>
                <w:rFonts w:ascii="Arial" w:cs="Arial" w:eastAsia="Arial" w:hAnsi="Arial"/>
                <w:sz w:val="10"/>
                <w:szCs w:val="10"/>
                <w:b w:val="1"/>
                <w:bCs w:val="1"/>
                <w:color w:val="auto"/>
              </w:rPr>
              <w:t>Furniture,</w:t>
            </w:r>
          </w:p>
        </w:tc>
        <w:tc>
          <w:tcPr>
            <w:tcW w:w="7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7"/>
              </w:rPr>
              <w:t>Assets</w:t>
            </w:r>
          </w:p>
        </w:tc>
        <w:tc>
          <w:tcPr>
            <w:tcW w:w="6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11"/>
        </w:trPr>
        <w:tc>
          <w:tcPr>
            <w:tcW w:w="3520" w:type="dxa"/>
            <w:vAlign w:val="bottom"/>
          </w:tcPr>
          <w:p>
            <w:pPr>
              <w:spacing w:after="0"/>
              <w:rPr>
                <w:sz w:val="9"/>
                <w:szCs w:val="9"/>
                <w:color w:val="auto"/>
              </w:rPr>
            </w:pPr>
          </w:p>
        </w:tc>
        <w:tc>
          <w:tcPr>
            <w:tcW w:w="980" w:type="dxa"/>
            <w:vAlign w:val="bottom"/>
            <w:gridSpan w:val="2"/>
          </w:tcPr>
          <w:p>
            <w:pPr>
              <w:jc w:val="right"/>
              <w:ind w:right="340"/>
              <w:spacing w:after="0" w:line="111" w:lineRule="exact"/>
              <w:rPr>
                <w:sz w:val="20"/>
                <w:szCs w:val="20"/>
                <w:color w:val="auto"/>
              </w:rPr>
            </w:pPr>
            <w:r>
              <w:rPr>
                <w:rFonts w:ascii="Arial" w:cs="Arial" w:eastAsia="Arial" w:hAnsi="Arial"/>
                <w:sz w:val="10"/>
                <w:szCs w:val="10"/>
                <w:b w:val="1"/>
                <w:bCs w:val="1"/>
                <w:color w:val="auto"/>
              </w:rPr>
              <w:t>Leasehold</w:t>
            </w:r>
          </w:p>
        </w:tc>
        <w:tc>
          <w:tcPr>
            <w:tcW w:w="960" w:type="dxa"/>
            <w:vAlign w:val="bottom"/>
            <w:gridSpan w:val="2"/>
          </w:tcPr>
          <w:p>
            <w:pPr>
              <w:jc w:val="right"/>
              <w:ind w:right="320"/>
              <w:spacing w:after="0" w:line="111" w:lineRule="exact"/>
              <w:rPr>
                <w:sz w:val="20"/>
                <w:szCs w:val="20"/>
                <w:color w:val="auto"/>
              </w:rPr>
            </w:pPr>
            <w:r>
              <w:rPr>
                <w:rFonts w:ascii="Arial" w:cs="Arial" w:eastAsia="Arial" w:hAnsi="Arial"/>
                <w:sz w:val="10"/>
                <w:szCs w:val="10"/>
                <w:b w:val="1"/>
                <w:bCs w:val="1"/>
                <w:color w:val="auto"/>
              </w:rPr>
              <w:t>fixture and</w:t>
            </w:r>
          </w:p>
        </w:tc>
        <w:tc>
          <w:tcPr>
            <w:tcW w:w="940" w:type="dxa"/>
            <w:vAlign w:val="bottom"/>
            <w:gridSpan w:val="2"/>
          </w:tcPr>
          <w:p>
            <w:pPr>
              <w:jc w:val="right"/>
              <w:ind w:right="320"/>
              <w:spacing w:after="0" w:line="111" w:lineRule="exact"/>
              <w:rPr>
                <w:sz w:val="20"/>
                <w:szCs w:val="20"/>
                <w:color w:val="auto"/>
              </w:rPr>
            </w:pPr>
            <w:r>
              <w:rPr>
                <w:rFonts w:ascii="Arial" w:cs="Arial" w:eastAsia="Arial" w:hAnsi="Arial"/>
                <w:sz w:val="10"/>
                <w:szCs w:val="10"/>
                <w:b w:val="1"/>
                <w:bCs w:val="1"/>
                <w:color w:val="auto"/>
              </w:rPr>
              <w:t>Computer</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tcPr>
          <w:p>
            <w:pPr>
              <w:jc w:val="center"/>
              <w:ind w:right="180"/>
              <w:spacing w:after="0" w:line="111" w:lineRule="exact"/>
              <w:rPr>
                <w:sz w:val="20"/>
                <w:szCs w:val="20"/>
                <w:color w:val="auto"/>
              </w:rPr>
            </w:pPr>
            <w:r>
              <w:rPr>
                <w:rFonts w:ascii="Arial" w:cs="Arial" w:eastAsia="Arial" w:hAnsi="Arial"/>
                <w:sz w:val="10"/>
                <w:szCs w:val="10"/>
                <w:b w:val="1"/>
                <w:bCs w:val="1"/>
                <w:color w:val="auto"/>
                <w:w w:val="93"/>
              </w:rPr>
              <w:t>under</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9"/>
        </w:trPr>
        <w:tc>
          <w:tcPr>
            <w:tcW w:w="352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Improvements</w:t>
            </w:r>
          </w:p>
        </w:tc>
        <w:tc>
          <w:tcPr>
            <w:tcW w:w="9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equipment</w:t>
            </w:r>
          </w:p>
        </w:tc>
        <w:tc>
          <w:tcPr>
            <w:tcW w:w="9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Equipment</w:t>
            </w:r>
          </w:p>
        </w:tc>
        <w:tc>
          <w:tcPr>
            <w:tcW w:w="96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Vehicles</w:t>
            </w:r>
          </w:p>
        </w:tc>
        <w:tc>
          <w:tcPr>
            <w:tcW w:w="9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Construction</w:t>
            </w:r>
          </w:p>
        </w:tc>
        <w:tc>
          <w:tcPr>
            <w:tcW w:w="680" w:type="dxa"/>
            <w:vAlign w:val="bottom"/>
            <w:gridSpan w:val="2"/>
          </w:tcPr>
          <w:p>
            <w:pPr>
              <w:ind w:left="220"/>
              <w:spacing w:after="0"/>
              <w:rPr>
                <w:sz w:val="20"/>
                <w:szCs w:val="20"/>
                <w:color w:val="auto"/>
              </w:rPr>
            </w:pPr>
            <w:r>
              <w:rPr>
                <w:rFonts w:ascii="Arial" w:cs="Arial" w:eastAsia="Arial" w:hAnsi="Arial"/>
                <w:sz w:val="10"/>
                <w:szCs w:val="10"/>
                <w:b w:val="1"/>
                <w:bCs w:val="1"/>
                <w:color w:val="auto"/>
              </w:rPr>
              <w:t>Total</w:t>
            </w:r>
          </w:p>
        </w:tc>
      </w:tr>
      <w:tr>
        <w:trPr>
          <w:trHeight w:val="102"/>
        </w:trPr>
        <w:tc>
          <w:tcPr>
            <w:tcW w:w="352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352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b w:val="1"/>
                <w:bCs w:val="1"/>
                <w:color w:val="auto"/>
              </w:rPr>
              <w:t>Cost</w:t>
            </w: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At July 1, 2021</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22,155</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21,239</w:t>
            </w:r>
          </w:p>
        </w:tc>
        <w:tc>
          <w:tcPr>
            <w:tcW w:w="18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Arial" w:cs="Arial" w:eastAsia="Arial" w:hAnsi="Arial"/>
                <w:sz w:val="10"/>
                <w:szCs w:val="10"/>
                <w:color w:val="auto"/>
              </w:rPr>
              <w:t>53,730</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578</w:t>
            </w:r>
          </w:p>
        </w:tc>
        <w:tc>
          <w:tcPr>
            <w:tcW w:w="1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Arial" w:cs="Arial" w:eastAsia="Arial" w:hAnsi="Arial"/>
                <w:sz w:val="10"/>
                <w:szCs w:val="10"/>
                <w:color w:val="auto"/>
              </w:rPr>
              <w:t>1,092</w:t>
            </w:r>
          </w:p>
        </w:tc>
        <w:tc>
          <w:tcPr>
            <w:tcW w:w="1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98,794</w:t>
            </w: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Additions</w:t>
            </w: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8,618</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4,012</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12,295</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1,355</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26,280</w:t>
            </w:r>
          </w:p>
        </w:tc>
        <w:tc>
          <w:tcPr>
            <w:tcW w:w="20" w:type="dxa"/>
            <w:vAlign w:val="bottom"/>
          </w:tcPr>
          <w:p>
            <w:pPr>
              <w:spacing w:after="0"/>
              <w:rPr>
                <w:sz w:val="9"/>
                <w:szCs w:val="9"/>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Transfer from CWIP</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962</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101</w:t>
            </w:r>
          </w:p>
        </w:tc>
        <w:tc>
          <w:tcPr>
            <w:tcW w:w="180" w:type="dxa"/>
            <w:vAlign w:val="bottom"/>
          </w:tcPr>
          <w:p>
            <w:pPr>
              <w:spacing w:after="0"/>
              <w:rPr>
                <w:sz w:val="9"/>
                <w:szCs w:val="9"/>
                <w:color w:val="auto"/>
              </w:rPr>
            </w:pPr>
          </w:p>
        </w:tc>
        <w:tc>
          <w:tcPr>
            <w:tcW w:w="9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29</w:t>
            </w:r>
          </w:p>
        </w:tc>
        <w:tc>
          <w:tcPr>
            <w:tcW w:w="180" w:type="dxa"/>
            <w:vAlign w:val="bottom"/>
          </w:tcPr>
          <w:p>
            <w:pPr>
              <w:spacing w:after="0"/>
              <w:rPr>
                <w:sz w:val="9"/>
                <w:szCs w:val="9"/>
                <w:color w:val="auto"/>
              </w:rPr>
            </w:pPr>
          </w:p>
        </w:tc>
        <w:tc>
          <w:tcPr>
            <w:tcW w:w="9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(1,092)</w:t>
            </w: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Transfer from right of use asset</w:t>
            </w: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354</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50</w:t>
            </w: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404</w:t>
            </w:r>
          </w:p>
        </w:tc>
        <w:tc>
          <w:tcPr>
            <w:tcW w:w="20" w:type="dxa"/>
            <w:vAlign w:val="bottom"/>
          </w:tcPr>
          <w:p>
            <w:pPr>
              <w:spacing w:after="0"/>
              <w:rPr>
                <w:sz w:val="9"/>
                <w:szCs w:val="9"/>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Foreign exchange movements</w:t>
            </w:r>
          </w:p>
        </w:tc>
        <w:tc>
          <w:tcPr>
            <w:tcW w:w="9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(413)</w:t>
            </w:r>
          </w:p>
        </w:tc>
        <w:tc>
          <w:tcPr>
            <w:tcW w:w="9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(928)</w:t>
            </w:r>
          </w:p>
        </w:tc>
        <w:tc>
          <w:tcPr>
            <w:tcW w:w="9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(778)</w:t>
            </w:r>
          </w:p>
        </w:tc>
        <w:tc>
          <w:tcPr>
            <w:tcW w:w="9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(2,119)</w:t>
            </w: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Disposal</w:t>
            </w:r>
          </w:p>
        </w:tc>
        <w:tc>
          <w:tcPr>
            <w:tcW w:w="98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(245)</w:t>
            </w:r>
          </w:p>
        </w:tc>
        <w:tc>
          <w:tcPr>
            <w:tcW w:w="9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(92)</w:t>
            </w:r>
          </w:p>
        </w:tc>
        <w:tc>
          <w:tcPr>
            <w:tcW w:w="9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(337)</w:t>
            </w:r>
          </w:p>
        </w:tc>
        <w:tc>
          <w:tcPr>
            <w:tcW w:w="20" w:type="dxa"/>
            <w:vAlign w:val="bottom"/>
          </w:tcPr>
          <w:p>
            <w:pPr>
              <w:spacing w:after="0"/>
              <w:rPr>
                <w:sz w:val="9"/>
                <w:szCs w:val="9"/>
                <w:color w:val="auto"/>
              </w:rPr>
            </w:pPr>
          </w:p>
        </w:tc>
      </w:tr>
      <w:tr>
        <w:trPr>
          <w:trHeight w:val="102"/>
        </w:trPr>
        <w:tc>
          <w:tcPr>
            <w:tcW w:w="3520" w:type="dxa"/>
            <w:vAlign w:val="bottom"/>
            <w:tcBorders>
              <w:bottom w:val="single" w:sz="8" w:color="CCEEFF"/>
            </w:tcBorders>
          </w:tcPr>
          <w:p>
            <w:pPr>
              <w:ind w:left="20"/>
              <w:spacing w:after="0" w:line="102" w:lineRule="exact"/>
              <w:rPr>
                <w:sz w:val="20"/>
                <w:szCs w:val="20"/>
                <w:color w:val="auto"/>
              </w:rPr>
            </w:pPr>
            <w:r>
              <w:rPr>
                <w:rFonts w:ascii="Arial" w:cs="Arial" w:eastAsia="Arial" w:hAnsi="Arial"/>
                <w:sz w:val="10"/>
                <w:szCs w:val="10"/>
                <w:color w:val="auto"/>
              </w:rPr>
              <w:t>At June 30, 2022</w:t>
            </w:r>
          </w:p>
        </w:tc>
        <w:tc>
          <w:tcPr>
            <w:tcW w:w="8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31,676</w:t>
            </w:r>
          </w:p>
        </w:tc>
        <w:tc>
          <w:tcPr>
            <w:tcW w:w="180" w:type="dxa"/>
            <w:vAlign w:val="bottom"/>
            <w:tcBorders>
              <w:bottom w:val="single" w:sz="8" w:color="CCEEFF"/>
            </w:tcBorders>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24,424</w:t>
            </w:r>
          </w:p>
        </w:tc>
        <w:tc>
          <w:tcPr>
            <w:tcW w:w="18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65,002</w:t>
            </w:r>
          </w:p>
        </w:tc>
        <w:tc>
          <w:tcPr>
            <w:tcW w:w="180" w:type="dxa"/>
            <w:vAlign w:val="bottom"/>
            <w:tcBorders>
              <w:bottom w:val="single" w:sz="8" w:color="CCEEFF"/>
            </w:tcBorders>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565</w:t>
            </w:r>
          </w:p>
        </w:tc>
        <w:tc>
          <w:tcPr>
            <w:tcW w:w="180" w:type="dxa"/>
            <w:vAlign w:val="bottom"/>
            <w:tcBorders>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1,355</w:t>
            </w:r>
          </w:p>
        </w:tc>
        <w:tc>
          <w:tcPr>
            <w:tcW w:w="180" w:type="dxa"/>
            <w:vAlign w:val="bottom"/>
            <w:tcBorders>
              <w:bottom w:val="single" w:sz="8" w:color="CCEEFF"/>
            </w:tcBorders>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123,022</w:t>
            </w:r>
          </w:p>
        </w:tc>
        <w:tc>
          <w:tcPr>
            <w:tcW w:w="20" w:type="dxa"/>
            <w:vAlign w:val="bottom"/>
          </w:tcPr>
          <w:p>
            <w:pPr>
              <w:spacing w:after="0"/>
              <w:rPr>
                <w:sz w:val="8"/>
                <w:szCs w:val="8"/>
                <w:color w:val="auto"/>
              </w:rPr>
            </w:pPr>
          </w:p>
        </w:tc>
      </w:tr>
      <w:tr>
        <w:trPr>
          <w:trHeight w:val="102"/>
        </w:trPr>
        <w:tc>
          <w:tcPr>
            <w:tcW w:w="3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b w:val="1"/>
                <w:bCs w:val="1"/>
                <w:color w:val="auto"/>
              </w:rPr>
              <w:t>Accumulated depreciation</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At July 1, 2021</w:t>
            </w: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14,728</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10,385</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42,499</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354</w:t>
            </w: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67,966</w:t>
            </w:r>
          </w:p>
        </w:tc>
        <w:tc>
          <w:tcPr>
            <w:tcW w:w="20" w:type="dxa"/>
            <w:vAlign w:val="bottom"/>
          </w:tcPr>
          <w:p>
            <w:pPr>
              <w:spacing w:after="0"/>
              <w:rPr>
                <w:sz w:val="9"/>
                <w:szCs w:val="9"/>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Charge for the year</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4,010</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3,487</w:t>
            </w:r>
          </w:p>
        </w:tc>
        <w:tc>
          <w:tcPr>
            <w:tcW w:w="18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Arial" w:cs="Arial" w:eastAsia="Arial" w:hAnsi="Arial"/>
                <w:sz w:val="10"/>
                <w:szCs w:val="10"/>
                <w:color w:val="auto"/>
              </w:rPr>
              <w:t>8,822</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79</w:t>
            </w:r>
          </w:p>
        </w:tc>
        <w:tc>
          <w:tcPr>
            <w:tcW w:w="180" w:type="dxa"/>
            <w:vAlign w:val="bottom"/>
          </w:tcPr>
          <w:p>
            <w:pPr>
              <w:spacing w:after="0"/>
              <w:rPr>
                <w:sz w:val="9"/>
                <w:szCs w:val="9"/>
                <w:color w:val="auto"/>
              </w:rPr>
            </w:pPr>
          </w:p>
        </w:tc>
        <w:tc>
          <w:tcPr>
            <w:tcW w:w="92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16,398</w:t>
            </w: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Disposal</w:t>
            </w:r>
          </w:p>
        </w:tc>
        <w:tc>
          <w:tcPr>
            <w:tcW w:w="98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(245)</w:t>
            </w:r>
          </w:p>
        </w:tc>
        <w:tc>
          <w:tcPr>
            <w:tcW w:w="9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(84)</w:t>
            </w:r>
          </w:p>
        </w:tc>
        <w:tc>
          <w:tcPr>
            <w:tcW w:w="9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(329)</w:t>
            </w:r>
          </w:p>
        </w:tc>
        <w:tc>
          <w:tcPr>
            <w:tcW w:w="20" w:type="dxa"/>
            <w:vAlign w:val="bottom"/>
          </w:tcPr>
          <w:p>
            <w:pPr>
              <w:spacing w:after="0"/>
              <w:rPr>
                <w:sz w:val="9"/>
                <w:szCs w:val="9"/>
                <w:color w:val="auto"/>
              </w:rPr>
            </w:pPr>
          </w:p>
        </w:tc>
      </w:tr>
      <w:tr>
        <w:trPr>
          <w:trHeight w:val="102"/>
        </w:trPr>
        <w:tc>
          <w:tcPr>
            <w:tcW w:w="3520" w:type="dxa"/>
            <w:vAlign w:val="bottom"/>
            <w:tcBorders>
              <w:bottom w:val="single" w:sz="8" w:color="CCEEFF"/>
            </w:tcBorders>
          </w:tcPr>
          <w:p>
            <w:pPr>
              <w:ind w:left="20"/>
              <w:spacing w:after="0" w:line="102" w:lineRule="exact"/>
              <w:rPr>
                <w:sz w:val="20"/>
                <w:szCs w:val="20"/>
                <w:color w:val="auto"/>
              </w:rPr>
            </w:pPr>
            <w:r>
              <w:rPr>
                <w:rFonts w:ascii="Arial" w:cs="Arial" w:eastAsia="Arial" w:hAnsi="Arial"/>
                <w:sz w:val="10"/>
                <w:szCs w:val="10"/>
                <w:color w:val="auto"/>
              </w:rPr>
              <w:t>At June 30, 2022</w:t>
            </w:r>
          </w:p>
        </w:tc>
        <w:tc>
          <w:tcPr>
            <w:tcW w:w="8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18,738</w:t>
            </w:r>
          </w:p>
        </w:tc>
        <w:tc>
          <w:tcPr>
            <w:tcW w:w="180" w:type="dxa"/>
            <w:vAlign w:val="bottom"/>
            <w:tcBorders>
              <w:bottom w:val="single" w:sz="8" w:color="CCEEFF"/>
            </w:tcBorders>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13,872</w:t>
            </w:r>
          </w:p>
        </w:tc>
        <w:tc>
          <w:tcPr>
            <w:tcW w:w="180" w:type="dxa"/>
            <w:vAlign w:val="bottom"/>
            <w:tcBorders>
              <w:bottom w:val="single" w:sz="8" w:color="CCEEFF"/>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51,076</w:t>
            </w:r>
          </w:p>
        </w:tc>
        <w:tc>
          <w:tcPr>
            <w:tcW w:w="180" w:type="dxa"/>
            <w:vAlign w:val="bottom"/>
            <w:tcBorders>
              <w:bottom w:val="single" w:sz="8" w:color="CCEEFF"/>
            </w:tcBorders>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349</w:t>
            </w:r>
          </w:p>
        </w:tc>
        <w:tc>
          <w:tcPr>
            <w:tcW w:w="180" w:type="dxa"/>
            <w:vAlign w:val="bottom"/>
            <w:tcBorders>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CCEEFF"/>
            </w:tcBorders>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84,035</w:t>
            </w:r>
          </w:p>
        </w:tc>
        <w:tc>
          <w:tcPr>
            <w:tcW w:w="20" w:type="dxa"/>
            <w:vAlign w:val="bottom"/>
          </w:tcPr>
          <w:p>
            <w:pPr>
              <w:spacing w:after="0"/>
              <w:rPr>
                <w:sz w:val="8"/>
                <w:szCs w:val="8"/>
                <w:color w:val="auto"/>
              </w:rPr>
            </w:pPr>
          </w:p>
        </w:tc>
      </w:tr>
      <w:tr>
        <w:trPr>
          <w:trHeight w:val="102"/>
        </w:trPr>
        <w:tc>
          <w:tcPr>
            <w:tcW w:w="35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b w:val="1"/>
                <w:bCs w:val="1"/>
                <w:color w:val="auto"/>
              </w:rPr>
              <w:t>Net book value</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At June 30, 2022</w:t>
            </w: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b w:val="1"/>
                <w:bCs w:val="1"/>
                <w:color w:val="auto"/>
              </w:rPr>
              <w:t>12,938</w:t>
            </w:r>
          </w:p>
        </w:tc>
        <w:tc>
          <w:tcPr>
            <w:tcW w:w="18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b w:val="1"/>
                <w:bCs w:val="1"/>
                <w:color w:val="auto"/>
              </w:rPr>
              <w:t>10,552</w:t>
            </w:r>
          </w:p>
        </w:tc>
        <w:tc>
          <w:tcPr>
            <w:tcW w:w="18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b w:val="1"/>
                <w:bCs w:val="1"/>
                <w:color w:val="auto"/>
              </w:rPr>
              <w:t>13,926</w:t>
            </w:r>
          </w:p>
        </w:tc>
        <w:tc>
          <w:tcPr>
            <w:tcW w:w="18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b w:val="1"/>
                <w:bCs w:val="1"/>
                <w:color w:val="auto"/>
              </w:rPr>
              <w:t>216</w:t>
            </w:r>
          </w:p>
        </w:tc>
        <w:tc>
          <w:tcPr>
            <w:tcW w:w="180" w:type="dxa"/>
            <w:vAlign w:val="bottom"/>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b w:val="1"/>
                <w:bCs w:val="1"/>
                <w:color w:val="auto"/>
              </w:rPr>
              <w:t>1,355</w:t>
            </w:r>
          </w:p>
        </w:tc>
        <w:tc>
          <w:tcPr>
            <w:tcW w:w="180" w:type="dxa"/>
            <w:vAlign w:val="bottom"/>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b w:val="1"/>
                <w:bCs w:val="1"/>
                <w:color w:val="auto"/>
              </w:rPr>
              <w:t>38,987</w:t>
            </w:r>
          </w:p>
        </w:tc>
        <w:tc>
          <w:tcPr>
            <w:tcW w:w="20" w:type="dxa"/>
            <w:vAlign w:val="bottom"/>
          </w:tcPr>
          <w:p>
            <w:pPr>
              <w:spacing w:after="0"/>
              <w:rPr>
                <w:sz w:val="9"/>
                <w:szCs w:val="9"/>
                <w:color w:val="auto"/>
              </w:rPr>
            </w:pPr>
          </w:p>
        </w:tc>
      </w:tr>
      <w:tr>
        <w:trPr>
          <w:trHeight w:val="142"/>
        </w:trPr>
        <w:tc>
          <w:tcPr>
            <w:tcW w:w="3520" w:type="dxa"/>
            <w:vAlign w:val="bottom"/>
            <w:tcBorders>
              <w:bottom w:val="single" w:sz="8" w:color="CCEEFF"/>
            </w:tcBorders>
          </w:tcPr>
          <w:p>
            <w:pPr>
              <w:ind w:left="20"/>
              <w:spacing w:after="0" w:line="102" w:lineRule="exact"/>
              <w:rPr>
                <w:sz w:val="20"/>
                <w:szCs w:val="20"/>
                <w:color w:val="auto"/>
              </w:rPr>
            </w:pPr>
            <w:r>
              <w:rPr>
                <w:rFonts w:ascii="Arial" w:cs="Arial" w:eastAsia="Arial" w:hAnsi="Arial"/>
                <w:sz w:val="10"/>
                <w:szCs w:val="10"/>
                <w:color w:val="auto"/>
              </w:rPr>
              <w:t>At June 30, 2021</w:t>
            </w:r>
          </w:p>
        </w:tc>
        <w:tc>
          <w:tcPr>
            <w:tcW w:w="8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7,427</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10,854</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11,231</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224</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1,092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30,828</w:t>
            </w:r>
          </w:p>
        </w:tc>
        <w:tc>
          <w:tcPr>
            <w:tcW w:w="20" w:type="dxa"/>
            <w:vAlign w:val="bottom"/>
          </w:tcPr>
          <w:p>
            <w:pPr>
              <w:spacing w:after="0"/>
              <w:rPr>
                <w:sz w:val="12"/>
                <w:szCs w:val="12"/>
                <w:color w:val="auto"/>
              </w:rPr>
            </w:pPr>
          </w:p>
        </w:tc>
      </w:tr>
      <w:tr>
        <w:trPr>
          <w:trHeight w:val="84"/>
        </w:trPr>
        <w:tc>
          <w:tcPr>
            <w:tcW w:w="35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b w:val="1"/>
                <w:bCs w:val="1"/>
                <w:color w:val="auto"/>
              </w:rPr>
              <w:t>Cost</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At July 1, 2020</w:t>
            </w: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16,016</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12,010</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41,805</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333</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741</w:t>
            </w: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70,905</w:t>
            </w:r>
          </w:p>
        </w:tc>
        <w:tc>
          <w:tcPr>
            <w:tcW w:w="20" w:type="dxa"/>
            <w:vAlign w:val="bottom"/>
          </w:tcPr>
          <w:p>
            <w:pPr>
              <w:spacing w:after="0"/>
              <w:rPr>
                <w:sz w:val="9"/>
                <w:szCs w:val="9"/>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Additions</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4,775</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4,448</w:t>
            </w:r>
          </w:p>
        </w:tc>
        <w:tc>
          <w:tcPr>
            <w:tcW w:w="18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Arial" w:cs="Arial" w:eastAsia="Arial" w:hAnsi="Arial"/>
                <w:sz w:val="10"/>
                <w:szCs w:val="10"/>
                <w:color w:val="auto"/>
              </w:rPr>
              <w:t>10,287</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298</w:t>
            </w:r>
          </w:p>
        </w:tc>
        <w:tc>
          <w:tcPr>
            <w:tcW w:w="1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Arial" w:cs="Arial" w:eastAsia="Arial" w:hAnsi="Arial"/>
                <w:sz w:val="10"/>
                <w:szCs w:val="10"/>
                <w:color w:val="auto"/>
              </w:rPr>
              <w:t>1,092</w:t>
            </w:r>
          </w:p>
        </w:tc>
        <w:tc>
          <w:tcPr>
            <w:tcW w:w="1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20,900</w:t>
            </w: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Transfer from CWIP</w:t>
            </w: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248</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440</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53</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(741)</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Transfer from right of use asset</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1,123</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4,434</w:t>
            </w:r>
          </w:p>
        </w:tc>
        <w:tc>
          <w:tcPr>
            <w:tcW w:w="18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Arial" w:cs="Arial" w:eastAsia="Arial" w:hAnsi="Arial"/>
                <w:sz w:val="10"/>
                <w:szCs w:val="10"/>
                <w:color w:val="auto"/>
              </w:rPr>
              <w:t>1,629</w:t>
            </w:r>
          </w:p>
        </w:tc>
        <w:tc>
          <w:tcPr>
            <w:tcW w:w="180" w:type="dxa"/>
            <w:vAlign w:val="bottom"/>
          </w:tcPr>
          <w:p>
            <w:pPr>
              <w:spacing w:after="0"/>
              <w:rPr>
                <w:sz w:val="9"/>
                <w:szCs w:val="9"/>
                <w:color w:val="auto"/>
              </w:rPr>
            </w:pPr>
          </w:p>
        </w:tc>
        <w:tc>
          <w:tcPr>
            <w:tcW w:w="9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7,186</w:t>
            </w: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Foreign exchange movements</w:t>
            </w:r>
          </w:p>
        </w:tc>
        <w:tc>
          <w:tcPr>
            <w:tcW w:w="9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(7)</w:t>
            </w:r>
          </w:p>
        </w:tc>
        <w:tc>
          <w:tcPr>
            <w:tcW w:w="9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(83)</w:t>
            </w:r>
          </w:p>
        </w:tc>
        <w:tc>
          <w:tcPr>
            <w:tcW w:w="7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(11)</w:t>
            </w:r>
          </w:p>
        </w:tc>
        <w:tc>
          <w:tcPr>
            <w:tcW w:w="9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(71)</w:t>
            </w:r>
          </w:p>
        </w:tc>
        <w:tc>
          <w:tcPr>
            <w:tcW w:w="20" w:type="dxa"/>
            <w:vAlign w:val="bottom"/>
          </w:tcPr>
          <w:p>
            <w:pPr>
              <w:spacing w:after="0"/>
              <w:rPr>
                <w:sz w:val="9"/>
                <w:szCs w:val="9"/>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Disposal</w:t>
            </w:r>
          </w:p>
        </w:tc>
        <w:tc>
          <w:tcPr>
            <w:tcW w:w="98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(10)</w:t>
            </w:r>
          </w:p>
        </w:tc>
        <w:tc>
          <w:tcPr>
            <w:tcW w:w="9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(74)</w:t>
            </w:r>
          </w:p>
        </w:tc>
        <w:tc>
          <w:tcPr>
            <w:tcW w:w="9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(42)</w:t>
            </w:r>
          </w:p>
        </w:tc>
        <w:tc>
          <w:tcPr>
            <w:tcW w:w="92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(126)</w:t>
            </w:r>
          </w:p>
        </w:tc>
        <w:tc>
          <w:tcPr>
            <w:tcW w:w="20" w:type="dxa"/>
            <w:vAlign w:val="bottom"/>
          </w:tcPr>
          <w:p>
            <w:pPr>
              <w:spacing w:after="0"/>
              <w:rPr>
                <w:sz w:val="9"/>
                <w:szCs w:val="9"/>
                <w:color w:val="auto"/>
              </w:rPr>
            </w:pPr>
          </w:p>
        </w:tc>
      </w:tr>
      <w:tr>
        <w:trPr>
          <w:trHeight w:val="102"/>
        </w:trPr>
        <w:tc>
          <w:tcPr>
            <w:tcW w:w="352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0"/>
                <w:szCs w:val="10"/>
                <w:color w:val="auto"/>
              </w:rPr>
              <w:t>At June 30, 2021</w:t>
            </w:r>
          </w:p>
        </w:tc>
        <w:tc>
          <w:tcPr>
            <w:tcW w:w="8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22,155</w:t>
            </w: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21,239</w:t>
            </w:r>
          </w:p>
        </w:tc>
        <w:tc>
          <w:tcPr>
            <w:tcW w:w="1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53,730</w:t>
            </w: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578</w:t>
            </w:r>
          </w:p>
        </w:tc>
        <w:tc>
          <w:tcPr>
            <w:tcW w:w="1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1,092</w:t>
            </w: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98,794</w:t>
            </w:r>
          </w:p>
        </w:tc>
        <w:tc>
          <w:tcPr>
            <w:tcW w:w="20" w:type="dxa"/>
            <w:vAlign w:val="bottom"/>
          </w:tcPr>
          <w:p>
            <w:pPr>
              <w:spacing w:after="0"/>
              <w:rPr>
                <w:sz w:val="8"/>
                <w:szCs w:val="8"/>
                <w:color w:val="auto"/>
              </w:rPr>
            </w:pPr>
          </w:p>
        </w:tc>
      </w:tr>
      <w:tr>
        <w:trPr>
          <w:trHeight w:val="102"/>
        </w:trPr>
        <w:tc>
          <w:tcPr>
            <w:tcW w:w="3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b w:val="1"/>
                <w:bCs w:val="1"/>
                <w:color w:val="auto"/>
              </w:rPr>
              <w:t>Accumulated depreciation</w:t>
            </w: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At July 1, 2020</w:t>
            </w:r>
          </w:p>
        </w:tc>
        <w:tc>
          <w:tcPr>
            <w:tcW w:w="800" w:type="dxa"/>
            <w:vAlign w:val="bottom"/>
          </w:tcPr>
          <w:p>
            <w:pPr>
              <w:jc w:val="right"/>
              <w:spacing w:after="0" w:line="111" w:lineRule="exact"/>
              <w:rPr>
                <w:sz w:val="20"/>
                <w:szCs w:val="20"/>
                <w:color w:val="auto"/>
              </w:rPr>
            </w:pPr>
            <w:r>
              <w:rPr>
                <w:rFonts w:ascii="Arial" w:cs="Arial" w:eastAsia="Arial" w:hAnsi="Arial"/>
                <w:sz w:val="10"/>
                <w:szCs w:val="10"/>
                <w:color w:val="auto"/>
              </w:rPr>
              <w:t>12,236</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8,099</w:t>
            </w:r>
          </w:p>
        </w:tc>
        <w:tc>
          <w:tcPr>
            <w:tcW w:w="18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Arial" w:cs="Arial" w:eastAsia="Arial" w:hAnsi="Arial"/>
                <w:sz w:val="10"/>
                <w:szCs w:val="10"/>
                <w:color w:val="auto"/>
              </w:rPr>
              <w:t>36,892</w:t>
            </w:r>
          </w:p>
        </w:tc>
        <w:tc>
          <w:tcPr>
            <w:tcW w:w="18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0"/>
                <w:szCs w:val="10"/>
                <w:color w:val="auto"/>
              </w:rPr>
              <w:t>333</w:t>
            </w:r>
          </w:p>
        </w:tc>
        <w:tc>
          <w:tcPr>
            <w:tcW w:w="180" w:type="dxa"/>
            <w:vAlign w:val="bottom"/>
          </w:tcPr>
          <w:p>
            <w:pPr>
              <w:spacing w:after="0"/>
              <w:rPr>
                <w:sz w:val="9"/>
                <w:szCs w:val="9"/>
                <w:color w:val="auto"/>
              </w:rPr>
            </w:pPr>
          </w:p>
        </w:tc>
        <w:tc>
          <w:tcPr>
            <w:tcW w:w="92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57,560</w:t>
            </w:r>
          </w:p>
        </w:tc>
        <w:tc>
          <w:tcPr>
            <w:tcW w:w="20" w:type="dxa"/>
            <w:vAlign w:val="bottom"/>
          </w:tcPr>
          <w:p>
            <w:pPr>
              <w:spacing w:after="0"/>
              <w:rPr>
                <w:sz w:val="9"/>
                <w:szCs w:val="9"/>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Charge for the year</w:t>
            </w: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2,492</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2,296</w:t>
            </w: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5,681</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53</w:t>
            </w:r>
          </w:p>
        </w:tc>
        <w:tc>
          <w:tcPr>
            <w:tcW w:w="1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10,522</w:t>
            </w:r>
          </w:p>
        </w:tc>
        <w:tc>
          <w:tcPr>
            <w:tcW w:w="20" w:type="dxa"/>
            <w:vAlign w:val="bottom"/>
          </w:tcPr>
          <w:p>
            <w:pPr>
              <w:spacing w:after="0"/>
              <w:rPr>
                <w:sz w:val="9"/>
                <w:szCs w:val="9"/>
                <w:color w:val="auto"/>
              </w:rPr>
            </w:pPr>
          </w:p>
        </w:tc>
      </w:tr>
      <w:tr>
        <w:trPr>
          <w:trHeight w:val="111"/>
        </w:trPr>
        <w:tc>
          <w:tcPr>
            <w:tcW w:w="3520" w:type="dxa"/>
            <w:vAlign w:val="bottom"/>
          </w:tcPr>
          <w:p>
            <w:pPr>
              <w:ind w:left="20"/>
              <w:spacing w:after="0" w:line="111" w:lineRule="exact"/>
              <w:rPr>
                <w:sz w:val="20"/>
                <w:szCs w:val="20"/>
                <w:color w:val="auto"/>
              </w:rPr>
            </w:pPr>
            <w:r>
              <w:rPr>
                <w:rFonts w:ascii="Arial" w:cs="Arial" w:eastAsia="Arial" w:hAnsi="Arial"/>
                <w:sz w:val="10"/>
                <w:szCs w:val="10"/>
                <w:color w:val="auto"/>
              </w:rPr>
              <w:t>Disposal</w:t>
            </w:r>
          </w:p>
        </w:tc>
        <w:tc>
          <w:tcPr>
            <w:tcW w:w="98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(10)</w:t>
            </w:r>
          </w:p>
        </w:tc>
        <w:tc>
          <w:tcPr>
            <w:tcW w:w="9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(74)</w:t>
            </w:r>
          </w:p>
        </w:tc>
        <w:tc>
          <w:tcPr>
            <w:tcW w:w="9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(32)</w:t>
            </w:r>
          </w:p>
        </w:tc>
        <w:tc>
          <w:tcPr>
            <w:tcW w:w="92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(116)</w:t>
            </w:r>
          </w:p>
        </w:tc>
        <w:tc>
          <w:tcPr>
            <w:tcW w:w="20" w:type="dxa"/>
            <w:vAlign w:val="bottom"/>
          </w:tcPr>
          <w:p>
            <w:pPr>
              <w:spacing w:after="0"/>
              <w:rPr>
                <w:sz w:val="9"/>
                <w:szCs w:val="9"/>
                <w:color w:val="auto"/>
              </w:rPr>
            </w:pPr>
          </w:p>
        </w:tc>
      </w:tr>
      <w:tr>
        <w:trPr>
          <w:trHeight w:val="102"/>
        </w:trPr>
        <w:tc>
          <w:tcPr>
            <w:tcW w:w="352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0"/>
                <w:szCs w:val="10"/>
                <w:color w:val="auto"/>
              </w:rPr>
              <w:t>At June 30, 2021</w:t>
            </w:r>
          </w:p>
        </w:tc>
        <w:tc>
          <w:tcPr>
            <w:tcW w:w="8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14,728</w:t>
            </w: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10,385</w:t>
            </w:r>
          </w:p>
        </w:tc>
        <w:tc>
          <w:tcPr>
            <w:tcW w:w="1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42,499</w:t>
            </w: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354</w:t>
            </w:r>
          </w:p>
        </w:tc>
        <w:tc>
          <w:tcPr>
            <w:tcW w:w="1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67,966</w:t>
            </w:r>
          </w:p>
        </w:tc>
        <w:tc>
          <w:tcPr>
            <w:tcW w:w="20" w:type="dxa"/>
            <w:vAlign w:val="bottom"/>
          </w:tcPr>
          <w:p>
            <w:pPr>
              <w:spacing w:after="0"/>
              <w:rPr>
                <w:sz w:val="8"/>
                <w:szCs w:val="8"/>
                <w:color w:val="auto"/>
              </w:rPr>
            </w:pPr>
          </w:p>
        </w:tc>
      </w:tr>
      <w:tr>
        <w:trPr>
          <w:trHeight w:val="102"/>
        </w:trPr>
        <w:tc>
          <w:tcPr>
            <w:tcW w:w="3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1"/>
        </w:trPr>
        <w:tc>
          <w:tcPr>
            <w:tcW w:w="35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b w:val="1"/>
                <w:bCs w:val="1"/>
                <w:color w:val="auto"/>
              </w:rPr>
              <w:t>Net book value</w:t>
            </w: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1"/>
        </w:trPr>
        <w:tc>
          <w:tcPr>
            <w:tcW w:w="3520" w:type="dxa"/>
            <w:vAlign w:val="bottom"/>
            <w:tcBorders>
              <w:bottom w:val="single" w:sz="8" w:color="CCEEFF"/>
            </w:tcBorders>
          </w:tcPr>
          <w:p>
            <w:pPr>
              <w:ind w:left="20"/>
              <w:spacing w:after="0" w:line="111" w:lineRule="exact"/>
              <w:rPr>
                <w:sz w:val="20"/>
                <w:szCs w:val="20"/>
                <w:color w:val="auto"/>
              </w:rPr>
            </w:pPr>
            <w:r>
              <w:rPr>
                <w:rFonts w:ascii="Arial" w:cs="Arial" w:eastAsia="Arial" w:hAnsi="Arial"/>
                <w:sz w:val="10"/>
                <w:szCs w:val="10"/>
                <w:color w:val="auto"/>
              </w:rPr>
              <w:t>At June 30, 2021</w:t>
            </w:r>
          </w:p>
        </w:tc>
        <w:tc>
          <w:tcPr>
            <w:tcW w:w="80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7,427</w:t>
            </w: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10,854</w:t>
            </w:r>
          </w:p>
        </w:tc>
        <w:tc>
          <w:tcPr>
            <w:tcW w:w="18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11,231</w:t>
            </w: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224</w:t>
            </w:r>
          </w:p>
        </w:tc>
        <w:tc>
          <w:tcPr>
            <w:tcW w:w="18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1,092</w:t>
            </w:r>
          </w:p>
        </w:tc>
        <w:tc>
          <w:tcPr>
            <w:tcW w:w="18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30,828</w:t>
            </w:r>
          </w:p>
        </w:tc>
        <w:tc>
          <w:tcPr>
            <w:tcW w:w="20" w:type="dxa"/>
            <w:vAlign w:val="bottom"/>
          </w:tcPr>
          <w:p>
            <w:pPr>
              <w:spacing w:after="0"/>
              <w:rPr>
                <w:sz w:val="9"/>
                <w:szCs w:val="9"/>
                <w:color w:val="auto"/>
              </w:rPr>
            </w:pPr>
          </w:p>
        </w:tc>
      </w:tr>
      <w:tr>
        <w:trPr>
          <w:trHeight w:val="102"/>
        </w:trPr>
        <w:tc>
          <w:tcPr>
            <w:tcW w:w="3520" w:type="dxa"/>
            <w:vAlign w:val="bottom"/>
            <w:tcBorders>
              <w:bottom w:val="single" w:sz="8" w:color="CCEEFF"/>
            </w:tcBorders>
            <w:shd w:val="clear" w:color="auto" w:fill="CCEEFF"/>
          </w:tcPr>
          <w:p>
            <w:pPr>
              <w:ind w:left="20"/>
              <w:spacing w:after="0" w:line="102" w:lineRule="exact"/>
              <w:rPr>
                <w:sz w:val="20"/>
                <w:szCs w:val="20"/>
                <w:color w:val="auto"/>
              </w:rPr>
            </w:pPr>
            <w:r>
              <w:rPr>
                <w:rFonts w:ascii="Arial" w:cs="Arial" w:eastAsia="Arial" w:hAnsi="Arial"/>
                <w:sz w:val="10"/>
                <w:szCs w:val="10"/>
                <w:color w:val="auto"/>
              </w:rPr>
              <w:t>At June 30, 2020</w:t>
            </w:r>
          </w:p>
        </w:tc>
        <w:tc>
          <w:tcPr>
            <w:tcW w:w="80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3,780</w:t>
            </w:r>
          </w:p>
        </w:tc>
        <w:tc>
          <w:tcPr>
            <w:tcW w:w="1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3,911</w:t>
            </w:r>
          </w:p>
        </w:tc>
        <w:tc>
          <w:tcPr>
            <w:tcW w:w="18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4,913</w:t>
            </w:r>
          </w:p>
        </w:tc>
        <w:tc>
          <w:tcPr>
            <w:tcW w:w="1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741</w:t>
            </w:r>
          </w:p>
        </w:tc>
        <w:tc>
          <w:tcPr>
            <w:tcW w:w="1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13,345</w:t>
            </w:r>
          </w:p>
        </w:tc>
        <w:tc>
          <w:tcPr>
            <w:tcW w:w="20" w:type="dxa"/>
            <w:vAlign w:val="bottom"/>
          </w:tcPr>
          <w:p>
            <w:pPr>
              <w:spacing w:after="0"/>
              <w:rPr>
                <w:sz w:val="8"/>
                <w:szCs w:val="8"/>
                <w:color w:val="auto"/>
              </w:rPr>
            </w:pPr>
          </w:p>
        </w:tc>
      </w:tr>
      <w:tr>
        <w:trPr>
          <w:trHeight w:val="20"/>
        </w:trPr>
        <w:tc>
          <w:tcPr>
            <w:tcW w:w="3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 impairment of property, plant and equipment was recorded in the years ending June 30, 2022, 2021 and 2020.</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60" w:type="dxa"/>
            <w:vAlign w:val="bottom"/>
          </w:tcPr>
          <w:p>
            <w:pPr>
              <w:ind w:left="20"/>
              <w:spacing w:after="0"/>
              <w:rPr>
                <w:sz w:val="20"/>
                <w:szCs w:val="20"/>
                <w:color w:val="auto"/>
              </w:rPr>
            </w:pPr>
            <w:r>
              <w:rPr>
                <w:rFonts w:ascii="Arial" w:cs="Arial" w:eastAsia="Arial" w:hAnsi="Arial"/>
                <w:sz w:val="15"/>
                <w:szCs w:val="15"/>
                <w:b w:val="1"/>
                <w:bCs w:val="1"/>
                <w:color w:val="auto"/>
              </w:rPr>
              <w:t>6.1.</w:t>
            </w:r>
          </w:p>
        </w:tc>
        <w:tc>
          <w:tcPr>
            <w:tcW w:w="3180" w:type="dxa"/>
            <w:vAlign w:val="bottom"/>
          </w:tcPr>
          <w:p>
            <w:pPr>
              <w:ind w:left="100"/>
              <w:spacing w:after="0"/>
              <w:rPr>
                <w:sz w:val="20"/>
                <w:szCs w:val="20"/>
                <w:color w:val="auto"/>
              </w:rPr>
            </w:pPr>
            <w:r>
              <w:rPr>
                <w:rFonts w:ascii="Arial" w:cs="Arial" w:eastAsia="Arial" w:hAnsi="Arial"/>
                <w:sz w:val="15"/>
                <w:szCs w:val="15"/>
                <w:color w:val="auto"/>
              </w:rPr>
              <w:t>Right of use assets comprise of:</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jc w:val="center"/>
              <w:ind w:right="220"/>
              <w:spacing w:after="0" w:line="116" w:lineRule="exact"/>
              <w:rPr>
                <w:sz w:val="20"/>
                <w:szCs w:val="20"/>
                <w:color w:val="auto"/>
              </w:rPr>
            </w:pPr>
            <w:r>
              <w:rPr>
                <w:rFonts w:ascii="Arial" w:cs="Arial" w:eastAsia="Arial" w:hAnsi="Arial"/>
                <w:sz w:val="12"/>
                <w:szCs w:val="12"/>
                <w:b w:val="1"/>
                <w:bCs w:val="1"/>
                <w:color w:val="auto"/>
                <w:w w:val="99"/>
              </w:rPr>
              <w:t>Furniture,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Facility</w:t>
            </w:r>
          </w:p>
        </w:tc>
        <w:tc>
          <w:tcPr>
            <w:tcW w:w="118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7"/>
              </w:rPr>
              <w:t>Leasehold</w:t>
            </w:r>
          </w:p>
        </w:tc>
        <w:tc>
          <w:tcPr>
            <w:tcW w:w="980" w:type="dxa"/>
            <w:vAlign w:val="bottom"/>
            <w:gridSpan w:val="3"/>
          </w:tcPr>
          <w:p>
            <w:pPr>
              <w:jc w:val="center"/>
              <w:ind w:right="220"/>
              <w:spacing w:after="0" w:line="133" w:lineRule="exact"/>
              <w:rPr>
                <w:sz w:val="20"/>
                <w:szCs w:val="20"/>
                <w:color w:val="auto"/>
              </w:rPr>
            </w:pPr>
            <w:r>
              <w:rPr>
                <w:rFonts w:ascii="Arial" w:cs="Arial" w:eastAsia="Arial" w:hAnsi="Arial"/>
                <w:sz w:val="12"/>
                <w:szCs w:val="12"/>
                <w:b w:val="1"/>
                <w:bCs w:val="1"/>
                <w:color w:val="auto"/>
                <w:w w:val="97"/>
              </w:rPr>
              <w:t>fixture and</w:t>
            </w:r>
          </w:p>
        </w:tc>
        <w:tc>
          <w:tcPr>
            <w:tcW w:w="740" w:type="dxa"/>
            <w:vAlign w:val="bottom"/>
            <w:gridSpan w:val="3"/>
          </w:tcPr>
          <w:p>
            <w:pPr>
              <w:jc w:val="right"/>
              <w:ind w:right="140"/>
              <w:spacing w:after="0" w:line="133" w:lineRule="exact"/>
              <w:rPr>
                <w:sz w:val="20"/>
                <w:szCs w:val="20"/>
                <w:color w:val="auto"/>
              </w:rPr>
            </w:pPr>
            <w:r>
              <w:rPr>
                <w:rFonts w:ascii="Arial" w:cs="Arial" w:eastAsia="Arial" w:hAnsi="Arial"/>
                <w:sz w:val="12"/>
                <w:szCs w:val="12"/>
                <w:b w:val="1"/>
                <w:bCs w:val="1"/>
                <w:color w:val="auto"/>
              </w:rPr>
              <w:t>Computer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Leases</w:t>
            </w:r>
          </w:p>
        </w:tc>
        <w:tc>
          <w:tcPr>
            <w:tcW w:w="11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Improvements</w:t>
            </w:r>
          </w:p>
        </w:tc>
        <w:tc>
          <w:tcPr>
            <w:tcW w:w="9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8"/>
              </w:rPr>
              <w:t>equipment</w:t>
            </w:r>
          </w:p>
        </w:tc>
        <w:tc>
          <w:tcPr>
            <w:tcW w:w="7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6"/>
              </w:rPr>
              <w:t>Equipment</w:t>
            </w:r>
          </w:p>
        </w:tc>
        <w:tc>
          <w:tcPr>
            <w:tcW w:w="120" w:type="dxa"/>
            <w:vAlign w:val="bottom"/>
          </w:tcPr>
          <w:p>
            <w:pPr>
              <w:spacing w:after="0"/>
              <w:rPr>
                <w:sz w:val="12"/>
                <w:szCs w:val="12"/>
                <w:color w:val="auto"/>
              </w:rPr>
            </w:pPr>
          </w:p>
        </w:tc>
        <w:tc>
          <w:tcPr>
            <w:tcW w:w="860" w:type="dxa"/>
            <w:vAlign w:val="bottom"/>
            <w:gridSpan w:val="4"/>
          </w:tcPr>
          <w:p>
            <w:pPr>
              <w:ind w:left="120"/>
              <w:spacing w:after="0"/>
              <w:rPr>
                <w:sz w:val="20"/>
                <w:szCs w:val="20"/>
                <w:color w:val="auto"/>
              </w:rPr>
            </w:pPr>
            <w:r>
              <w:rPr>
                <w:rFonts w:ascii="Arial" w:cs="Arial" w:eastAsia="Arial" w:hAnsi="Arial"/>
                <w:sz w:val="12"/>
                <w:szCs w:val="12"/>
                <w:b w:val="1"/>
                <w:bCs w:val="1"/>
                <w:color w:val="auto"/>
              </w:rPr>
              <w:t>Vehicles</w:t>
            </w:r>
          </w:p>
        </w:tc>
        <w:tc>
          <w:tcPr>
            <w:tcW w:w="72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4"/>
        </w:trPr>
        <w:tc>
          <w:tcPr>
            <w:tcW w:w="360" w:type="dxa"/>
            <w:vAlign w:val="bottom"/>
            <w:tcBorders>
              <w:top w:val="single" w:sz="8" w:color="auto"/>
              <w:bottom w:val="single" w:sz="8" w:color="auto"/>
            </w:tcBorders>
          </w:tcPr>
          <w:p>
            <w:pPr>
              <w:spacing w:after="0"/>
              <w:rPr>
                <w:sz w:val="10"/>
                <w:szCs w:val="10"/>
                <w:color w:val="auto"/>
              </w:rPr>
            </w:pPr>
          </w:p>
        </w:tc>
        <w:tc>
          <w:tcPr>
            <w:tcW w:w="3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gridSpan w:val="3"/>
          </w:tcPr>
          <w:p>
            <w:pPr>
              <w:ind w:left="440"/>
              <w:spacing w:after="0" w:line="124" w:lineRule="exact"/>
              <w:rPr>
                <w:sz w:val="20"/>
                <w:szCs w:val="20"/>
                <w:color w:val="auto"/>
              </w:rPr>
            </w:pPr>
            <w:r>
              <w:rPr>
                <w:rFonts w:ascii="Arial" w:cs="Arial" w:eastAsia="Arial" w:hAnsi="Arial"/>
                <w:sz w:val="12"/>
                <w:szCs w:val="12"/>
                <w:b w:val="1"/>
                <w:bCs w:val="1"/>
                <w:color w:val="auto"/>
                <w:w w:val="95"/>
              </w:rPr>
              <w:t>(US$’000)</w:t>
            </w:r>
          </w:p>
        </w:tc>
        <w:tc>
          <w:tcPr>
            <w:tcW w:w="64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540" w:type="dxa"/>
            <w:vAlign w:val="bottom"/>
            <w:gridSpan w:val="2"/>
            <w:shd w:val="clear" w:color="auto" w:fill="CCEEFF"/>
          </w:tcPr>
          <w:p>
            <w:pPr>
              <w:ind w:left="20"/>
              <w:spacing w:after="0" w:line="124" w:lineRule="exact"/>
              <w:rPr>
                <w:sz w:val="20"/>
                <w:szCs w:val="20"/>
                <w:color w:val="auto"/>
              </w:rPr>
            </w:pPr>
            <w:r>
              <w:rPr>
                <w:rFonts w:ascii="Arial" w:cs="Arial" w:eastAsia="Arial" w:hAnsi="Arial"/>
                <w:sz w:val="12"/>
                <w:szCs w:val="12"/>
                <w:b w:val="1"/>
                <w:bCs w:val="1"/>
                <w:color w:val="auto"/>
              </w:rPr>
              <w:t>Right-of-use assets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Balance at July 1, 2021</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74,748</w:t>
            </w:r>
          </w:p>
        </w:tc>
        <w:tc>
          <w:tcPr>
            <w:tcW w:w="14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439</w:t>
            </w:r>
          </w:p>
        </w:tc>
        <w:tc>
          <w:tcPr>
            <w:tcW w:w="160" w:type="dxa"/>
            <w:vAlign w:val="bottom"/>
          </w:tcPr>
          <w:p>
            <w:pPr>
              <w:spacing w:after="0"/>
              <w:rPr>
                <w:sz w:val="11"/>
                <w:szCs w:val="11"/>
                <w:color w:val="auto"/>
              </w:rPr>
            </w:pPr>
          </w:p>
        </w:tc>
        <w:tc>
          <w:tcPr>
            <w:tcW w:w="980" w:type="dxa"/>
            <w:vAlign w:val="bottom"/>
            <w:gridSpan w:val="3"/>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432</w:t>
            </w:r>
          </w:p>
        </w:tc>
        <w:tc>
          <w:tcPr>
            <w:tcW w:w="40" w:type="dxa"/>
            <w:vAlign w:val="bottom"/>
          </w:tcPr>
          <w:p>
            <w:pPr>
              <w:spacing w:after="0"/>
              <w:rPr>
                <w:sz w:val="11"/>
                <w:szCs w:val="11"/>
                <w:color w:val="auto"/>
              </w:rPr>
            </w:pPr>
          </w:p>
        </w:tc>
        <w:tc>
          <w:tcPr>
            <w:tcW w:w="820" w:type="dxa"/>
            <w:vAlign w:val="bottom"/>
            <w:gridSpan w:val="3"/>
          </w:tcPr>
          <w:p>
            <w:pPr>
              <w:jc w:val="right"/>
              <w:ind w:right="40"/>
              <w:spacing w:after="0" w:line="133" w:lineRule="exact"/>
              <w:rPr>
                <w:sz w:val="20"/>
                <w:szCs w:val="20"/>
                <w:color w:val="auto"/>
              </w:rPr>
            </w:pPr>
            <w:r>
              <w:rPr>
                <w:rFonts w:ascii="Arial" w:cs="Arial" w:eastAsia="Arial" w:hAnsi="Arial"/>
                <w:sz w:val="12"/>
                <w:szCs w:val="12"/>
                <w:color w:val="auto"/>
              </w:rPr>
              <w:t>256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75,875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Additions</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23,470</w:t>
            </w: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23,922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Disposal - net of depreciation</w:t>
            </w: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(441)</w:t>
            </w:r>
          </w:p>
        </w:tc>
        <w:tc>
          <w:tcPr>
            <w:tcW w:w="11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3"/>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gridSpan w:val="4"/>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(441)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Transferred to owned</w:t>
            </w:r>
          </w:p>
        </w:tc>
        <w:tc>
          <w:tcPr>
            <w:tcW w:w="8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(354)</w:t>
            </w:r>
          </w:p>
        </w:tc>
        <w:tc>
          <w:tcPr>
            <w:tcW w:w="980" w:type="dxa"/>
            <w:vAlign w:val="bottom"/>
            <w:gridSpan w:val="3"/>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4"/>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Foreign exchange movements</w:t>
            </w: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(4,843)</w:t>
            </w:r>
          </w:p>
        </w:tc>
        <w:tc>
          <w:tcPr>
            <w:tcW w:w="11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3"/>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4"/>
          </w:tcPr>
          <w:p>
            <w:pPr>
              <w:jc w:val="right"/>
              <w:ind w:right="80"/>
              <w:spacing w:after="0" w:line="133" w:lineRule="exact"/>
              <w:rPr>
                <w:sz w:val="20"/>
                <w:szCs w:val="20"/>
                <w:color w:val="auto"/>
              </w:rPr>
            </w:pPr>
            <w:r>
              <w:rPr>
                <w:rFonts w:ascii="Arial" w:cs="Arial" w:eastAsia="Arial" w:hAnsi="Arial"/>
                <w:sz w:val="12"/>
                <w:szCs w:val="12"/>
                <w:color w:val="auto"/>
              </w:rPr>
              <w:t>(28)</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(4,871)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Depreciation charge for the year</w:t>
            </w:r>
          </w:p>
        </w:tc>
        <w:tc>
          <w:tcPr>
            <w:tcW w:w="8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(15,967)</w:t>
            </w:r>
          </w:p>
        </w:tc>
        <w:tc>
          <w:tcPr>
            <w:tcW w:w="11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(60)</w:t>
            </w:r>
          </w:p>
        </w:tc>
        <w:tc>
          <w:tcPr>
            <w:tcW w:w="980" w:type="dxa"/>
            <w:vAlign w:val="bottom"/>
            <w:gridSpan w:val="3"/>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(236)</w:t>
            </w:r>
          </w:p>
        </w:tc>
        <w:tc>
          <w:tcPr>
            <w:tcW w:w="900" w:type="dxa"/>
            <w:vAlign w:val="bottom"/>
            <w:gridSpan w:val="4"/>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(176)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(16,439)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540" w:type="dxa"/>
            <w:vAlign w:val="bottom"/>
            <w:tcBorders>
              <w:bottom w:val="single" w:sz="8" w:color="CCEEFF"/>
            </w:tcBorders>
            <w:gridSpan w:val="2"/>
          </w:tcPr>
          <w:p>
            <w:pPr>
              <w:ind w:left="20"/>
              <w:spacing w:after="0" w:line="124" w:lineRule="exact"/>
              <w:rPr>
                <w:sz w:val="20"/>
                <w:szCs w:val="20"/>
                <w:color w:val="auto"/>
              </w:rPr>
            </w:pPr>
            <w:r>
              <w:rPr>
                <w:rFonts w:ascii="Arial" w:cs="Arial" w:eastAsia="Arial" w:hAnsi="Arial"/>
                <w:sz w:val="12"/>
                <w:szCs w:val="12"/>
                <w:b w:val="1"/>
                <w:bCs w:val="1"/>
                <w:color w:val="auto"/>
              </w:rPr>
              <w:t>Balance at June 30, 2022</w:t>
            </w: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76,967</w:t>
            </w:r>
          </w:p>
        </w:tc>
        <w:tc>
          <w:tcPr>
            <w:tcW w:w="14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25</w:t>
            </w:r>
          </w:p>
        </w:tc>
        <w:tc>
          <w:tcPr>
            <w:tcW w:w="16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1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b w:val="1"/>
                <w:bCs w:val="1"/>
                <w:color w:val="auto"/>
              </w:rPr>
              <w:t>196</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b w:val="1"/>
                <w:bCs w:val="1"/>
                <w:color w:val="auto"/>
              </w:rPr>
              <w:t>454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77,642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0" w:type="dxa"/>
            <w:vAlign w:val="bottom"/>
            <w:shd w:val="clear" w:color="auto" w:fill="CCEEFF"/>
          </w:tcPr>
          <w:p>
            <w:pPr>
              <w:spacing w:after="0"/>
              <w:rPr>
                <w:sz w:val="9"/>
                <w:szCs w:val="9"/>
                <w:color w:val="auto"/>
              </w:rPr>
            </w:pPr>
          </w:p>
        </w:tc>
        <w:tc>
          <w:tcPr>
            <w:tcW w:w="3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Balance at July 1, 2020</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61,276</w:t>
            </w:r>
          </w:p>
        </w:tc>
        <w:tc>
          <w:tcPr>
            <w:tcW w:w="14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1,507</w:t>
            </w:r>
          </w:p>
        </w:tc>
        <w:tc>
          <w:tcPr>
            <w:tcW w:w="16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5,085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2,961</w:t>
            </w:r>
          </w:p>
        </w:tc>
        <w:tc>
          <w:tcPr>
            <w:tcW w:w="40" w:type="dxa"/>
            <w:vAlign w:val="bottom"/>
          </w:tcPr>
          <w:p>
            <w:pPr>
              <w:spacing w:after="0"/>
              <w:rPr>
                <w:sz w:val="11"/>
                <w:szCs w:val="11"/>
                <w:color w:val="auto"/>
              </w:rPr>
            </w:pPr>
          </w:p>
        </w:tc>
        <w:tc>
          <w:tcPr>
            <w:tcW w:w="820" w:type="dxa"/>
            <w:vAlign w:val="bottom"/>
            <w:gridSpan w:val="3"/>
          </w:tcPr>
          <w:p>
            <w:pPr>
              <w:jc w:val="right"/>
              <w:ind w:right="40"/>
              <w:spacing w:after="0" w:line="133" w:lineRule="exact"/>
              <w:rPr>
                <w:sz w:val="20"/>
                <w:szCs w:val="20"/>
                <w:color w:val="auto"/>
              </w:rPr>
            </w:pPr>
            <w:r>
              <w:rPr>
                <w:rFonts w:ascii="Arial" w:cs="Arial" w:eastAsia="Arial" w:hAnsi="Arial"/>
                <w:sz w:val="12"/>
                <w:szCs w:val="12"/>
                <w:color w:val="auto"/>
              </w:rPr>
              <w:t>414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71,243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Additions</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29,388</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576</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109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4"/>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30,250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Disposal - net of depreciation</w:t>
            </w:r>
          </w:p>
        </w:tc>
        <w:tc>
          <w:tcPr>
            <w:tcW w:w="82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(3,207)</w:t>
            </w:r>
          </w:p>
        </w:tc>
        <w:tc>
          <w:tcPr>
            <w:tcW w:w="11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3"/>
          </w:tcPr>
          <w:p>
            <w:pPr>
              <w:jc w:val="right"/>
              <w:ind w:right="40"/>
              <w:spacing w:after="0" w:line="133" w:lineRule="exact"/>
              <w:rPr>
                <w:sz w:val="20"/>
                <w:szCs w:val="20"/>
                <w:color w:val="auto"/>
              </w:rPr>
            </w:pPr>
            <w:r>
              <w:rPr>
                <w:rFonts w:ascii="Arial" w:cs="Arial" w:eastAsia="Arial" w:hAnsi="Arial"/>
                <w:sz w:val="12"/>
                <w:szCs w:val="12"/>
                <w:color w:val="auto"/>
              </w:rPr>
              <w:t>(349)</w:t>
            </w:r>
          </w:p>
        </w:tc>
        <w:tc>
          <w:tcPr>
            <w:tcW w:w="900" w:type="dxa"/>
            <w:vAlign w:val="bottom"/>
            <w:gridSpan w:val="4"/>
          </w:tcPr>
          <w:p>
            <w:pPr>
              <w:jc w:val="right"/>
              <w:ind w:right="80"/>
              <w:spacing w:after="0" w:line="133" w:lineRule="exact"/>
              <w:rPr>
                <w:sz w:val="20"/>
                <w:szCs w:val="20"/>
                <w:color w:val="auto"/>
              </w:rPr>
            </w:pPr>
            <w:r>
              <w:rPr>
                <w:rFonts w:ascii="Arial" w:cs="Arial" w:eastAsia="Arial" w:hAnsi="Arial"/>
                <w:sz w:val="12"/>
                <w:szCs w:val="12"/>
                <w:color w:val="auto"/>
              </w:rPr>
              <w:t>(8)</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(3,564)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Transferred to owned</w:t>
            </w:r>
          </w:p>
        </w:tc>
        <w:tc>
          <w:tcPr>
            <w:tcW w:w="8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(1,123)</w:t>
            </w:r>
          </w:p>
        </w:tc>
        <w:tc>
          <w:tcPr>
            <w:tcW w:w="9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(4,434)</w:t>
            </w: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(1,629)</w:t>
            </w:r>
          </w:p>
        </w:tc>
        <w:tc>
          <w:tcPr>
            <w:tcW w:w="120" w:type="dxa"/>
            <w:vAlign w:val="bottom"/>
            <w:shd w:val="clear" w:color="auto" w:fill="CCEEFF"/>
          </w:tcPr>
          <w:p>
            <w:pPr>
              <w:spacing w:after="0"/>
              <w:rPr>
                <w:sz w:val="11"/>
                <w:szCs w:val="11"/>
                <w:color w:val="auto"/>
              </w:rPr>
            </w:pPr>
          </w:p>
        </w:tc>
        <w:tc>
          <w:tcPr>
            <w:tcW w:w="860" w:type="dxa"/>
            <w:vAlign w:val="bottom"/>
            <w:gridSpan w:val="4"/>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Foreign exchange movements</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1,220</w:t>
            </w:r>
          </w:p>
        </w:tc>
        <w:tc>
          <w:tcPr>
            <w:tcW w:w="140" w:type="dxa"/>
            <w:vAlign w:val="bottom"/>
          </w:tcPr>
          <w:p>
            <w:pPr>
              <w:spacing w:after="0"/>
              <w:rPr>
                <w:sz w:val="11"/>
                <w:szCs w:val="11"/>
                <w:color w:val="auto"/>
              </w:rPr>
            </w:pP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79</w:t>
            </w:r>
          </w:p>
        </w:tc>
        <w:tc>
          <w:tcPr>
            <w:tcW w:w="16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254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180</w:t>
            </w:r>
          </w:p>
        </w:tc>
        <w:tc>
          <w:tcPr>
            <w:tcW w:w="40" w:type="dxa"/>
            <w:vAlign w:val="bottom"/>
          </w:tcPr>
          <w:p>
            <w:pPr>
              <w:spacing w:after="0"/>
              <w:rPr>
                <w:sz w:val="11"/>
                <w:szCs w:val="11"/>
                <w:color w:val="auto"/>
              </w:rPr>
            </w:pPr>
          </w:p>
        </w:tc>
        <w:tc>
          <w:tcPr>
            <w:tcW w:w="820" w:type="dxa"/>
            <w:vAlign w:val="bottom"/>
            <w:gridSpan w:val="3"/>
          </w:tcPr>
          <w:p>
            <w:pPr>
              <w:jc w:val="right"/>
              <w:ind w:right="40"/>
              <w:spacing w:after="0" w:line="133" w:lineRule="exact"/>
              <w:rPr>
                <w:sz w:val="20"/>
                <w:szCs w:val="20"/>
                <w:color w:val="auto"/>
              </w:rPr>
            </w:pPr>
            <w:r>
              <w:rPr>
                <w:rFonts w:ascii="Arial" w:cs="Arial" w:eastAsia="Arial" w:hAnsi="Arial"/>
                <w:sz w:val="12"/>
                <w:szCs w:val="12"/>
                <w:color w:val="auto"/>
              </w:rPr>
              <w:t>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Depreciation charge for the year</w:t>
            </w:r>
          </w:p>
        </w:tc>
        <w:tc>
          <w:tcPr>
            <w:tcW w:w="8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(13,929)</w:t>
            </w:r>
          </w:p>
        </w:tc>
        <w:tc>
          <w:tcPr>
            <w:tcW w:w="11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(600)</w:t>
            </w:r>
          </w:p>
        </w:tc>
        <w:tc>
          <w:tcPr>
            <w:tcW w:w="9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(1,082)</w:t>
            </w:r>
          </w:p>
        </w:tc>
        <w:tc>
          <w:tcPr>
            <w:tcW w:w="6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(840)</w:t>
            </w:r>
          </w:p>
        </w:tc>
        <w:tc>
          <w:tcPr>
            <w:tcW w:w="900" w:type="dxa"/>
            <w:vAlign w:val="bottom"/>
            <w:gridSpan w:val="4"/>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(169)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(16,620)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5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Balance at June 30, 2021</w:t>
            </w: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74,748</w:t>
            </w:r>
          </w:p>
        </w:tc>
        <w:tc>
          <w:tcPr>
            <w:tcW w:w="140" w:type="dxa"/>
            <w:vAlign w:val="bottom"/>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439</w:t>
            </w:r>
          </w:p>
        </w:tc>
        <w:tc>
          <w:tcPr>
            <w:tcW w:w="16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b w:val="1"/>
                <w:bCs w:val="1"/>
                <w:color w:val="auto"/>
              </w:rPr>
              <w:t>432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bottom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b w:val="1"/>
                <w:bCs w:val="1"/>
                <w:color w:val="auto"/>
              </w:rPr>
              <w:t>256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75,875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6.2.</w:t>
            </w:r>
          </w:p>
        </w:tc>
        <w:tc>
          <w:tcPr>
            <w:tcW w:w="3180" w:type="dxa"/>
            <w:vAlign w:val="bottom"/>
            <w:vMerge w:val="restart"/>
          </w:tcPr>
          <w:p>
            <w:pPr>
              <w:ind w:left="100"/>
              <w:spacing w:after="0"/>
              <w:rPr>
                <w:sz w:val="20"/>
                <w:szCs w:val="20"/>
                <w:color w:val="auto"/>
              </w:rPr>
            </w:pPr>
            <w:r>
              <w:rPr>
                <w:rFonts w:ascii="Arial" w:cs="Arial" w:eastAsia="Arial" w:hAnsi="Arial"/>
                <w:sz w:val="15"/>
                <w:szCs w:val="15"/>
                <w:color w:val="auto"/>
              </w:rPr>
              <w:t>Lease liabilities:</w:t>
            </w: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60" w:type="dxa"/>
            <w:vAlign w:val="bottom"/>
            <w:vMerge w:val="continue"/>
          </w:tcPr>
          <w:p>
            <w:pPr>
              <w:spacing w:after="0"/>
              <w:rPr>
                <w:sz w:val="24"/>
                <w:szCs w:val="24"/>
                <w:color w:val="auto"/>
              </w:rPr>
            </w:pPr>
          </w:p>
        </w:tc>
        <w:tc>
          <w:tcPr>
            <w:tcW w:w="31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5"/>
          </w:tcPr>
          <w:p>
            <w:pPr>
              <w:spacing w:after="0"/>
              <w:rPr>
                <w:sz w:val="14"/>
                <w:szCs w:val="14"/>
                <w:color w:val="auto"/>
              </w:rPr>
            </w:pPr>
          </w:p>
        </w:tc>
        <w:tc>
          <w:tcPr>
            <w:tcW w:w="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0" w:type="dxa"/>
            <w:vAlign w:val="bottom"/>
            <w:tcBorders>
              <w:top w:val="single" w:sz="8" w:color="auto"/>
            </w:tcBorders>
          </w:tcPr>
          <w:p>
            <w:pPr>
              <w:spacing w:after="0"/>
              <w:rPr>
                <w:sz w:val="10"/>
                <w:szCs w:val="10"/>
                <w:color w:val="auto"/>
              </w:rPr>
            </w:pPr>
          </w:p>
        </w:tc>
        <w:tc>
          <w:tcPr>
            <w:tcW w:w="3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5"/>
          </w:tcPr>
          <w:p>
            <w:pPr>
              <w:ind w:left="60"/>
              <w:spacing w:after="0" w:line="116" w:lineRule="exact"/>
              <w:rPr>
                <w:sz w:val="20"/>
                <w:szCs w:val="20"/>
                <w:color w:val="auto"/>
              </w:rPr>
            </w:pPr>
            <w:r>
              <w:rPr>
                <w:rFonts w:ascii="Arial" w:cs="Arial" w:eastAsia="Arial" w:hAnsi="Arial"/>
                <w:sz w:val="12"/>
                <w:szCs w:val="12"/>
                <w:b w:val="1"/>
                <w:bCs w:val="1"/>
                <w:color w:val="auto"/>
              </w:rPr>
              <w:t>June 30,</w:t>
            </w:r>
          </w:p>
        </w:tc>
        <w:tc>
          <w:tcPr>
            <w:tcW w:w="700" w:type="dxa"/>
            <w:vAlign w:val="bottom"/>
            <w:tcBorders>
              <w:top w:val="single" w:sz="8" w:color="auto"/>
            </w:tcBorders>
          </w:tcPr>
          <w:p>
            <w:pPr>
              <w:jc w:val="right"/>
              <w:ind w:right="99"/>
              <w:spacing w:after="0" w:line="116" w:lineRule="exact"/>
              <w:rPr>
                <w:sz w:val="20"/>
                <w:szCs w:val="20"/>
                <w:color w:val="auto"/>
              </w:rPr>
            </w:pPr>
            <w:r>
              <w:rPr>
                <w:rFonts w:ascii="Arial" w:cs="Arial" w:eastAsia="Arial" w:hAnsi="Arial"/>
                <w:sz w:val="12"/>
                <w:szCs w:val="12"/>
                <w:b w:val="1"/>
                <w:bCs w:val="1"/>
                <w:color w:val="auto"/>
              </w:rPr>
              <w:t>June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60" w:type="dxa"/>
            <w:vAlign w:val="bottom"/>
            <w:tcBorders>
              <w:bottom w:val="single" w:sz="8" w:color="CCEEFF"/>
            </w:tcBorders>
          </w:tcPr>
          <w:p>
            <w:pPr>
              <w:spacing w:after="0"/>
              <w:rPr>
                <w:sz w:val="10"/>
                <w:szCs w:val="10"/>
                <w:color w:val="auto"/>
              </w:rPr>
            </w:pPr>
          </w:p>
        </w:tc>
        <w:tc>
          <w:tcPr>
            <w:tcW w:w="318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5"/>
          </w:tcPr>
          <w:p>
            <w:pPr>
              <w:jc w:val="right"/>
              <w:ind w:right="539"/>
              <w:spacing w:after="0" w:line="124" w:lineRule="exact"/>
              <w:rPr>
                <w:sz w:val="20"/>
                <w:szCs w:val="20"/>
                <w:color w:val="auto"/>
              </w:rPr>
            </w:pPr>
            <w:r>
              <w:rPr>
                <w:rFonts w:ascii="Arial" w:cs="Arial" w:eastAsia="Arial" w:hAnsi="Arial"/>
                <w:sz w:val="12"/>
                <w:szCs w:val="12"/>
                <w:b w:val="1"/>
                <w:bCs w:val="1"/>
                <w:color w:val="auto"/>
              </w:rPr>
              <w:t>(US$’000)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540" w:type="dxa"/>
            <w:vAlign w:val="bottom"/>
            <w:tcBorders>
              <w:bottom w:val="single" w:sz="8" w:color="CCEEFF"/>
            </w:tcBorders>
            <w:gridSpan w:val="6"/>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Lease liabilities included in statement of financial position as of</w:t>
            </w:r>
          </w:p>
        </w:tc>
        <w:tc>
          <w:tcPr>
            <w:tcW w:w="7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1"/>
              <w:spacing w:after="0" w:line="157" w:lineRule="exact"/>
              <w:rPr>
                <w:sz w:val="20"/>
                <w:szCs w:val="20"/>
                <w:color w:val="auto"/>
              </w:rPr>
            </w:pPr>
            <w:r>
              <w:rPr>
                <w:rFonts w:ascii="Arial" w:cs="Arial" w:eastAsia="Arial" w:hAnsi="Arial"/>
                <w:sz w:val="15"/>
                <w:szCs w:val="15"/>
                <w:b w:val="1"/>
                <w:bCs w:val="1"/>
                <w:color w:val="auto"/>
              </w:rPr>
              <w:t>89,709</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83,999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ind w:left="20"/>
              <w:spacing w:after="0"/>
              <w:rPr>
                <w:sz w:val="20"/>
                <w:szCs w:val="20"/>
                <w:color w:val="auto"/>
              </w:rPr>
            </w:pPr>
            <w:r>
              <w:rPr>
                <w:rFonts w:ascii="Arial" w:cs="Arial" w:eastAsia="Arial" w:hAnsi="Arial"/>
                <w:sz w:val="15"/>
                <w:szCs w:val="15"/>
                <w:color w:val="auto"/>
              </w:rPr>
              <w:t>Current</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5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
              <w:spacing w:after="0" w:line="139" w:lineRule="exact"/>
              <w:rPr>
                <w:sz w:val="20"/>
                <w:szCs w:val="20"/>
                <w:color w:val="auto"/>
              </w:rPr>
            </w:pPr>
            <w:r>
              <w:rPr>
                <w:rFonts w:ascii="Arial" w:cs="Arial" w:eastAsia="Arial" w:hAnsi="Arial"/>
                <w:sz w:val="15"/>
                <w:szCs w:val="15"/>
                <w:color w:val="auto"/>
              </w:rPr>
              <w:t>13,705</w:t>
            </w: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5"/>
                <w:szCs w:val="15"/>
                <w:color w:val="auto"/>
              </w:rPr>
              <w:t>12,121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40" w:type="dxa"/>
            <w:vAlign w:val="bottom"/>
            <w:tcBorders>
              <w:bottom w:val="single" w:sz="8" w:color="auto"/>
            </w:tcBorders>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Non Current</w:t>
            </w: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1"/>
              <w:spacing w:after="0" w:line="166" w:lineRule="exact"/>
              <w:rPr>
                <w:sz w:val="20"/>
                <w:szCs w:val="20"/>
                <w:color w:val="auto"/>
              </w:rPr>
            </w:pPr>
            <w:r>
              <w:rPr>
                <w:rFonts w:ascii="Arial" w:cs="Arial" w:eastAsia="Arial" w:hAnsi="Arial"/>
                <w:sz w:val="15"/>
                <w:szCs w:val="15"/>
                <w:color w:val="auto"/>
              </w:rPr>
              <w:t>76,004</w:t>
            </w: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71,878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360" w:type="dxa"/>
            <w:vAlign w:val="bottom"/>
          </w:tcPr>
          <w:p>
            <w:pPr>
              <w:ind w:left="20"/>
              <w:spacing w:after="0"/>
              <w:rPr>
                <w:sz w:val="20"/>
                <w:szCs w:val="20"/>
                <w:color w:val="auto"/>
              </w:rPr>
            </w:pPr>
            <w:r>
              <w:rPr>
                <w:rFonts w:ascii="Arial" w:cs="Arial" w:eastAsia="Arial" w:hAnsi="Arial"/>
                <w:sz w:val="15"/>
                <w:szCs w:val="15"/>
                <w:b w:val="1"/>
                <w:bCs w:val="1"/>
                <w:color w:val="auto"/>
              </w:rPr>
              <w:t>6.3.</w:t>
            </w:r>
          </w:p>
        </w:tc>
        <w:tc>
          <w:tcPr>
            <w:tcW w:w="3180" w:type="dxa"/>
            <w:vAlign w:val="bottom"/>
          </w:tcPr>
          <w:p>
            <w:pPr>
              <w:ind w:left="100"/>
              <w:spacing w:after="0"/>
              <w:rPr>
                <w:sz w:val="20"/>
                <w:szCs w:val="20"/>
                <w:color w:val="auto"/>
              </w:rPr>
            </w:pPr>
            <w:r>
              <w:rPr>
                <w:rFonts w:ascii="Arial" w:cs="Arial" w:eastAsia="Arial" w:hAnsi="Arial"/>
                <w:sz w:val="15"/>
                <w:szCs w:val="15"/>
                <w:color w:val="auto"/>
              </w:rPr>
              <w:t>Description of lease activities: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The Group leases buildings for its offices, equipment and vehicles. Lease terms are negotiated on an individual basis and contain a wide range of different terms and conditions. Leases are typically made for a fixed period of 3-7 years and may include renewal options, which provide operational flexibility and when recognizing right-of-use assets and lease liabilities, the Group includes certain renewal options where the Group is reasonably assured to exercise the renewal option. The operating leases recognized have reasonably assured lease terms ranging from 2 to 12 years. The Group allocates the consideration in the contract of lease related to the building to the lease and non-lease components based on their relative stand-alone prices.</w:t>
      </w:r>
    </w:p>
    <w:p>
      <w:pPr>
        <w:spacing w:after="0" w:line="150"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6.4.</w:t>
      </w:r>
      <w:r>
        <w:rPr>
          <w:sz w:val="20"/>
          <w:szCs w:val="20"/>
          <w:color w:val="auto"/>
        </w:rPr>
        <w:tab/>
      </w:r>
      <w:r>
        <w:rPr>
          <w:rFonts w:ascii="Arial" w:cs="Arial" w:eastAsia="Arial" w:hAnsi="Arial"/>
          <w:sz w:val="14"/>
          <w:szCs w:val="14"/>
          <w:color w:val="auto"/>
        </w:rPr>
        <w:t>Other lease disclosures: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 maturity analysis of lease liability is shown in Note 22.3. Interest expense on lease liabilities is $7.4 million (June 30, 2021: $7.3 million). The expense incurred relating to short-term leases, not included in the measurement of lease liabilities, is $0.2 million (June 30, 2021: $0.2 million) and no other variable lease payments were incurred during the fiscal year ended June 30, 2022. Lease payments total $13.4 million and $17.5 million for the year ended June 30, 2022 and June 30, 2021 respectively.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Group recognized 117 (June 30, 2021: 91) leases related to right of use assets. During the year ended June 30, 2022, there were 46</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new leases (June 30, 2021: 13) and 20 (June 30, 2021: 16) disposal of leases.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6.5.</w:t>
      </w:r>
      <w:r>
        <w:rPr>
          <w:sz w:val="20"/>
          <w:szCs w:val="20"/>
          <w:color w:val="auto"/>
        </w:rPr>
        <w:tab/>
      </w:r>
      <w:r>
        <w:rPr>
          <w:rFonts w:ascii="Arial" w:cs="Arial" w:eastAsia="Arial" w:hAnsi="Arial"/>
          <w:sz w:val="14"/>
          <w:szCs w:val="14"/>
          <w:color w:val="auto"/>
        </w:rPr>
        <w:t>Security Interest on property and equipment</w:t>
      </w:r>
    </w:p>
    <w:p>
      <w:pPr>
        <w:spacing w:after="0" w:line="170"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net book value of property and equipment at June 30, 2022 and 2021 includes $19.9 million and $11.8 million, respectively, of assets that are pledged as security for borrowings.</w:t>
      </w:r>
    </w:p>
    <w:p>
      <w:pPr>
        <w:spacing w:after="0" w:line="135" w:lineRule="exact"/>
        <w:rPr>
          <w:sz w:val="20"/>
          <w:szCs w:val="20"/>
          <w:color w:val="auto"/>
        </w:rPr>
      </w:pPr>
    </w:p>
    <w:p>
      <w:pPr>
        <w:ind w:left="480" w:hanging="445"/>
        <w:spacing w:after="0"/>
        <w:tabs>
          <w:tab w:leader="none" w:pos="480" w:val="left"/>
        </w:tabs>
        <w:numPr>
          <w:ilvl w:val="0"/>
          <w:numId w:val="99"/>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 IN JOINT VENTURE</w:t>
      </w:r>
    </w:p>
    <w:p>
      <w:pPr>
        <w:spacing w:after="0" w:line="170" w:lineRule="exact"/>
        <w:rPr>
          <w:sz w:val="20"/>
          <w:szCs w:val="20"/>
          <w:color w:val="auto"/>
        </w:rPr>
      </w:pPr>
    </w:p>
    <w:p>
      <w:pPr>
        <w:jc w:val="both"/>
        <w:ind w:left="40" w:right="39"/>
        <w:spacing w:after="0" w:line="259" w:lineRule="auto"/>
        <w:rPr>
          <w:sz w:val="20"/>
          <w:szCs w:val="20"/>
          <w:color w:val="auto"/>
        </w:rPr>
      </w:pPr>
      <w:r>
        <w:rPr>
          <w:rFonts w:ascii="Arial" w:cs="Arial" w:eastAsia="Arial" w:hAnsi="Arial"/>
          <w:sz w:val="14"/>
          <w:szCs w:val="14"/>
          <w:color w:val="auto"/>
        </w:rPr>
        <w:t>On January 1, 2016, one of the subsidiaries of the Group (“the Subsidiary”) made a 47.5% investment in a Joint Venture Lake Ball LLC, doing business as Clear Connect, with Innovative Business Solutions (‘IBS’) with a purpose to procure and sell commercial leads for the Subsidiary’s customers. The country of incorporation and principle place of business of Lake Ball LLC is the United States of America. The investment is accounted for under the equity method of accounting. As of June 30, 2022, the market value of the investment amounts to $0.4 million (June 30, 2021: $0.3 million, June 30, 2020: $0.3 million). The details of the investment are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64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300"/>
              <w:spacing w:after="0" w:line="136" w:lineRule="exact"/>
              <w:rPr>
                <w:sz w:val="20"/>
                <w:szCs w:val="20"/>
                <w:color w:val="auto"/>
              </w:rPr>
            </w:pPr>
            <w:r>
              <w:rPr>
                <w:rFonts w:ascii="Arial" w:cs="Arial" w:eastAsia="Arial" w:hAnsi="Arial"/>
                <w:sz w:val="12"/>
                <w:szCs w:val="12"/>
                <w:b w:val="1"/>
                <w:bCs w:val="1"/>
                <w:color w:val="auto"/>
              </w:rPr>
              <w:t>June 30,</w:t>
            </w:r>
          </w:p>
        </w:tc>
        <w:tc>
          <w:tcPr>
            <w:tcW w:w="880" w:type="dxa"/>
            <w:vAlign w:val="bottom"/>
            <w:tcBorders>
              <w:top w:val="single" w:sz="8" w:color="auto"/>
            </w:tcBorders>
            <w:gridSpan w:val="2"/>
          </w:tcPr>
          <w:p>
            <w:pPr>
              <w:ind w:left="100"/>
              <w:spacing w:after="0" w:line="136" w:lineRule="exact"/>
              <w:rPr>
                <w:sz w:val="20"/>
                <w:szCs w:val="20"/>
                <w:color w:val="auto"/>
              </w:rPr>
            </w:pPr>
            <w:r>
              <w:rPr>
                <w:rFonts w:ascii="Arial" w:cs="Arial" w:eastAsia="Arial" w:hAnsi="Arial"/>
                <w:sz w:val="12"/>
                <w:szCs w:val="12"/>
                <w:b w:val="1"/>
                <w:bCs w:val="1"/>
                <w:color w:val="auto"/>
              </w:rPr>
              <w:t>June 30,</w:t>
            </w:r>
          </w:p>
        </w:tc>
        <w:tc>
          <w:tcPr>
            <w:tcW w:w="720" w:type="dxa"/>
            <w:vAlign w:val="bottom"/>
            <w:tcBorders>
              <w:top w:val="single" w:sz="8" w:color="auto"/>
            </w:tcBorders>
          </w:tcPr>
          <w:p>
            <w:pPr>
              <w:jc w:val="right"/>
              <w:ind w:right="51"/>
              <w:spacing w:after="0" w:line="136" w:lineRule="exact"/>
              <w:rPr>
                <w:sz w:val="20"/>
                <w:szCs w:val="20"/>
                <w:color w:val="auto"/>
              </w:rPr>
            </w:pPr>
            <w:r>
              <w:rPr>
                <w:rFonts w:ascii="Arial" w:cs="Arial" w:eastAsia="Arial" w:hAnsi="Arial"/>
                <w:sz w:val="12"/>
                <w:szCs w:val="12"/>
                <w:b w:val="1"/>
                <w:bCs w:val="1"/>
                <w:color w:val="auto"/>
              </w:rPr>
              <w:t>June 30,</w:t>
            </w:r>
          </w:p>
        </w:tc>
        <w:tc>
          <w:tcPr>
            <w:tcW w:w="20" w:type="dxa"/>
            <w:vAlign w:val="bottom"/>
          </w:tcPr>
          <w:p>
            <w:pPr>
              <w:spacing w:after="0"/>
              <w:rPr>
                <w:sz w:val="11"/>
                <w:szCs w:val="11"/>
                <w:color w:val="auto"/>
              </w:rPr>
            </w:pPr>
          </w:p>
        </w:tc>
      </w:tr>
      <w:tr>
        <w:trPr>
          <w:trHeight w:val="141"/>
        </w:trPr>
        <w:tc>
          <w:tcPr>
            <w:tcW w:w="6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2022</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2"/>
                <w:szCs w:val="12"/>
                <w:color w:val="auto"/>
              </w:rPr>
            </w:pPr>
          </w:p>
        </w:tc>
      </w:tr>
      <w:tr>
        <w:trPr>
          <w:trHeight w:val="124"/>
        </w:trPr>
        <w:tc>
          <w:tcPr>
            <w:tcW w:w="6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100"/>
              <w:spacing w:after="0" w:line="124" w:lineRule="exact"/>
              <w:rPr>
                <w:sz w:val="20"/>
                <w:szCs w:val="20"/>
                <w:color w:val="auto"/>
              </w:rPr>
            </w:pPr>
            <w:r>
              <w:rPr>
                <w:rFonts w:ascii="Arial" w:cs="Arial" w:eastAsia="Arial" w:hAnsi="Arial"/>
                <w:sz w:val="12"/>
                <w:szCs w:val="12"/>
                <w:b w:val="1"/>
                <w:bCs w:val="1"/>
                <w:color w:val="auto"/>
              </w:rPr>
              <w:t>(US$’000)</w:t>
            </w: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64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Opening balance</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258</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331</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227</w:t>
            </w:r>
          </w:p>
        </w:tc>
        <w:tc>
          <w:tcPr>
            <w:tcW w:w="20" w:type="dxa"/>
            <w:vAlign w:val="bottom"/>
          </w:tcPr>
          <w:p>
            <w:pPr>
              <w:spacing w:after="0"/>
              <w:rPr>
                <w:sz w:val="13"/>
                <w:szCs w:val="13"/>
                <w:color w:val="auto"/>
              </w:rPr>
            </w:pPr>
          </w:p>
        </w:tc>
      </w:tr>
      <w:tr>
        <w:trPr>
          <w:trHeight w:val="166"/>
        </w:trPr>
        <w:tc>
          <w:tcPr>
            <w:tcW w:w="6460" w:type="dxa"/>
            <w:vAlign w:val="bottom"/>
          </w:tcPr>
          <w:p>
            <w:pPr>
              <w:ind w:left="20"/>
              <w:spacing w:after="0" w:line="166" w:lineRule="exact"/>
              <w:rPr>
                <w:sz w:val="20"/>
                <w:szCs w:val="20"/>
                <w:color w:val="auto"/>
              </w:rPr>
            </w:pPr>
            <w:r>
              <w:rPr>
                <w:rFonts w:ascii="Arial" w:cs="Arial" w:eastAsia="Arial" w:hAnsi="Arial"/>
                <w:sz w:val="15"/>
                <w:szCs w:val="15"/>
                <w:color w:val="auto"/>
              </w:rPr>
              <w:t>Dividend received during the year</w:t>
            </w:r>
          </w:p>
        </w:tc>
        <w:tc>
          <w:tcPr>
            <w:tcW w:w="88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(1,027)</w:t>
            </w:r>
          </w:p>
        </w:tc>
        <w:tc>
          <w:tcPr>
            <w:tcW w:w="88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(650)</w:t>
            </w: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(430)</w:t>
            </w:r>
          </w:p>
        </w:tc>
        <w:tc>
          <w:tcPr>
            <w:tcW w:w="20" w:type="dxa"/>
            <w:vAlign w:val="bottom"/>
          </w:tcPr>
          <w:p>
            <w:pPr>
              <w:spacing w:after="0"/>
              <w:rPr>
                <w:sz w:val="14"/>
                <w:szCs w:val="14"/>
                <w:color w:val="auto"/>
              </w:rPr>
            </w:pPr>
          </w:p>
        </w:tc>
      </w:tr>
      <w:tr>
        <w:trPr>
          <w:trHeight w:val="166"/>
        </w:trPr>
        <w:tc>
          <w:tcPr>
            <w:tcW w:w="64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Share of profit for the year</w:t>
            </w:r>
          </w:p>
        </w:tc>
        <w:tc>
          <w:tcPr>
            <w:tcW w:w="7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1,151</w:t>
            </w:r>
          </w:p>
        </w:tc>
        <w:tc>
          <w:tcPr>
            <w:tcW w:w="1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577</w:t>
            </w: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534</w:t>
            </w:r>
          </w:p>
        </w:tc>
        <w:tc>
          <w:tcPr>
            <w:tcW w:w="20" w:type="dxa"/>
            <w:vAlign w:val="bottom"/>
          </w:tcPr>
          <w:p>
            <w:pPr>
              <w:spacing w:after="0"/>
              <w:rPr>
                <w:sz w:val="14"/>
                <w:szCs w:val="14"/>
                <w:color w:val="auto"/>
              </w:rPr>
            </w:pPr>
          </w:p>
        </w:tc>
      </w:tr>
      <w:tr>
        <w:trPr>
          <w:trHeight w:val="197"/>
        </w:trPr>
        <w:tc>
          <w:tcPr>
            <w:tcW w:w="6460" w:type="dxa"/>
            <w:vAlign w:val="bottom"/>
            <w:tcBorders>
              <w:bottom w:val="single" w:sz="8" w:color="CCEEFF"/>
            </w:tcBorders>
          </w:tcPr>
          <w:p>
            <w:pPr>
              <w:ind w:left="20"/>
              <w:spacing w:after="0" w:line="157" w:lineRule="exact"/>
              <w:rPr>
                <w:sz w:val="20"/>
                <w:szCs w:val="20"/>
                <w:color w:val="auto"/>
              </w:rPr>
            </w:pPr>
            <w:r>
              <w:rPr>
                <w:rFonts w:ascii="Arial" w:cs="Arial" w:eastAsia="Arial" w:hAnsi="Arial"/>
                <w:sz w:val="15"/>
                <w:szCs w:val="15"/>
                <w:color w:val="auto"/>
              </w:rPr>
              <w:t>Ending balance</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382</w:t>
            </w: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258</w:t>
            </w:r>
          </w:p>
        </w:tc>
        <w:tc>
          <w:tcPr>
            <w:tcW w:w="1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331</w:t>
            </w:r>
          </w:p>
        </w:tc>
        <w:tc>
          <w:tcPr>
            <w:tcW w:w="20" w:type="dxa"/>
            <w:vAlign w:val="bottom"/>
          </w:tcPr>
          <w:p>
            <w:pPr>
              <w:spacing w:after="0"/>
              <w:rPr>
                <w:sz w:val="17"/>
                <w:szCs w:val="17"/>
                <w:color w:val="auto"/>
              </w:rPr>
            </w:pPr>
          </w:p>
        </w:tc>
      </w:tr>
      <w:tr>
        <w:trPr>
          <w:trHeight w:val="139"/>
        </w:trPr>
        <w:tc>
          <w:tcPr>
            <w:tcW w:w="64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Share of profit for the year ended June 30, 2022, 2021 and 2020 of $1.2 million, $0.6 million and $0.5 million, respectively, is included in the other operating costs in statement of profit or loss and comprehensive income.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Summarized financial information of equity accounted Joint Venture from the financial statements of Lake Ball LLC is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4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8"/>
              </w:rPr>
              <w:t>For the Year Ended</w:t>
            </w:r>
          </w:p>
        </w:tc>
        <w:tc>
          <w:tcPr>
            <w:tcW w:w="7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700" w:type="dxa"/>
            <w:vAlign w:val="bottom"/>
          </w:tcPr>
          <w:p>
            <w:pPr>
              <w:jc w:val="right"/>
              <w:ind w:right="71"/>
              <w:spacing w:after="0" w:line="116" w:lineRule="exact"/>
              <w:rPr>
                <w:sz w:val="20"/>
                <w:szCs w:val="20"/>
                <w:color w:val="auto"/>
              </w:rPr>
            </w:pPr>
            <w:r>
              <w:rPr>
                <w:rFonts w:ascii="Arial" w:cs="Arial" w:eastAsia="Arial" w:hAnsi="Arial"/>
                <w:sz w:val="12"/>
                <w:szCs w:val="12"/>
                <w:b w:val="1"/>
                <w:bCs w:val="1"/>
                <w:color w:val="auto"/>
              </w:rPr>
              <w:t>June 30,</w:t>
            </w:r>
          </w:p>
        </w:tc>
        <w:tc>
          <w:tcPr>
            <w:tcW w:w="180" w:type="dxa"/>
            <w:vAlign w:val="bottom"/>
          </w:tcPr>
          <w:p>
            <w:pPr>
              <w:spacing w:after="0"/>
              <w:rPr>
                <w:sz w:val="10"/>
                <w:szCs w:val="10"/>
                <w:color w:val="auto"/>
              </w:rPr>
            </w:pPr>
          </w:p>
        </w:tc>
        <w:tc>
          <w:tcPr>
            <w:tcW w:w="900" w:type="dxa"/>
            <w:vAlign w:val="bottom"/>
            <w:gridSpan w:val="2"/>
          </w:tcPr>
          <w:p>
            <w:pPr>
              <w:ind w:left="100"/>
              <w:spacing w:after="0" w:line="116" w:lineRule="exact"/>
              <w:rPr>
                <w:sz w:val="20"/>
                <w:szCs w:val="20"/>
                <w:color w:val="auto"/>
              </w:rPr>
            </w:pPr>
            <w:r>
              <w:rPr>
                <w:rFonts w:ascii="Arial" w:cs="Arial" w:eastAsia="Arial" w:hAnsi="Arial"/>
                <w:sz w:val="12"/>
                <w:szCs w:val="12"/>
                <w:b w:val="1"/>
                <w:bCs w:val="1"/>
                <w:color w:val="auto"/>
              </w:rPr>
              <w:t>June 30,</w:t>
            </w:r>
          </w:p>
        </w:tc>
        <w:tc>
          <w:tcPr>
            <w:tcW w:w="700" w:type="dxa"/>
            <w:vAlign w:val="bottom"/>
          </w:tcPr>
          <w:p>
            <w:pPr>
              <w:jc w:val="right"/>
              <w:ind w:right="71"/>
              <w:spacing w:after="0" w:line="116" w:lineRule="exact"/>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2022</w:t>
            </w:r>
          </w:p>
        </w:tc>
        <w:tc>
          <w:tcPr>
            <w:tcW w:w="880" w:type="dxa"/>
            <w:vAlign w:val="bottom"/>
            <w:tcBorders>
              <w:bottom w:val="single" w:sz="8" w:color="auto"/>
            </w:tcBorders>
            <w:gridSpan w:val="2"/>
          </w:tcPr>
          <w:p>
            <w:pPr>
              <w:jc w:val="center"/>
              <w:ind w:left="114"/>
              <w:spacing w:after="0"/>
              <w:rPr>
                <w:sz w:val="20"/>
                <w:szCs w:val="20"/>
                <w:color w:val="auto"/>
              </w:rPr>
            </w:pPr>
            <w:r>
              <w:rPr>
                <w:rFonts w:ascii="Arial" w:cs="Arial" w:eastAsia="Arial" w:hAnsi="Arial"/>
                <w:sz w:val="12"/>
                <w:szCs w:val="12"/>
                <w:b w:val="1"/>
                <w:bCs w:val="1"/>
                <w:color w:val="auto"/>
                <w:w w:val="97"/>
              </w:rPr>
              <w:t>2021</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w w:val="98"/>
              </w:rPr>
              <w:t>(US$’000)</w:t>
            </w: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6,455</w:t>
            </w:r>
          </w:p>
        </w:tc>
        <w:tc>
          <w:tcPr>
            <w:tcW w:w="8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4,342</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3,152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40" w:type="dxa"/>
            <w:vAlign w:val="bottom"/>
          </w:tcPr>
          <w:p>
            <w:pPr>
              <w:spacing w:after="0" w:line="166" w:lineRule="exact"/>
              <w:rPr>
                <w:sz w:val="20"/>
                <w:szCs w:val="20"/>
                <w:color w:val="auto"/>
              </w:rPr>
            </w:pPr>
            <w:r>
              <w:rPr>
                <w:rFonts w:ascii="Arial" w:cs="Arial" w:eastAsia="Arial" w:hAnsi="Arial"/>
                <w:sz w:val="15"/>
                <w:szCs w:val="15"/>
                <w:color w:val="auto"/>
              </w:rPr>
              <w:t>Profit after tax</w:t>
            </w: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1,792</w:t>
            </w:r>
          </w:p>
        </w:tc>
        <w:tc>
          <w:tcPr>
            <w:tcW w:w="8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1,215</w:t>
            </w:r>
          </w:p>
        </w:tc>
        <w:tc>
          <w:tcPr>
            <w:tcW w:w="20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1,124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Other comprehensive income</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40" w:type="dxa"/>
            <w:vAlign w:val="bottom"/>
            <w:tcBorders>
              <w:bottom w:val="single" w:sz="8" w:color="CCEEFF"/>
            </w:tcBorders>
          </w:tcPr>
          <w:p>
            <w:pPr>
              <w:spacing w:after="0" w:line="157" w:lineRule="exact"/>
              <w:rPr>
                <w:sz w:val="20"/>
                <w:szCs w:val="20"/>
                <w:color w:val="auto"/>
              </w:rPr>
            </w:pPr>
            <w:r>
              <w:rPr>
                <w:rFonts w:ascii="Arial" w:cs="Arial" w:eastAsia="Arial" w:hAnsi="Arial"/>
                <w:sz w:val="15"/>
                <w:szCs w:val="15"/>
                <w:b w:val="1"/>
                <w:bCs w:val="1"/>
                <w:color w:val="auto"/>
              </w:rPr>
              <w:t>Total comprehensive income</w:t>
            </w: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1,792</w:t>
            </w:r>
          </w:p>
        </w:tc>
        <w:tc>
          <w:tcPr>
            <w:tcW w:w="1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1,215</w:t>
            </w:r>
          </w:p>
        </w:tc>
        <w:tc>
          <w:tcPr>
            <w:tcW w:w="20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1,124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80" w:hanging="445"/>
        <w:spacing w:after="0"/>
        <w:tabs>
          <w:tab w:leader="none" w:pos="48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OTHER NON-CURRENT ASSETS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4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June 30,</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6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7"/>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ind w:left="220"/>
              <w:spacing w:after="0" w:line="124" w:lineRule="exact"/>
              <w:rPr>
                <w:sz w:val="20"/>
                <w:szCs w:val="20"/>
                <w:color w:val="auto"/>
              </w:rPr>
            </w:pPr>
            <w:r>
              <w:rPr>
                <w:rFonts w:ascii="Arial" w:cs="Arial" w:eastAsia="Arial" w:hAnsi="Arial"/>
                <w:sz w:val="12"/>
                <w:szCs w:val="12"/>
                <w:b w:val="1"/>
                <w:bCs w:val="1"/>
                <w:color w:val="auto"/>
              </w:rPr>
              <w:t>(US$’000)</w:t>
            </w: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060" w:type="dxa"/>
            <w:vAlign w:val="bottom"/>
            <w:gridSpan w:val="3"/>
            <w:shd w:val="clear" w:color="auto" w:fill="CCEEFF"/>
          </w:tcPr>
          <w:p>
            <w:pPr>
              <w:ind w:left="20"/>
              <w:spacing w:after="0" w:line="168" w:lineRule="exact"/>
              <w:rPr>
                <w:sz w:val="20"/>
                <w:szCs w:val="20"/>
                <w:color w:val="auto"/>
              </w:rPr>
            </w:pPr>
            <w:r>
              <w:rPr>
                <w:rFonts w:ascii="Arial" w:cs="Arial" w:eastAsia="Arial" w:hAnsi="Arial"/>
                <w:sz w:val="15"/>
                <w:szCs w:val="15"/>
                <w:color w:val="auto"/>
              </w:rPr>
              <w:t>Deposits</w:t>
            </w:r>
          </w:p>
        </w:tc>
        <w:tc>
          <w:tcPr>
            <w:tcW w:w="2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5"/>
                <w:szCs w:val="15"/>
                <w:color w:val="auto"/>
              </w:rPr>
              <w:t>3,716</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5"/>
                <w:szCs w:val="15"/>
                <w:color w:val="auto"/>
              </w:rPr>
              <w:t>3,715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60" w:type="dxa"/>
            <w:vAlign w:val="bottom"/>
            <w:gridSpan w:val="3"/>
          </w:tcPr>
          <w:p>
            <w:pPr>
              <w:ind w:left="20"/>
              <w:spacing w:after="0" w:line="166" w:lineRule="exact"/>
              <w:rPr>
                <w:sz w:val="20"/>
                <w:szCs w:val="20"/>
                <w:color w:val="auto"/>
              </w:rPr>
            </w:pPr>
            <w:r>
              <w:rPr>
                <w:rFonts w:ascii="Arial" w:cs="Arial" w:eastAsia="Arial" w:hAnsi="Arial"/>
                <w:sz w:val="15"/>
                <w:szCs w:val="15"/>
                <w:color w:val="auto"/>
              </w:rPr>
              <w:t>Prepayments</w:t>
            </w:r>
          </w:p>
        </w:tc>
        <w:tc>
          <w:tcPr>
            <w:tcW w:w="2240" w:type="dxa"/>
            <w:vAlign w:val="bottom"/>
          </w:tcPr>
          <w:p>
            <w:pPr>
              <w:spacing w:after="0"/>
              <w:rPr>
                <w:sz w:val="14"/>
                <w:szCs w:val="14"/>
                <w:color w:val="auto"/>
              </w:rPr>
            </w:pPr>
          </w:p>
        </w:tc>
        <w:tc>
          <w:tcPr>
            <w:tcW w:w="7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144</w:t>
            </w:r>
          </w:p>
        </w:tc>
        <w:tc>
          <w:tcPr>
            <w:tcW w:w="200" w:type="dxa"/>
            <w:vAlign w:val="bottom"/>
          </w:tcPr>
          <w:p>
            <w:pPr>
              <w:spacing w:after="0"/>
              <w:rPr>
                <w:sz w:val="14"/>
                <w:szCs w:val="14"/>
                <w:color w:val="auto"/>
              </w:rPr>
            </w:pPr>
          </w:p>
        </w:tc>
        <w:tc>
          <w:tcPr>
            <w:tcW w:w="7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633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64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730</w:t>
            </w:r>
          </w:p>
        </w:tc>
        <w:tc>
          <w:tcPr>
            <w:tcW w:w="200" w:type="dxa"/>
            <w:vAlign w:val="bottom"/>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464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4,590</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5,239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4640" w:type="dxa"/>
            <w:vAlign w:val="bottom"/>
            <w:tcBorders>
              <w:bottom w:val="single" w:sz="8" w:color="auto"/>
            </w:tcBorders>
            <w:shd w:val="clear" w:color="auto" w:fill="CCEEFF"/>
          </w:tcPr>
          <w:p>
            <w:pPr>
              <w:spacing w:after="0"/>
              <w:rPr>
                <w:sz w:val="12"/>
                <w:szCs w:val="12"/>
                <w:color w:val="auto"/>
              </w:rPr>
            </w:pPr>
          </w:p>
        </w:tc>
        <w:tc>
          <w:tcPr>
            <w:tcW w:w="22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420" w:type="dxa"/>
            <w:vAlign w:val="bottom"/>
            <w:gridSpan w:val="2"/>
          </w:tcPr>
          <w:p>
            <w:pPr>
              <w:ind w:left="20"/>
              <w:spacing w:after="0"/>
              <w:rPr>
                <w:sz w:val="20"/>
                <w:szCs w:val="20"/>
                <w:color w:val="auto"/>
              </w:rPr>
            </w:pPr>
            <w:r>
              <w:rPr>
                <w:rFonts w:ascii="Arial" w:cs="Arial" w:eastAsia="Arial" w:hAnsi="Arial"/>
                <w:sz w:val="15"/>
                <w:szCs w:val="15"/>
                <w:b w:val="1"/>
                <w:bCs w:val="1"/>
                <w:color w:val="auto"/>
              </w:rPr>
              <w:t>9.</w:t>
            </w:r>
          </w:p>
        </w:tc>
        <w:tc>
          <w:tcPr>
            <w:tcW w:w="4640" w:type="dxa"/>
            <w:vAlign w:val="bottom"/>
          </w:tcPr>
          <w:p>
            <w:pPr>
              <w:ind w:left="40"/>
              <w:spacing w:after="0"/>
              <w:rPr>
                <w:sz w:val="20"/>
                <w:szCs w:val="20"/>
                <w:color w:val="auto"/>
              </w:rPr>
            </w:pPr>
            <w:r>
              <w:rPr>
                <w:rFonts w:ascii="Arial" w:cs="Arial" w:eastAsia="Arial" w:hAnsi="Arial"/>
                <w:sz w:val="15"/>
                <w:szCs w:val="15"/>
                <w:b w:val="1"/>
                <w:bCs w:val="1"/>
                <w:color w:val="auto"/>
              </w:rPr>
              <w:t>TRADE AND OTHER RECEIVABLES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100"/>
              <w:spacing w:after="0" w:line="116" w:lineRule="exact"/>
              <w:rPr>
                <w:sz w:val="20"/>
                <w:szCs w:val="20"/>
                <w:color w:val="auto"/>
              </w:rPr>
            </w:pPr>
            <w:r>
              <w:rPr>
                <w:rFonts w:ascii="Arial" w:cs="Arial" w:eastAsia="Arial" w:hAnsi="Arial"/>
                <w:sz w:val="12"/>
                <w:szCs w:val="12"/>
                <w:b w:val="1"/>
                <w:bCs w:val="1"/>
                <w:color w:val="auto"/>
              </w:rPr>
              <w:t>June 30,</w:t>
            </w:r>
          </w:p>
        </w:tc>
        <w:tc>
          <w:tcPr>
            <w:tcW w:w="20" w:type="dxa"/>
            <w:vAlign w:val="bottom"/>
          </w:tcPr>
          <w:p>
            <w:pPr>
              <w:spacing w:after="0"/>
              <w:rPr>
                <w:sz w:val="10"/>
                <w:szCs w:val="10"/>
                <w:color w:val="auto"/>
              </w:rPr>
            </w:pPr>
          </w:p>
        </w:tc>
        <w:tc>
          <w:tcPr>
            <w:tcW w:w="720" w:type="dxa"/>
            <w:vAlign w:val="bottom"/>
            <w:gridSpan w:val="2"/>
          </w:tcPr>
          <w:p>
            <w:pPr>
              <w:jc w:val="center"/>
              <w:ind w:right="60"/>
              <w:spacing w:after="0" w:line="116" w:lineRule="exact"/>
              <w:rPr>
                <w:sz w:val="20"/>
                <w:szCs w:val="20"/>
                <w:color w:val="auto"/>
              </w:rPr>
            </w:pPr>
            <w:r>
              <w:rPr>
                <w:rFonts w:ascii="Arial" w:cs="Arial" w:eastAsia="Arial" w:hAnsi="Arial"/>
                <w:sz w:val="12"/>
                <w:szCs w:val="12"/>
                <w:b w:val="1"/>
                <w:bCs w:val="1"/>
                <w:color w:val="auto"/>
                <w:w w:val="95"/>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6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i w:val="1"/>
                <w:iCs w:val="1"/>
                <w:color w:val="auto"/>
              </w:rPr>
              <w:t>Note</w:t>
            </w:r>
          </w:p>
        </w:tc>
        <w:tc>
          <w:tcPr>
            <w:tcW w:w="72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7"/>
              </w:rPr>
              <w:t>2021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ind w:left="240"/>
              <w:spacing w:after="0" w:line="124" w:lineRule="exact"/>
              <w:rPr>
                <w:sz w:val="20"/>
                <w:szCs w:val="20"/>
                <w:color w:val="auto"/>
              </w:rPr>
            </w:pPr>
            <w:r>
              <w:rPr>
                <w:rFonts w:ascii="Arial" w:cs="Arial" w:eastAsia="Arial" w:hAnsi="Arial"/>
                <w:sz w:val="12"/>
                <w:szCs w:val="12"/>
                <w:b w:val="1"/>
                <w:bCs w:val="1"/>
                <w:color w:val="auto"/>
              </w:rPr>
              <w:t>(US$’000)</w:t>
            </w: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4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Trade receivables</w:t>
            </w:r>
          </w:p>
        </w:tc>
        <w:tc>
          <w:tcPr>
            <w:tcW w:w="2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40" w:type="dxa"/>
            <w:vAlign w:val="bottom"/>
            <w:gridSpan w:val="2"/>
          </w:tcPr>
          <w:p>
            <w:pPr>
              <w:spacing w:after="0" w:line="166" w:lineRule="exact"/>
              <w:rPr>
                <w:sz w:val="20"/>
                <w:szCs w:val="20"/>
                <w:color w:val="auto"/>
              </w:rPr>
            </w:pPr>
            <w:r>
              <w:rPr>
                <w:rFonts w:ascii="Arial" w:cs="Arial" w:eastAsia="Arial" w:hAnsi="Arial"/>
                <w:sz w:val="15"/>
                <w:szCs w:val="15"/>
                <w:color w:val="auto"/>
              </w:rPr>
              <w:t>Trade receivables - gross</w:t>
            </w:r>
          </w:p>
        </w:tc>
        <w:tc>
          <w:tcPr>
            <w:tcW w:w="2240" w:type="dxa"/>
            <w:vAlign w:val="bottom"/>
          </w:tcPr>
          <w:p>
            <w:pPr>
              <w:spacing w:after="0"/>
              <w:rPr>
                <w:sz w:val="14"/>
                <w:szCs w:val="14"/>
                <w:color w:val="auto"/>
              </w:rPr>
            </w:pPr>
          </w:p>
        </w:tc>
        <w:tc>
          <w:tcPr>
            <w:tcW w:w="7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76,708</w:t>
            </w:r>
          </w:p>
        </w:tc>
        <w:tc>
          <w:tcPr>
            <w:tcW w:w="200" w:type="dxa"/>
            <w:vAlign w:val="bottom"/>
          </w:tcPr>
          <w:p>
            <w:pPr>
              <w:spacing w:after="0"/>
              <w:rPr>
                <w:sz w:val="14"/>
                <w:szCs w:val="14"/>
                <w:color w:val="auto"/>
              </w:rPr>
            </w:pPr>
          </w:p>
        </w:tc>
        <w:tc>
          <w:tcPr>
            <w:tcW w:w="7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69,715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Less: allowance for credit losses</w:t>
            </w:r>
          </w:p>
        </w:tc>
        <w:tc>
          <w:tcPr>
            <w:tcW w:w="2240" w:type="dxa"/>
            <w:vAlign w:val="bottom"/>
            <w:shd w:val="clear" w:color="auto" w:fill="CCEEFF"/>
          </w:tcPr>
          <w:p>
            <w:pPr>
              <w:jc w:val="right"/>
              <w:ind w:right="171"/>
              <w:spacing w:after="0" w:line="166" w:lineRule="exact"/>
              <w:rPr>
                <w:sz w:val="20"/>
                <w:szCs w:val="20"/>
                <w:color w:val="auto"/>
              </w:rPr>
            </w:pPr>
            <w:r>
              <w:rPr>
                <w:rFonts w:ascii="Arial" w:cs="Arial" w:eastAsia="Arial" w:hAnsi="Arial"/>
                <w:sz w:val="15"/>
                <w:szCs w:val="15"/>
                <w:i w:val="1"/>
                <w:iCs w:val="1"/>
                <w:color w:val="auto"/>
              </w:rPr>
              <w:t>9.2</w:t>
            </w: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(1,290)</w:t>
            </w:r>
          </w:p>
        </w:tc>
        <w:tc>
          <w:tcPr>
            <w:tcW w:w="2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(2,301)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40" w:type="dxa"/>
            <w:vAlign w:val="bottom"/>
            <w:gridSpan w:val="2"/>
          </w:tcPr>
          <w:p>
            <w:pPr>
              <w:spacing w:after="0" w:line="157" w:lineRule="exact"/>
              <w:rPr>
                <w:sz w:val="20"/>
                <w:szCs w:val="20"/>
                <w:color w:val="auto"/>
              </w:rPr>
            </w:pPr>
            <w:r>
              <w:rPr>
                <w:rFonts w:ascii="Arial" w:cs="Arial" w:eastAsia="Arial" w:hAnsi="Arial"/>
                <w:sz w:val="15"/>
                <w:szCs w:val="15"/>
                <w:color w:val="auto"/>
              </w:rPr>
              <w:t>Trade receivables - net</w:t>
            </w: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75,418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67,414</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Less: receivables attributable to related parties, net</w:t>
            </w:r>
          </w:p>
        </w:tc>
        <w:tc>
          <w:tcPr>
            <w:tcW w:w="2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(95)</w:t>
            </w:r>
          </w:p>
        </w:tc>
        <w:tc>
          <w:tcPr>
            <w:tcW w:w="2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(725)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40" w:type="dxa"/>
            <w:vAlign w:val="bottom"/>
            <w:tcBorders>
              <w:bottom w:val="single" w:sz="8" w:color="CCEEFF"/>
            </w:tcBorders>
            <w:gridSpan w:val="2"/>
          </w:tcPr>
          <w:p>
            <w:pPr>
              <w:spacing w:after="0" w:line="157" w:lineRule="exact"/>
              <w:rPr>
                <w:sz w:val="20"/>
                <w:szCs w:val="20"/>
                <w:color w:val="auto"/>
              </w:rPr>
            </w:pPr>
            <w:r>
              <w:rPr>
                <w:rFonts w:ascii="Arial" w:cs="Arial" w:eastAsia="Arial" w:hAnsi="Arial"/>
                <w:sz w:val="15"/>
                <w:szCs w:val="15"/>
                <w:b w:val="1"/>
                <w:bCs w:val="1"/>
                <w:color w:val="auto"/>
              </w:rPr>
              <w:t>Trade receivables - net closing balance</w:t>
            </w:r>
          </w:p>
        </w:tc>
        <w:tc>
          <w:tcPr>
            <w:tcW w:w="2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75,323</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66,689</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4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04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Other receivables</w:t>
            </w: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Prepayments</w:t>
            </w:r>
          </w:p>
        </w:tc>
        <w:tc>
          <w:tcPr>
            <w:tcW w:w="2240" w:type="dxa"/>
            <w:vAlign w:val="bottom"/>
            <w:shd w:val="clear" w:color="auto" w:fill="CCEEFF"/>
          </w:tcPr>
          <w:p>
            <w:pPr>
              <w:jc w:val="right"/>
              <w:ind w:right="171"/>
              <w:spacing w:after="0" w:line="166" w:lineRule="exact"/>
              <w:rPr>
                <w:sz w:val="20"/>
                <w:szCs w:val="20"/>
                <w:color w:val="auto"/>
              </w:rPr>
            </w:pPr>
            <w:r>
              <w:rPr>
                <w:rFonts w:ascii="Arial" w:cs="Arial" w:eastAsia="Arial" w:hAnsi="Arial"/>
                <w:sz w:val="15"/>
                <w:szCs w:val="15"/>
                <w:i w:val="1"/>
                <w:iCs w:val="1"/>
                <w:color w:val="auto"/>
              </w:rPr>
              <w:t>9.1</w:t>
            </w: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7,135</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5,281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40" w:type="dxa"/>
            <w:vAlign w:val="bottom"/>
            <w:gridSpan w:val="2"/>
          </w:tcPr>
          <w:p>
            <w:pPr>
              <w:spacing w:after="0" w:line="166" w:lineRule="exact"/>
              <w:rPr>
                <w:sz w:val="20"/>
                <w:szCs w:val="20"/>
                <w:color w:val="auto"/>
              </w:rPr>
            </w:pPr>
            <w:r>
              <w:rPr>
                <w:rFonts w:ascii="Arial" w:cs="Arial" w:eastAsia="Arial" w:hAnsi="Arial"/>
                <w:sz w:val="15"/>
                <w:szCs w:val="15"/>
                <w:color w:val="auto"/>
              </w:rPr>
              <w:t>Advance Tax</w:t>
            </w:r>
          </w:p>
        </w:tc>
        <w:tc>
          <w:tcPr>
            <w:tcW w:w="2240" w:type="dxa"/>
            <w:vAlign w:val="bottom"/>
          </w:tcPr>
          <w:p>
            <w:pPr>
              <w:spacing w:after="0"/>
              <w:rPr>
                <w:sz w:val="14"/>
                <w:szCs w:val="14"/>
                <w:color w:val="auto"/>
              </w:rPr>
            </w:pPr>
          </w:p>
        </w:tc>
        <w:tc>
          <w:tcPr>
            <w:tcW w:w="7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2,025</w:t>
            </w:r>
          </w:p>
        </w:tc>
        <w:tc>
          <w:tcPr>
            <w:tcW w:w="200" w:type="dxa"/>
            <w:vAlign w:val="bottom"/>
          </w:tcPr>
          <w:p>
            <w:pPr>
              <w:spacing w:after="0"/>
              <w:rPr>
                <w:sz w:val="14"/>
                <w:szCs w:val="14"/>
                <w:color w:val="auto"/>
              </w:rPr>
            </w:pPr>
          </w:p>
        </w:tc>
        <w:tc>
          <w:tcPr>
            <w:tcW w:w="7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4,233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VAT/Sales Tax receivables</w:t>
            </w:r>
          </w:p>
        </w:tc>
        <w:tc>
          <w:tcPr>
            <w:tcW w:w="2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4,365</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2,947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40" w:type="dxa"/>
            <w:vAlign w:val="bottom"/>
            <w:gridSpan w:val="2"/>
          </w:tcPr>
          <w:p>
            <w:pPr>
              <w:spacing w:after="0" w:line="166" w:lineRule="exact"/>
              <w:rPr>
                <w:sz w:val="20"/>
                <w:szCs w:val="20"/>
                <w:color w:val="auto"/>
              </w:rPr>
            </w:pPr>
            <w:r>
              <w:rPr>
                <w:rFonts w:ascii="Arial" w:cs="Arial" w:eastAsia="Arial" w:hAnsi="Arial"/>
                <w:sz w:val="15"/>
                <w:szCs w:val="15"/>
                <w:color w:val="auto"/>
              </w:rPr>
              <w:t>Other receivables</w:t>
            </w:r>
          </w:p>
        </w:tc>
        <w:tc>
          <w:tcPr>
            <w:tcW w:w="2240" w:type="dxa"/>
            <w:vAlign w:val="bottom"/>
          </w:tcPr>
          <w:p>
            <w:pPr>
              <w:spacing w:after="0"/>
              <w:rPr>
                <w:sz w:val="14"/>
                <w:szCs w:val="14"/>
                <w:color w:val="auto"/>
              </w:rPr>
            </w:pPr>
          </w:p>
        </w:tc>
        <w:tc>
          <w:tcPr>
            <w:tcW w:w="7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3,742</w:t>
            </w:r>
          </w:p>
        </w:tc>
        <w:tc>
          <w:tcPr>
            <w:tcW w:w="200" w:type="dxa"/>
            <w:vAlign w:val="bottom"/>
          </w:tcPr>
          <w:p>
            <w:pPr>
              <w:spacing w:after="0"/>
              <w:rPr>
                <w:sz w:val="14"/>
                <w:szCs w:val="14"/>
                <w:color w:val="auto"/>
              </w:rPr>
            </w:pPr>
          </w:p>
        </w:tc>
        <w:tc>
          <w:tcPr>
            <w:tcW w:w="7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1,223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Deposits</w:t>
            </w:r>
          </w:p>
        </w:tc>
        <w:tc>
          <w:tcPr>
            <w:tcW w:w="2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840</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731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4640" w:type="dxa"/>
            <w:vAlign w:val="bottom"/>
            <w:tcBorders>
              <w:bottom w:val="single" w:sz="8" w:color="CCEEFF"/>
            </w:tcBorders>
          </w:tcPr>
          <w:p>
            <w:pPr>
              <w:spacing w:after="0"/>
              <w:rPr>
                <w:sz w:val="13"/>
                <w:szCs w:val="13"/>
                <w:color w:val="auto"/>
              </w:rPr>
            </w:pPr>
          </w:p>
        </w:tc>
        <w:tc>
          <w:tcPr>
            <w:tcW w:w="2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18,107</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14,415</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464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93,430</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81,104</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6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color w:val="auto"/>
        </w:rPr>
        <w:t>These include prepayments for call center optimization services from one of our affiliates - Afiniti Internations Holdings Limited.</w:t>
      </w:r>
    </w:p>
    <w:p>
      <w:pPr>
        <w:spacing w:after="0" w:line="159"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5"/>
          <w:szCs w:val="15"/>
          <w:b w:val="1"/>
          <w:bCs w:val="1"/>
          <w:color w:val="auto"/>
        </w:rPr>
        <w:t>9.2.</w:t>
      </w:r>
      <w:r>
        <w:rPr>
          <w:sz w:val="20"/>
          <w:szCs w:val="20"/>
          <w:color w:val="auto"/>
        </w:rPr>
        <w:tab/>
      </w:r>
      <w:r>
        <w:rPr>
          <w:rFonts w:ascii="Arial" w:cs="Arial" w:eastAsia="Arial" w:hAnsi="Arial"/>
          <w:sz w:val="14"/>
          <w:szCs w:val="14"/>
          <w:b w:val="1"/>
          <w:bCs w:val="1"/>
          <w:color w:val="auto"/>
        </w:rPr>
        <w:t>Allowance for credit losses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7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60"/>
              <w:spacing w:after="0" w:line="136" w:lineRule="exact"/>
              <w:rPr>
                <w:sz w:val="20"/>
                <w:szCs w:val="20"/>
                <w:color w:val="auto"/>
              </w:rPr>
            </w:pPr>
            <w:r>
              <w:rPr>
                <w:rFonts w:ascii="Arial" w:cs="Arial" w:eastAsia="Arial" w:hAnsi="Arial"/>
                <w:sz w:val="12"/>
                <w:szCs w:val="12"/>
                <w:b w:val="1"/>
                <w:bCs w:val="1"/>
                <w:color w:val="auto"/>
              </w:rPr>
              <w:t>June 30,</w:t>
            </w:r>
          </w:p>
        </w:tc>
        <w:tc>
          <w:tcPr>
            <w:tcW w:w="780" w:type="dxa"/>
            <w:vAlign w:val="bottom"/>
            <w:tcBorders>
              <w:top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7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2021</w:t>
            </w:r>
          </w:p>
        </w:tc>
      </w:tr>
      <w:tr>
        <w:trPr>
          <w:trHeight w:val="124"/>
        </w:trPr>
        <w:tc>
          <w:tcPr>
            <w:tcW w:w="7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3"/>
          </w:tcPr>
          <w:p>
            <w:pPr>
              <w:jc w:val="right"/>
              <w:ind w:right="530"/>
              <w:spacing w:after="0" w:line="124" w:lineRule="exact"/>
              <w:rPr>
                <w:sz w:val="20"/>
                <w:szCs w:val="20"/>
                <w:color w:val="auto"/>
              </w:rPr>
            </w:pPr>
            <w:r>
              <w:rPr>
                <w:rFonts w:ascii="Arial" w:cs="Arial" w:eastAsia="Arial" w:hAnsi="Arial"/>
                <w:sz w:val="12"/>
                <w:szCs w:val="12"/>
                <w:b w:val="1"/>
                <w:bCs w:val="1"/>
                <w:color w:val="auto"/>
              </w:rPr>
              <w:t>(US$’000)</w:t>
            </w:r>
          </w:p>
        </w:tc>
      </w:tr>
      <w:tr>
        <w:trPr>
          <w:trHeight w:val="157"/>
        </w:trPr>
        <w:tc>
          <w:tcPr>
            <w:tcW w:w="71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Opening balance</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2,301</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1,877</w:t>
            </w:r>
          </w:p>
        </w:tc>
      </w:tr>
      <w:tr>
        <w:trPr>
          <w:trHeight w:val="166"/>
        </w:trPr>
        <w:tc>
          <w:tcPr>
            <w:tcW w:w="7160" w:type="dxa"/>
            <w:vAlign w:val="bottom"/>
          </w:tcPr>
          <w:p>
            <w:pPr>
              <w:ind w:left="20"/>
              <w:spacing w:after="0" w:line="166" w:lineRule="exact"/>
              <w:rPr>
                <w:sz w:val="20"/>
                <w:szCs w:val="20"/>
                <w:color w:val="auto"/>
              </w:rPr>
            </w:pPr>
            <w:r>
              <w:rPr>
                <w:rFonts w:ascii="Arial" w:cs="Arial" w:eastAsia="Arial" w:hAnsi="Arial"/>
                <w:sz w:val="15"/>
                <w:szCs w:val="15"/>
                <w:color w:val="auto"/>
              </w:rPr>
              <w:t>Foreign exchange movements</w:t>
            </w:r>
          </w:p>
        </w:tc>
        <w:tc>
          <w:tcPr>
            <w:tcW w:w="100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(250)</w:t>
            </w: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133</w:t>
            </w:r>
          </w:p>
        </w:tc>
      </w:tr>
      <w:tr>
        <w:trPr>
          <w:trHeight w:val="166"/>
        </w:trPr>
        <w:tc>
          <w:tcPr>
            <w:tcW w:w="71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Loss allowance recognized during the year</w:t>
            </w:r>
          </w:p>
        </w:tc>
        <w:tc>
          <w:tcPr>
            <w:tcW w:w="100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(761)</w:t>
            </w:r>
          </w:p>
        </w:tc>
        <w:tc>
          <w:tcPr>
            <w:tcW w:w="7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291</w:t>
            </w:r>
          </w:p>
        </w:tc>
      </w:tr>
      <w:tr>
        <w:trPr>
          <w:trHeight w:val="166"/>
        </w:trPr>
        <w:tc>
          <w:tcPr>
            <w:tcW w:w="7160" w:type="dxa"/>
            <w:vAlign w:val="bottom"/>
          </w:tcPr>
          <w:p>
            <w:pPr>
              <w:ind w:left="20"/>
              <w:spacing w:after="0" w:line="166" w:lineRule="exact"/>
              <w:rPr>
                <w:sz w:val="20"/>
                <w:szCs w:val="20"/>
                <w:color w:val="auto"/>
              </w:rPr>
            </w:pPr>
            <w:r>
              <w:rPr>
                <w:rFonts w:ascii="Arial" w:cs="Arial" w:eastAsia="Arial" w:hAnsi="Arial"/>
                <w:sz w:val="15"/>
                <w:szCs w:val="15"/>
                <w:color w:val="auto"/>
              </w:rPr>
              <w:t>Trade receivables written off against allowance</w:t>
            </w:r>
          </w:p>
        </w:tc>
        <w:tc>
          <w:tcPr>
            <w:tcW w:w="1000" w:type="dxa"/>
            <w:vAlign w:val="bottom"/>
            <w:gridSpan w:val="2"/>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r>
      <w:tr>
        <w:trPr>
          <w:trHeight w:val="157"/>
        </w:trPr>
        <w:tc>
          <w:tcPr>
            <w:tcW w:w="7160" w:type="dxa"/>
            <w:vAlign w:val="bottom"/>
            <w:tcBorders>
              <w:top w:val="single" w:sz="8" w:color="CCEEFF"/>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Closing balance</w:t>
            </w:r>
          </w:p>
        </w:tc>
        <w:tc>
          <w:tcPr>
            <w:tcW w:w="8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1,290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2,301</w:t>
            </w:r>
          </w:p>
        </w:tc>
      </w:tr>
      <w:tr>
        <w:trPr>
          <w:trHeight w:val="20"/>
        </w:trPr>
        <w:tc>
          <w:tcPr>
            <w:tcW w:w="7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9"/>
        </w:trPr>
        <w:tc>
          <w:tcPr>
            <w:tcW w:w="7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1" w:name="page162"/>
    <w:bookmarkEnd w:id="16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560" w:hanging="525"/>
        <w:spacing w:after="0"/>
        <w:tabs>
          <w:tab w:leader="none" w:pos="56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CASH AND CASH EQUIVALENTS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ind w:left="160"/>
              <w:spacing w:after="0" w:line="136" w:lineRule="exact"/>
              <w:rPr>
                <w:sz w:val="20"/>
                <w:szCs w:val="20"/>
                <w:color w:val="auto"/>
              </w:rPr>
            </w:pPr>
            <w:r>
              <w:rPr>
                <w:rFonts w:ascii="Arial" w:cs="Arial" w:eastAsia="Arial" w:hAnsi="Arial"/>
                <w:sz w:val="12"/>
                <w:szCs w:val="12"/>
                <w:b w:val="1"/>
                <w:bCs w:val="1"/>
                <w:color w:val="auto"/>
              </w:rPr>
              <w:t>June 30,</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1"/>
              <w:spacing w:after="0" w:line="136" w:lineRule="exact"/>
              <w:rPr>
                <w:sz w:val="20"/>
                <w:szCs w:val="20"/>
                <w:color w:val="auto"/>
              </w:rPr>
            </w:pPr>
            <w:r>
              <w:rPr>
                <w:rFonts w:ascii="Arial" w:cs="Arial" w:eastAsia="Arial" w:hAnsi="Arial"/>
                <w:sz w:val="12"/>
                <w:szCs w:val="12"/>
                <w:b w:val="1"/>
                <w:bCs w:val="1"/>
                <w:color w:val="auto"/>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980"/>
              <w:spacing w:after="0"/>
              <w:rPr>
                <w:sz w:val="20"/>
                <w:szCs w:val="20"/>
                <w:color w:val="auto"/>
              </w:rPr>
            </w:pPr>
            <w:r>
              <w:rPr>
                <w:rFonts w:ascii="Arial" w:cs="Arial" w:eastAsia="Arial" w:hAnsi="Arial"/>
                <w:sz w:val="12"/>
                <w:szCs w:val="12"/>
                <w:b w:val="1"/>
                <w:bCs w:val="1"/>
                <w:color w:val="auto"/>
              </w:rPr>
              <w:t>2022</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5"/>
          </w:tcPr>
          <w:p>
            <w:pPr>
              <w:jc w:val="right"/>
              <w:ind w:right="531"/>
              <w:spacing w:after="0" w:line="124" w:lineRule="exact"/>
              <w:rPr>
                <w:sz w:val="20"/>
                <w:szCs w:val="20"/>
                <w:color w:val="auto"/>
              </w:rPr>
            </w:pPr>
            <w:r>
              <w:rPr>
                <w:rFonts w:ascii="Arial" w:cs="Arial" w:eastAsia="Arial" w:hAnsi="Arial"/>
                <w:sz w:val="12"/>
                <w:szCs w:val="12"/>
                <w:b w:val="1"/>
                <w:bCs w:val="1"/>
                <w:color w:val="auto"/>
              </w:rPr>
              <w:t>(US$’000)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46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5"/>
                <w:szCs w:val="15"/>
                <w:color w:val="auto"/>
              </w:rPr>
              <w:t>Balances with banks in:</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60" w:type="dxa"/>
            <w:vAlign w:val="bottom"/>
            <w:gridSpan w:val="3"/>
          </w:tcPr>
          <w:p>
            <w:pPr>
              <w:ind w:left="20"/>
              <w:spacing w:after="0" w:line="166" w:lineRule="exact"/>
              <w:rPr>
                <w:sz w:val="20"/>
                <w:szCs w:val="20"/>
                <w:color w:val="auto"/>
              </w:rPr>
            </w:pPr>
            <w:r>
              <w:rPr>
                <w:rFonts w:ascii="Arial" w:cs="Arial" w:eastAsia="Arial" w:hAnsi="Arial"/>
                <w:sz w:val="15"/>
                <w:szCs w:val="15"/>
                <w:color w:val="auto"/>
              </w:rPr>
              <w:t>− current accounts</w:t>
            </w:r>
          </w:p>
        </w:tc>
        <w:tc>
          <w:tcPr>
            <w:tcW w:w="1500" w:type="dxa"/>
            <w:vAlign w:val="bottom"/>
            <w:gridSpan w:val="4"/>
          </w:tcPr>
          <w:p>
            <w:pPr>
              <w:jc w:val="right"/>
              <w:ind w:right="60"/>
              <w:spacing w:after="0" w:line="166" w:lineRule="exact"/>
              <w:rPr>
                <w:sz w:val="20"/>
                <w:szCs w:val="20"/>
                <w:color w:val="auto"/>
              </w:rPr>
            </w:pPr>
            <w:r>
              <w:rPr>
                <w:rFonts w:ascii="Arial" w:cs="Arial" w:eastAsia="Arial" w:hAnsi="Arial"/>
                <w:sz w:val="15"/>
                <w:szCs w:val="15"/>
                <w:color w:val="auto"/>
              </w:rPr>
              <w:t>46,675</w:t>
            </w:r>
          </w:p>
        </w:tc>
        <w:tc>
          <w:tcPr>
            <w:tcW w:w="80" w:type="dxa"/>
            <w:vAlign w:val="bottom"/>
          </w:tcPr>
          <w:p>
            <w:pPr>
              <w:spacing w:after="0"/>
              <w:rPr>
                <w:sz w:val="14"/>
                <w:szCs w:val="14"/>
                <w:color w:val="auto"/>
              </w:rPr>
            </w:pPr>
          </w:p>
        </w:tc>
        <w:tc>
          <w:tcPr>
            <w:tcW w:w="9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55,258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3"/>
            <w:shd w:val="clear" w:color="auto" w:fill="CCEEFF"/>
          </w:tcPr>
          <w:p>
            <w:pPr>
              <w:ind w:left="20"/>
              <w:spacing w:after="0" w:line="166" w:lineRule="exact"/>
              <w:rPr>
                <w:sz w:val="20"/>
                <w:szCs w:val="20"/>
                <w:color w:val="auto"/>
              </w:rPr>
            </w:pPr>
            <w:r>
              <w:rPr>
                <w:rFonts w:ascii="Arial" w:cs="Arial" w:eastAsia="Arial" w:hAnsi="Arial"/>
                <w:sz w:val="15"/>
                <w:szCs w:val="15"/>
                <w:color w:val="auto"/>
              </w:rPr>
              <w:t>− deposit accounts (with a maturity of 3 months or less at inception)</w:t>
            </w:r>
          </w:p>
        </w:tc>
        <w:tc>
          <w:tcPr>
            <w:tcW w:w="1500" w:type="dxa"/>
            <w:vAlign w:val="bottom"/>
            <w:gridSpan w:val="4"/>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2,131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2,559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Borders>
              <w:top w:val="single" w:sz="8" w:color="auto"/>
            </w:tcBorders>
            <w:gridSpan w:val="3"/>
          </w:tcPr>
          <w:p>
            <w:pPr>
              <w:jc w:val="right"/>
              <w:ind w:right="60"/>
              <w:spacing w:after="0" w:line="157" w:lineRule="exact"/>
              <w:rPr>
                <w:sz w:val="20"/>
                <w:szCs w:val="20"/>
                <w:color w:val="auto"/>
              </w:rPr>
            </w:pPr>
            <w:r>
              <w:rPr>
                <w:rFonts w:ascii="Arial" w:cs="Arial" w:eastAsia="Arial" w:hAnsi="Arial"/>
                <w:sz w:val="15"/>
                <w:szCs w:val="15"/>
                <w:color w:val="auto"/>
              </w:rPr>
              <w:t>48,806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57,817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60" w:type="dxa"/>
            <w:vAlign w:val="bottom"/>
            <w:gridSpan w:val="3"/>
            <w:shd w:val="clear" w:color="auto" w:fill="CCEEFF"/>
          </w:tcPr>
          <w:p>
            <w:pPr>
              <w:ind w:left="20"/>
              <w:spacing w:after="0" w:line="166" w:lineRule="exact"/>
              <w:rPr>
                <w:sz w:val="20"/>
                <w:szCs w:val="20"/>
                <w:color w:val="auto"/>
              </w:rPr>
            </w:pPr>
            <w:r>
              <w:rPr>
                <w:rFonts w:ascii="Arial" w:cs="Arial" w:eastAsia="Arial" w:hAnsi="Arial"/>
                <w:sz w:val="15"/>
                <w:szCs w:val="15"/>
                <w:color w:val="auto"/>
              </w:rPr>
              <w:t>Cash in hand</w:t>
            </w:r>
          </w:p>
        </w:tc>
        <w:tc>
          <w:tcPr>
            <w:tcW w:w="1500" w:type="dxa"/>
            <w:vAlign w:val="bottom"/>
            <w:gridSpan w:val="4"/>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0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3"/>
          </w:tcPr>
          <w:p>
            <w:pPr>
              <w:jc w:val="right"/>
              <w:ind w:right="60"/>
              <w:spacing w:after="0" w:line="157" w:lineRule="exact"/>
              <w:rPr>
                <w:sz w:val="20"/>
                <w:szCs w:val="20"/>
                <w:color w:val="auto"/>
              </w:rPr>
            </w:pPr>
            <w:r>
              <w:rPr>
                <w:rFonts w:ascii="Arial" w:cs="Arial" w:eastAsia="Arial" w:hAnsi="Arial"/>
                <w:sz w:val="15"/>
                <w:szCs w:val="15"/>
                <w:b w:val="1"/>
                <w:bCs w:val="1"/>
                <w:color w:val="auto"/>
              </w:rPr>
              <w:t>48,831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57,842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0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380" w:type="dxa"/>
            <w:vAlign w:val="bottom"/>
            <w:gridSpan w:val="2"/>
          </w:tcPr>
          <w:p>
            <w:pPr>
              <w:ind w:left="20"/>
              <w:spacing w:after="0"/>
              <w:rPr>
                <w:sz w:val="20"/>
                <w:szCs w:val="20"/>
                <w:color w:val="auto"/>
              </w:rPr>
            </w:pPr>
            <w:r>
              <w:rPr>
                <w:rFonts w:ascii="Arial" w:cs="Arial" w:eastAsia="Arial" w:hAnsi="Arial"/>
                <w:sz w:val="15"/>
                <w:szCs w:val="15"/>
                <w:b w:val="1"/>
                <w:bCs w:val="1"/>
                <w:color w:val="auto"/>
              </w:rPr>
              <w:t>11.</w:t>
            </w:r>
          </w:p>
        </w:tc>
        <w:tc>
          <w:tcPr>
            <w:tcW w:w="6080" w:type="dxa"/>
            <w:vAlign w:val="bottom"/>
          </w:tcPr>
          <w:p>
            <w:pPr>
              <w:ind w:left="160"/>
              <w:spacing w:after="0"/>
              <w:rPr>
                <w:sz w:val="20"/>
                <w:szCs w:val="20"/>
                <w:color w:val="auto"/>
              </w:rPr>
            </w:pPr>
            <w:r>
              <w:rPr>
                <w:rFonts w:ascii="Arial" w:cs="Arial" w:eastAsia="Arial" w:hAnsi="Arial"/>
                <w:sz w:val="15"/>
                <w:szCs w:val="15"/>
                <w:b w:val="1"/>
                <w:bCs w:val="1"/>
                <w:color w:val="auto"/>
              </w:rPr>
              <w:t>DEFERRED REVENUE</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spacing w:after="0"/>
              <w:rPr>
                <w:sz w:val="14"/>
                <w:szCs w:val="14"/>
                <w:color w:val="auto"/>
              </w:rPr>
            </w:pPr>
          </w:p>
        </w:tc>
        <w:tc>
          <w:tcPr>
            <w:tcW w:w="920" w:type="dxa"/>
            <w:vAlign w:val="bottom"/>
            <w:tcBorders>
              <w:bottom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580" w:type="dxa"/>
            <w:vAlign w:val="bottom"/>
            <w:gridSpan w:val="5"/>
          </w:tcPr>
          <w:p>
            <w:pPr>
              <w:jc w:val="center"/>
              <w:ind w:right="460"/>
              <w:spacing w:after="0" w:line="116" w:lineRule="exact"/>
              <w:rPr>
                <w:sz w:val="20"/>
                <w:szCs w:val="20"/>
                <w:color w:val="auto"/>
              </w:rPr>
            </w:pPr>
            <w:r>
              <w:rPr>
                <w:rFonts w:ascii="Arial" w:cs="Arial" w:eastAsia="Arial" w:hAnsi="Arial"/>
                <w:sz w:val="12"/>
                <w:szCs w:val="12"/>
                <w:b w:val="1"/>
                <w:bCs w:val="1"/>
                <w:color w:val="auto"/>
                <w:w w:val="99"/>
              </w:rPr>
              <w:t>June 30,</w:t>
            </w:r>
          </w:p>
        </w:tc>
        <w:tc>
          <w:tcPr>
            <w:tcW w:w="920" w:type="dxa"/>
            <w:vAlign w:val="bottom"/>
            <w:gridSpan w:val="3"/>
          </w:tcPr>
          <w:p>
            <w:pPr>
              <w:jc w:val="right"/>
              <w:ind w:right="360"/>
              <w:spacing w:after="0" w:line="116" w:lineRule="exact"/>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371"/>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4"/>
          </w:tcPr>
          <w:p>
            <w:pPr>
              <w:ind w:left="280"/>
              <w:spacing w:after="0" w:line="124" w:lineRule="exact"/>
              <w:rPr>
                <w:sz w:val="20"/>
                <w:szCs w:val="20"/>
                <w:color w:val="auto"/>
              </w:rPr>
            </w:pPr>
            <w:r>
              <w:rPr>
                <w:rFonts w:ascii="Arial" w:cs="Arial" w:eastAsia="Arial" w:hAnsi="Arial"/>
                <w:sz w:val="12"/>
                <w:szCs w:val="12"/>
                <w:b w:val="1"/>
                <w:bCs w:val="1"/>
                <w:color w:val="auto"/>
              </w:rPr>
              <w:t>(US$’000)</w:t>
            </w: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4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Deferred revenue</w:t>
            </w:r>
          </w:p>
        </w:tc>
        <w:tc>
          <w:tcPr>
            <w:tcW w:w="11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12,593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7,087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40" w:type="dxa"/>
            <w:vAlign w:val="bottom"/>
            <w:tcBorders>
              <w:bottom w:val="single" w:sz="8" w:color="CCEEFF"/>
            </w:tcBorders>
            <w:gridSpan w:val="2"/>
          </w:tcPr>
          <w:p>
            <w:pPr>
              <w:spacing w:after="0" w:line="166" w:lineRule="exact"/>
              <w:rPr>
                <w:sz w:val="20"/>
                <w:szCs w:val="20"/>
                <w:color w:val="auto"/>
              </w:rPr>
            </w:pPr>
            <w:r>
              <w:rPr>
                <w:rFonts w:ascii="Arial" w:cs="Arial" w:eastAsia="Arial" w:hAnsi="Arial"/>
                <w:sz w:val="15"/>
                <w:szCs w:val="15"/>
                <w:color w:val="auto"/>
              </w:rPr>
              <w:t>Less: current portion of deferred revenue</w:t>
            </w:r>
          </w:p>
        </w:tc>
        <w:tc>
          <w:tcPr>
            <w:tcW w:w="1140" w:type="dxa"/>
            <w:vAlign w:val="bottom"/>
            <w:tcBorders>
              <w:bottom w:val="single" w:sz="8" w:color="auto"/>
            </w:tcBorders>
            <w:gridSpan w:val="2"/>
          </w:tcPr>
          <w:p>
            <w:pPr>
              <w:jc w:val="right"/>
              <w:spacing w:after="0" w:line="166" w:lineRule="exact"/>
              <w:rPr>
                <w:sz w:val="20"/>
                <w:szCs w:val="20"/>
                <w:color w:val="auto"/>
              </w:rPr>
            </w:pPr>
            <w:r>
              <w:rPr>
                <w:rFonts w:ascii="Arial" w:cs="Arial" w:eastAsia="Arial" w:hAnsi="Arial"/>
                <w:sz w:val="15"/>
                <w:szCs w:val="15"/>
                <w:color w:val="auto"/>
              </w:rPr>
              <w:t>(8,600)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line="166" w:lineRule="exact"/>
              <w:rPr>
                <w:sz w:val="20"/>
                <w:szCs w:val="20"/>
                <w:color w:val="auto"/>
              </w:rPr>
            </w:pPr>
            <w:r>
              <w:rPr>
                <w:rFonts w:ascii="Arial" w:cs="Arial" w:eastAsia="Arial" w:hAnsi="Arial"/>
                <w:sz w:val="15"/>
                <w:szCs w:val="15"/>
                <w:color w:val="auto"/>
              </w:rPr>
              <w:t>(4,077)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0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3,993</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3,010</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60" w:hanging="525"/>
        <w:spacing w:after="0"/>
        <w:tabs>
          <w:tab w:leader="none" w:pos="560"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SHARE CAPITAL AND OTHER RESERVES</w:t>
      </w:r>
    </w:p>
    <w:p>
      <w:pPr>
        <w:spacing w:after="0" w:line="170" w:lineRule="exact"/>
        <w:rPr>
          <w:rFonts w:ascii="Arial" w:cs="Arial" w:eastAsia="Arial" w:hAnsi="Arial"/>
          <w:sz w:val="15"/>
          <w:szCs w:val="15"/>
          <w:b w:val="1"/>
          <w:bCs w:val="1"/>
          <w:color w:val="auto"/>
        </w:rPr>
      </w:pPr>
    </w:p>
    <w:p>
      <w:pPr>
        <w:ind w:left="560" w:hanging="525"/>
        <w:spacing w:after="0"/>
        <w:tabs>
          <w:tab w:leader="none" w:pos="560"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Share capital as of June 30, 2022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is authorized to issue up to 108,057,967 common shares at a par value of $0.0001 per share.</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On August 7, 2020, the Company’s common shares began trading on the Nasdaq Global Market under the ticker symbol “IBEX” at $19 per share.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As of June 30, 2022, there were 18,246,391 common shares issued and outstanding.</w:t>
      </w:r>
    </w:p>
    <w:p>
      <w:pPr>
        <w:spacing w:after="0" w:line="170"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12.2</w:t>
      </w:r>
      <w:r>
        <w:rPr>
          <w:sz w:val="20"/>
          <w:szCs w:val="20"/>
          <w:color w:val="auto"/>
        </w:rPr>
        <w:tab/>
      </w:r>
      <w:r>
        <w:rPr>
          <w:rFonts w:ascii="Arial" w:cs="Arial" w:eastAsia="Arial" w:hAnsi="Arial"/>
          <w:sz w:val="14"/>
          <w:szCs w:val="14"/>
          <w:b w:val="1"/>
          <w:bCs w:val="1"/>
          <w:color w:val="auto"/>
        </w:rPr>
        <w:t>Share Capital as of June 30, 2021</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is authorized to issue up to 108,057,967 common shares at a par value of $0.0001 per share.</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On August 7, 2020, the Company’s common shares began trading on the Nasdaq Global Market under the ticker symbol “IBEX” at $19 per share. Of the 4,761,905 common shares offered, 3,571,429 were offered by the Company and 1,190,476 were offered by TRGI, our principal shareholder. The net offering proceeds to the Company, before expenses, and after deducting underwriting discounts and commissions were approximately $63.1 million. $1.6 million of the net proceeds from our initial public offering was used to pay offering related expenses. The Company did not receive any proceeds from the sale of shares by TRGI.</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On the date of the Company’s initial public offering, the Series A, Series B, Series C preferred shares and the Class B common shares were automatically converted into 14,119,384 common shares as follows:</w:t>
      </w:r>
    </w:p>
    <w:p>
      <w:pPr>
        <w:spacing w:after="0" w:line="135" w:lineRule="exact"/>
        <w:rPr>
          <w:sz w:val="20"/>
          <w:szCs w:val="20"/>
          <w:color w:val="auto"/>
        </w:rPr>
      </w:pPr>
    </w:p>
    <w:p>
      <w:pPr>
        <w:ind w:left="300" w:hanging="265"/>
        <w:spacing w:after="0"/>
        <w:tabs>
          <w:tab w:leader="none" w:pos="300" w:val="left"/>
        </w:tabs>
        <w:numPr>
          <w:ilvl w:val="0"/>
          <w:numId w:val="104"/>
        </w:numPr>
        <w:rPr>
          <w:rFonts w:ascii="Times New Roman" w:cs="Times New Roman" w:eastAsia="Times New Roman" w:hAnsi="Times New Roman"/>
          <w:sz w:val="15"/>
          <w:szCs w:val="15"/>
          <w:color w:val="auto"/>
        </w:rPr>
      </w:pPr>
      <w:r>
        <w:rPr>
          <w:rFonts w:ascii="Arial" w:cs="Arial" w:eastAsia="Arial" w:hAnsi="Arial"/>
          <w:sz w:val="15"/>
          <w:szCs w:val="15"/>
          <w:color w:val="auto"/>
        </w:rPr>
        <w:t>Series A preferred shares converted to Series C on a 1:1 basis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2" w:name="page163"/>
    <w:bookmarkEnd w:id="16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300" w:hanging="265"/>
        <w:spacing w:after="0"/>
        <w:tabs>
          <w:tab w:leader="none" w:pos="300" w:val="left"/>
        </w:tabs>
        <w:numPr>
          <w:ilvl w:val="0"/>
          <w:numId w:val="105"/>
        </w:numPr>
        <w:rPr>
          <w:rFonts w:ascii="Times New Roman" w:cs="Times New Roman" w:eastAsia="Times New Roman" w:hAnsi="Times New Roman"/>
          <w:sz w:val="15"/>
          <w:szCs w:val="15"/>
          <w:color w:val="auto"/>
        </w:rPr>
      </w:pPr>
      <w:r>
        <w:rPr>
          <w:rFonts w:ascii="Arial" w:cs="Arial" w:eastAsia="Arial" w:hAnsi="Arial"/>
          <w:sz w:val="15"/>
          <w:szCs w:val="15"/>
          <w:color w:val="auto"/>
        </w:rPr>
        <w:t>Series B preferred shares converted to Series C on a 1:1 basis</w:t>
      </w:r>
    </w:p>
    <w:p>
      <w:pPr>
        <w:spacing w:after="0" w:line="17" w:lineRule="exact"/>
        <w:rPr>
          <w:rFonts w:ascii="Times New Roman" w:cs="Times New Roman" w:eastAsia="Times New Roman" w:hAnsi="Times New Roman"/>
          <w:sz w:val="15"/>
          <w:szCs w:val="15"/>
          <w:color w:val="auto"/>
        </w:rPr>
      </w:pPr>
    </w:p>
    <w:p>
      <w:pPr>
        <w:ind w:left="300" w:right="59" w:hanging="265"/>
        <w:spacing w:after="0" w:line="238" w:lineRule="auto"/>
        <w:tabs>
          <w:tab w:leader="none" w:pos="300" w:val="left"/>
        </w:tabs>
        <w:numPr>
          <w:ilvl w:val="0"/>
          <w:numId w:val="105"/>
        </w:numPr>
        <w:rPr>
          <w:rFonts w:ascii="Times New Roman" w:cs="Times New Roman" w:eastAsia="Times New Roman" w:hAnsi="Times New Roman"/>
          <w:sz w:val="15"/>
          <w:szCs w:val="15"/>
          <w:color w:val="auto"/>
        </w:rPr>
      </w:pPr>
      <w:r>
        <w:rPr>
          <w:rFonts w:ascii="Arial" w:cs="Arial" w:eastAsia="Arial" w:hAnsi="Arial"/>
          <w:sz w:val="15"/>
          <w:szCs w:val="15"/>
          <w:color w:val="auto"/>
        </w:rPr>
        <w:t>Series C preferred shares (including those existing as a result of the above conversions) then converted to Class A common shares at 1.158 to 1 based on a pre-determined formula.</w:t>
      </w:r>
    </w:p>
    <w:p>
      <w:pPr>
        <w:ind w:left="300" w:hanging="265"/>
        <w:spacing w:after="0"/>
        <w:tabs>
          <w:tab w:leader="none" w:pos="300" w:val="left"/>
        </w:tabs>
        <w:numPr>
          <w:ilvl w:val="0"/>
          <w:numId w:val="105"/>
        </w:numPr>
        <w:rPr>
          <w:rFonts w:ascii="Times New Roman" w:cs="Times New Roman" w:eastAsia="Times New Roman" w:hAnsi="Times New Roman"/>
          <w:sz w:val="15"/>
          <w:szCs w:val="15"/>
          <w:color w:val="auto"/>
        </w:rPr>
      </w:pPr>
      <w:r>
        <w:rPr>
          <w:rFonts w:ascii="Arial" w:cs="Arial" w:eastAsia="Arial" w:hAnsi="Arial"/>
          <w:sz w:val="15"/>
          <w:szCs w:val="15"/>
          <w:color w:val="auto"/>
        </w:rPr>
        <w:t>Class B common shares converted to Class A common shares on a 1:1 basis.</w:t>
      </w:r>
    </w:p>
    <w:p>
      <w:pPr>
        <w:spacing w:after="0" w:line="3" w:lineRule="exact"/>
        <w:rPr>
          <w:rFonts w:ascii="Times New Roman" w:cs="Times New Roman" w:eastAsia="Times New Roman" w:hAnsi="Times New Roman"/>
          <w:sz w:val="15"/>
          <w:szCs w:val="15"/>
          <w:color w:val="auto"/>
        </w:rPr>
      </w:pPr>
    </w:p>
    <w:p>
      <w:pPr>
        <w:ind w:left="300" w:right="39" w:hanging="265"/>
        <w:spacing w:after="0" w:line="254" w:lineRule="auto"/>
        <w:tabs>
          <w:tab w:leader="none" w:pos="300" w:val="left"/>
        </w:tabs>
        <w:numPr>
          <w:ilvl w:val="0"/>
          <w:numId w:val="105"/>
        </w:numPr>
        <w:rPr>
          <w:rFonts w:ascii="Times New Roman" w:cs="Times New Roman" w:eastAsia="Times New Roman" w:hAnsi="Times New Roman"/>
          <w:sz w:val="15"/>
          <w:szCs w:val="15"/>
          <w:color w:val="auto"/>
        </w:rPr>
      </w:pPr>
      <w:r>
        <w:rPr>
          <w:rFonts w:ascii="Arial" w:cs="Arial" w:eastAsia="Arial" w:hAnsi="Arial"/>
          <w:sz w:val="15"/>
          <w:szCs w:val="15"/>
          <w:color w:val="auto"/>
        </w:rPr>
        <w:t>Class B and Class A common shares were combined into one class of common shares as of the initial public offering date (</w:t>
      </w:r>
      <w:r>
        <w:rPr>
          <w:rFonts w:ascii="Times New Roman" w:cs="Times New Roman" w:eastAsia="Times New Roman" w:hAnsi="Times New Roman"/>
          <w:sz w:val="15"/>
          <w:szCs w:val="15"/>
          <w:color w:val="auto"/>
        </w:rPr>
        <w:t>“</w:t>
      </w:r>
      <w:r>
        <w:rPr>
          <w:rFonts w:ascii="Arial" w:cs="Arial" w:eastAsia="Arial" w:hAnsi="Arial"/>
          <w:sz w:val="15"/>
          <w:szCs w:val="15"/>
          <w:color w:val="auto"/>
        </w:rPr>
        <w:t>Common Shares</w:t>
      </w:r>
      <w:r>
        <w:rPr>
          <w:rFonts w:ascii="Times New Roman" w:cs="Times New Roman" w:eastAsia="Times New Roman" w:hAnsi="Times New Roman"/>
          <w:sz w:val="15"/>
          <w:szCs w:val="15"/>
          <w:color w:val="auto"/>
        </w:rPr>
        <w:t>”</w:t>
      </w:r>
      <w:r>
        <w:rPr>
          <w:rFonts w:ascii="Arial" w:cs="Arial" w:eastAsia="Arial" w:hAnsi="Arial"/>
          <w:sz w:val="15"/>
          <w:szCs w:val="15"/>
          <w:color w:val="auto"/>
        </w:rPr>
        <w: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As of June 30, 2021, there were 18,399,063 common shares issued and outstanding.</w:t>
      </w:r>
    </w:p>
    <w:p>
      <w:pPr>
        <w:spacing w:after="0" w:line="170" w:lineRule="exact"/>
        <w:rPr>
          <w:sz w:val="20"/>
          <w:szCs w:val="20"/>
          <w:color w:val="auto"/>
        </w:rPr>
      </w:pPr>
    </w:p>
    <w:p>
      <w:pPr>
        <w:ind w:left="40"/>
        <w:spacing w:after="0"/>
        <w:tabs>
          <w:tab w:leader="none" w:pos="500" w:val="left"/>
        </w:tabs>
        <w:rPr>
          <w:sz w:val="20"/>
          <w:szCs w:val="20"/>
          <w:color w:val="auto"/>
        </w:rPr>
      </w:pPr>
      <w:r>
        <w:rPr>
          <w:rFonts w:ascii="Arial" w:cs="Arial" w:eastAsia="Arial" w:hAnsi="Arial"/>
          <w:sz w:val="15"/>
          <w:szCs w:val="15"/>
          <w:b w:val="1"/>
          <w:bCs w:val="1"/>
          <w:color w:val="auto"/>
        </w:rPr>
        <w:t>12.3.</w:t>
      </w:r>
      <w:r>
        <w:rPr>
          <w:sz w:val="20"/>
          <w:szCs w:val="20"/>
          <w:color w:val="auto"/>
        </w:rPr>
        <w:tab/>
      </w:r>
      <w:r>
        <w:rPr>
          <w:rFonts w:ascii="Arial" w:cs="Arial" w:eastAsia="Arial" w:hAnsi="Arial"/>
          <w:sz w:val="14"/>
          <w:szCs w:val="14"/>
          <w:color w:val="auto"/>
        </w:rPr>
        <w:t>The additional paid in capital as of June 30, 2022 and June 30, 2021 is $154.8 million and $158.2 million respectively.</w:t>
      </w:r>
    </w:p>
    <w:p>
      <w:pPr>
        <w:spacing w:after="0" w:line="170" w:lineRule="exact"/>
        <w:rPr>
          <w:sz w:val="20"/>
          <w:szCs w:val="20"/>
          <w:color w:val="auto"/>
        </w:rPr>
      </w:pPr>
    </w:p>
    <w:p>
      <w:pPr>
        <w:ind w:left="40" w:right="279"/>
        <w:spacing w:after="0" w:line="260" w:lineRule="auto"/>
        <w:rPr>
          <w:sz w:val="20"/>
          <w:szCs w:val="20"/>
          <w:color w:val="auto"/>
        </w:rPr>
      </w:pPr>
      <w:r>
        <w:rPr>
          <w:rFonts w:ascii="Arial" w:cs="Arial" w:eastAsia="Arial" w:hAnsi="Arial"/>
          <w:sz w:val="15"/>
          <w:szCs w:val="15"/>
          <w:color w:val="auto"/>
        </w:rPr>
        <w:t>Additional paid in capital decreased due primarily due to the purchase of treasury shares ($3.4 million paid in the year ended June 30, 2022 and no purchases of treasury shares during the fiscal year ended June 30, 2021).</w:t>
      </w:r>
    </w:p>
    <w:p>
      <w:pPr>
        <w:spacing w:after="0" w:line="135"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12.4.</w:t>
      </w:r>
      <w:r>
        <w:rPr>
          <w:sz w:val="20"/>
          <w:szCs w:val="20"/>
          <w:color w:val="auto"/>
        </w:rPr>
        <w:tab/>
      </w:r>
      <w:r>
        <w:rPr>
          <w:rFonts w:ascii="Arial" w:cs="Arial" w:eastAsia="Arial" w:hAnsi="Arial"/>
          <w:sz w:val="14"/>
          <w:szCs w:val="14"/>
          <w:b w:val="1"/>
          <w:bCs w:val="1"/>
          <w:color w:val="auto"/>
        </w:rPr>
        <w:t>Other Reserves</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nature and purpose of other reserves within equity is described below:</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Reorganization reserve</w:t>
      </w:r>
    </w:p>
    <w:p>
      <w:pPr>
        <w:spacing w:after="0" w:line="170"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Reorganization reserve consists of differences between the combined net asset values of subsidiaries from their separate financial statements and recognized share capital.</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Share option plans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 average cost of options / awards kept under the share option plans that pertain to the Group’s various subsidiaries.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Foreign currency translation reserve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Gain / losses arising on retranslating the net assets of overseas operations into presentation currency.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Actuarial gain on defined benefit scheme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Actuarial gain or losses represents adjustments to actuarial assumptions used to value defined benefit pension scheme obligations.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Accumulated deficit</w:t>
      </w:r>
    </w:p>
    <w:p>
      <w:pPr>
        <w:spacing w:after="0" w:line="170"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accumulated deficit decreased from $110.7 million per end of June 30, 2021 to $87.7 million as of June 30, 2022. The decrease is due to the net income of the year ended June 30, 2022 amounting to $23.0 million.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3" w:name="page164"/>
    <w:bookmarkEnd w:id="16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13.</w:t>
            </w:r>
          </w:p>
        </w:tc>
        <w:tc>
          <w:tcPr>
            <w:tcW w:w="4340" w:type="dxa"/>
            <w:vAlign w:val="bottom"/>
          </w:tcPr>
          <w:p>
            <w:pPr>
              <w:ind w:left="100"/>
              <w:spacing w:after="0"/>
              <w:rPr>
                <w:sz w:val="20"/>
                <w:szCs w:val="20"/>
                <w:color w:val="auto"/>
              </w:rPr>
            </w:pPr>
            <w:r>
              <w:rPr>
                <w:rFonts w:ascii="Arial" w:cs="Arial" w:eastAsia="Arial" w:hAnsi="Arial"/>
                <w:sz w:val="15"/>
                <w:szCs w:val="15"/>
                <w:b w:val="1"/>
                <w:bCs w:val="1"/>
                <w:color w:val="auto"/>
              </w:rPr>
              <w:t>BORROWINGS</w:t>
            </w: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7"/>
        </w:trPr>
        <w:tc>
          <w:tcPr>
            <w:tcW w:w="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780" w:type="dxa"/>
            <w:vAlign w:val="bottom"/>
            <w:gridSpan w:val="2"/>
          </w:tcPr>
          <w:p>
            <w:pPr>
              <w:spacing w:after="0"/>
              <w:rPr>
                <w:sz w:val="14"/>
                <w:szCs w:val="14"/>
                <w:color w:val="auto"/>
              </w:rPr>
            </w:pPr>
          </w:p>
        </w:tc>
      </w:tr>
      <w:tr>
        <w:trPr>
          <w:trHeight w:val="116"/>
        </w:trPr>
        <w:tc>
          <w:tcPr>
            <w:tcW w:w="440" w:type="dxa"/>
            <w:vAlign w:val="bottom"/>
            <w:tcBorders>
              <w:top w:val="single" w:sz="8" w:color="auto"/>
            </w:tcBorders>
          </w:tcPr>
          <w:p>
            <w:pPr>
              <w:spacing w:after="0"/>
              <w:rPr>
                <w:sz w:val="10"/>
                <w:szCs w:val="10"/>
                <w:color w:val="auto"/>
              </w:rPr>
            </w:pPr>
          </w:p>
        </w:tc>
        <w:tc>
          <w:tcPr>
            <w:tcW w:w="434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4"/>
          </w:tcPr>
          <w:p>
            <w:pPr>
              <w:jc w:val="center"/>
              <w:ind w:right="440"/>
              <w:spacing w:after="0" w:line="116" w:lineRule="exact"/>
              <w:rPr>
                <w:sz w:val="20"/>
                <w:szCs w:val="20"/>
                <w:color w:val="auto"/>
              </w:rPr>
            </w:pPr>
            <w:r>
              <w:rPr>
                <w:rFonts w:ascii="Arial" w:cs="Arial" w:eastAsia="Arial" w:hAnsi="Arial"/>
                <w:sz w:val="12"/>
                <w:szCs w:val="12"/>
                <w:b w:val="1"/>
                <w:bCs w:val="1"/>
                <w:color w:val="auto"/>
                <w:w w:val="99"/>
              </w:rPr>
              <w:t>June 30,</w:t>
            </w:r>
          </w:p>
        </w:tc>
        <w:tc>
          <w:tcPr>
            <w:tcW w:w="760" w:type="dxa"/>
            <w:vAlign w:val="bottom"/>
            <w:tcBorders>
              <w:top w:val="single" w:sz="8" w:color="auto"/>
            </w:tcBorders>
          </w:tcPr>
          <w:p>
            <w:pPr>
              <w:jc w:val="center"/>
              <w:ind w:right="149"/>
              <w:spacing w:after="0" w:line="11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0"/>
                <w:szCs w:val="10"/>
                <w:color w:val="auto"/>
              </w:rPr>
            </w:pPr>
          </w:p>
        </w:tc>
      </w:tr>
      <w:tr>
        <w:trPr>
          <w:trHeight w:val="141"/>
        </w:trPr>
        <w:tc>
          <w:tcPr>
            <w:tcW w:w="440" w:type="dxa"/>
            <w:vAlign w:val="bottom"/>
            <w:tcBorders>
              <w:bottom w:val="single" w:sz="8" w:color="auto"/>
            </w:tcBorders>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jc w:val="center"/>
              <w:ind w:left="589"/>
              <w:spacing w:after="0"/>
              <w:rPr>
                <w:sz w:val="20"/>
                <w:szCs w:val="20"/>
                <w:color w:val="auto"/>
              </w:rPr>
            </w:pPr>
            <w:r>
              <w:rPr>
                <w:rFonts w:ascii="Arial" w:cs="Arial" w:eastAsia="Arial" w:hAnsi="Arial"/>
                <w:sz w:val="12"/>
                <w:szCs w:val="12"/>
                <w:b w:val="1"/>
                <w:bCs w:val="1"/>
                <w:i w:val="1"/>
                <w:iCs w:val="1"/>
                <w:color w:val="auto"/>
                <w:w w:val="97"/>
              </w:rPr>
              <w:t>Note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2022</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b w:val="1"/>
                <w:bCs w:val="1"/>
                <w:color w:val="auto"/>
                <w:w w:val="97"/>
              </w:rPr>
              <w:t>2021</w:t>
            </w:r>
          </w:p>
        </w:tc>
        <w:tc>
          <w:tcPr>
            <w:tcW w:w="20" w:type="dxa"/>
            <w:vAlign w:val="bottom"/>
          </w:tcPr>
          <w:p>
            <w:pPr>
              <w:spacing w:after="0"/>
              <w:rPr>
                <w:sz w:val="12"/>
                <w:szCs w:val="12"/>
                <w:color w:val="auto"/>
              </w:rPr>
            </w:pPr>
          </w:p>
        </w:tc>
      </w:tr>
      <w:tr>
        <w:trPr>
          <w:trHeight w:val="124"/>
        </w:trPr>
        <w:tc>
          <w:tcPr>
            <w:tcW w:w="44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ind w:left="800"/>
              <w:spacing w:after="0" w:line="124" w:lineRule="exact"/>
              <w:rPr>
                <w:sz w:val="20"/>
                <w:szCs w:val="20"/>
                <w:color w:val="auto"/>
              </w:rPr>
            </w:pPr>
            <w:r>
              <w:rPr>
                <w:rFonts w:ascii="Arial" w:cs="Arial" w:eastAsia="Arial" w:hAnsi="Arial"/>
                <w:sz w:val="12"/>
                <w:szCs w:val="12"/>
                <w:b w:val="1"/>
                <w:bCs w:val="1"/>
                <w:color w:val="auto"/>
                <w:w w:val="98"/>
              </w:rPr>
              <w:t>(US$’000)</w:t>
            </w: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47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5"/>
                <w:szCs w:val="15"/>
                <w:color w:val="auto"/>
              </w:rPr>
              <w:t>Long-term other borrowings</w:t>
            </w:r>
          </w:p>
        </w:tc>
        <w:tc>
          <w:tcPr>
            <w:tcW w:w="2000" w:type="dxa"/>
            <w:vAlign w:val="bottom"/>
            <w:shd w:val="clear" w:color="auto" w:fill="CCEEFF"/>
          </w:tcPr>
          <w:p>
            <w:pPr>
              <w:jc w:val="right"/>
              <w:ind w:right="149"/>
              <w:spacing w:after="0" w:line="157" w:lineRule="exact"/>
              <w:rPr>
                <w:sz w:val="20"/>
                <w:szCs w:val="20"/>
                <w:color w:val="auto"/>
              </w:rPr>
            </w:pPr>
            <w:r>
              <w:rPr>
                <w:rFonts w:ascii="Arial" w:cs="Arial" w:eastAsia="Arial" w:hAnsi="Arial"/>
                <w:sz w:val="15"/>
                <w:szCs w:val="15"/>
                <w:i w:val="1"/>
                <w:iCs w:val="1"/>
                <w:color w:val="auto"/>
              </w:rPr>
              <w:t>13.1</w:t>
            </w: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3,825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6,205</w:t>
            </w:r>
          </w:p>
        </w:tc>
        <w:tc>
          <w:tcPr>
            <w:tcW w:w="20" w:type="dxa"/>
            <w:vAlign w:val="bottom"/>
          </w:tcPr>
          <w:p>
            <w:pPr>
              <w:spacing w:after="0"/>
              <w:rPr>
                <w:sz w:val="13"/>
                <w:szCs w:val="13"/>
                <w:color w:val="auto"/>
              </w:rPr>
            </w:pPr>
          </w:p>
        </w:tc>
      </w:tr>
      <w:tr>
        <w:trPr>
          <w:trHeight w:val="166"/>
        </w:trPr>
        <w:tc>
          <w:tcPr>
            <w:tcW w:w="4780" w:type="dxa"/>
            <w:vAlign w:val="bottom"/>
            <w:tcBorders>
              <w:bottom w:val="single" w:sz="8" w:color="CCEEFF"/>
            </w:tcBorders>
            <w:gridSpan w:val="2"/>
          </w:tcPr>
          <w:p>
            <w:pPr>
              <w:ind w:left="20"/>
              <w:spacing w:after="0" w:line="166" w:lineRule="exact"/>
              <w:rPr>
                <w:sz w:val="20"/>
                <w:szCs w:val="20"/>
                <w:color w:val="auto"/>
              </w:rPr>
            </w:pPr>
            <w:r>
              <w:rPr>
                <w:rFonts w:ascii="Arial" w:cs="Arial" w:eastAsia="Arial" w:hAnsi="Arial"/>
                <w:sz w:val="15"/>
                <w:szCs w:val="15"/>
                <w:color w:val="auto"/>
              </w:rPr>
              <w:t>Line of credit</w:t>
            </w:r>
          </w:p>
        </w:tc>
        <w:tc>
          <w:tcPr>
            <w:tcW w:w="2000" w:type="dxa"/>
            <w:vAlign w:val="bottom"/>
            <w:tcBorders>
              <w:bottom w:val="single" w:sz="8" w:color="CCEEFF"/>
            </w:tcBorders>
          </w:tcPr>
          <w:p>
            <w:pPr>
              <w:jc w:val="right"/>
              <w:ind w:right="149"/>
              <w:spacing w:after="0" w:line="166" w:lineRule="exact"/>
              <w:rPr>
                <w:sz w:val="20"/>
                <w:szCs w:val="20"/>
                <w:color w:val="auto"/>
              </w:rPr>
            </w:pPr>
            <w:r>
              <w:rPr>
                <w:rFonts w:ascii="Arial" w:cs="Arial" w:eastAsia="Arial" w:hAnsi="Arial"/>
                <w:sz w:val="15"/>
                <w:szCs w:val="15"/>
                <w:i w:val="1"/>
                <w:iCs w:val="1"/>
                <w:color w:val="auto"/>
              </w:rPr>
              <w:t>13.2</w:t>
            </w:r>
          </w:p>
        </w:tc>
        <w:tc>
          <w:tcPr>
            <w:tcW w:w="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11,202</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22,312</w:t>
            </w:r>
          </w:p>
        </w:tc>
        <w:tc>
          <w:tcPr>
            <w:tcW w:w="20" w:type="dxa"/>
            <w:vAlign w:val="bottom"/>
          </w:tcPr>
          <w:p>
            <w:pPr>
              <w:spacing w:after="0"/>
              <w:rPr>
                <w:sz w:val="14"/>
                <w:szCs w:val="14"/>
                <w:color w:val="auto"/>
              </w:rPr>
            </w:pPr>
          </w:p>
        </w:tc>
      </w:tr>
      <w:tr>
        <w:trPr>
          <w:trHeight w:val="177"/>
        </w:trPr>
        <w:tc>
          <w:tcPr>
            <w:tcW w:w="440" w:type="dxa"/>
            <w:vAlign w:val="bottom"/>
            <w:tcBorders>
              <w:bottom w:val="single" w:sz="8" w:color="CCEEFF"/>
            </w:tcBorders>
            <w:shd w:val="clear" w:color="auto" w:fill="CCEEFF"/>
          </w:tcPr>
          <w:p>
            <w:pPr>
              <w:spacing w:after="0"/>
              <w:rPr>
                <w:sz w:val="15"/>
                <w:szCs w:val="15"/>
                <w:color w:val="auto"/>
              </w:rPr>
            </w:pPr>
          </w:p>
        </w:tc>
        <w:tc>
          <w:tcPr>
            <w:tcW w:w="434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15,027</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28,517</w:t>
            </w:r>
          </w:p>
        </w:tc>
        <w:tc>
          <w:tcPr>
            <w:tcW w:w="20" w:type="dxa"/>
            <w:vAlign w:val="bottom"/>
          </w:tcPr>
          <w:p>
            <w:pPr>
              <w:spacing w:after="0"/>
              <w:rPr>
                <w:sz w:val="15"/>
                <w:szCs w:val="15"/>
                <w:color w:val="auto"/>
              </w:rPr>
            </w:pPr>
          </w:p>
        </w:tc>
      </w:tr>
      <w:tr>
        <w:trPr>
          <w:trHeight w:val="148"/>
        </w:trPr>
        <w:tc>
          <w:tcPr>
            <w:tcW w:w="478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Less: Current portion of;</w:t>
            </w: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478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 long-term other borrowings</w:t>
            </w:r>
          </w:p>
        </w:tc>
        <w:tc>
          <w:tcPr>
            <w:tcW w:w="2000" w:type="dxa"/>
            <w:vAlign w:val="bottom"/>
            <w:shd w:val="clear" w:color="auto" w:fill="CCEEFF"/>
          </w:tcPr>
          <w:p>
            <w:pPr>
              <w:jc w:val="right"/>
              <w:ind w:right="149"/>
              <w:spacing w:after="0" w:line="166" w:lineRule="exact"/>
              <w:rPr>
                <w:sz w:val="20"/>
                <w:szCs w:val="20"/>
                <w:color w:val="auto"/>
              </w:rPr>
            </w:pPr>
            <w:r>
              <w:rPr>
                <w:rFonts w:ascii="Arial" w:cs="Arial" w:eastAsia="Arial" w:hAnsi="Arial"/>
                <w:sz w:val="15"/>
                <w:szCs w:val="15"/>
                <w:i w:val="1"/>
                <w:iCs w:val="1"/>
                <w:color w:val="auto"/>
              </w:rPr>
              <w:t>13.1</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(3,487)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(4,404)</w:t>
            </w:r>
          </w:p>
        </w:tc>
        <w:tc>
          <w:tcPr>
            <w:tcW w:w="20" w:type="dxa"/>
            <w:vAlign w:val="bottom"/>
          </w:tcPr>
          <w:p>
            <w:pPr>
              <w:spacing w:after="0"/>
              <w:rPr>
                <w:sz w:val="14"/>
                <w:szCs w:val="14"/>
                <w:color w:val="auto"/>
              </w:rPr>
            </w:pPr>
          </w:p>
        </w:tc>
      </w:tr>
      <w:tr>
        <w:trPr>
          <w:trHeight w:val="166"/>
        </w:trPr>
        <w:tc>
          <w:tcPr>
            <w:tcW w:w="478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 line of credit</w:t>
            </w:r>
          </w:p>
        </w:tc>
        <w:tc>
          <w:tcPr>
            <w:tcW w:w="2000" w:type="dxa"/>
            <w:vAlign w:val="bottom"/>
          </w:tcPr>
          <w:p>
            <w:pPr>
              <w:jc w:val="right"/>
              <w:ind w:right="149"/>
              <w:spacing w:after="0" w:line="166" w:lineRule="exact"/>
              <w:rPr>
                <w:sz w:val="20"/>
                <w:szCs w:val="20"/>
                <w:color w:val="auto"/>
              </w:rPr>
            </w:pPr>
            <w:r>
              <w:rPr>
                <w:rFonts w:ascii="Arial" w:cs="Arial" w:eastAsia="Arial" w:hAnsi="Arial"/>
                <w:sz w:val="15"/>
                <w:szCs w:val="15"/>
                <w:i w:val="1"/>
                <w:iCs w:val="1"/>
                <w:color w:val="auto"/>
              </w:rPr>
              <w:t>13.2</w:t>
            </w:r>
          </w:p>
        </w:tc>
        <w:tc>
          <w:tcPr>
            <w:tcW w:w="40" w:type="dxa"/>
            <w:vAlign w:val="bottom"/>
          </w:tcPr>
          <w:p>
            <w:pPr>
              <w:spacing w:after="0"/>
              <w:rPr>
                <w:sz w:val="14"/>
                <w:szCs w:val="14"/>
                <w:color w:val="auto"/>
              </w:rPr>
            </w:pPr>
          </w:p>
        </w:tc>
        <w:tc>
          <w:tcPr>
            <w:tcW w:w="112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(11,202)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(22,312)</w:t>
            </w:r>
          </w:p>
        </w:tc>
        <w:tc>
          <w:tcPr>
            <w:tcW w:w="20" w:type="dxa"/>
            <w:vAlign w:val="bottom"/>
          </w:tcPr>
          <w:p>
            <w:pPr>
              <w:spacing w:after="0"/>
              <w:rPr>
                <w:sz w:val="14"/>
                <w:szCs w:val="14"/>
                <w:color w:val="auto"/>
              </w:rPr>
            </w:pPr>
          </w:p>
        </w:tc>
      </w:tr>
      <w:tr>
        <w:trPr>
          <w:trHeight w:val="157"/>
        </w:trPr>
        <w:tc>
          <w:tcPr>
            <w:tcW w:w="4780" w:type="dxa"/>
            <w:vAlign w:val="bottom"/>
            <w:tcBorders>
              <w:top w:val="single" w:sz="8" w:color="CCEEFF"/>
            </w:tcBorders>
            <w:gridSpan w:val="2"/>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Less: Current portion of borrowings</w:t>
            </w:r>
          </w:p>
        </w:tc>
        <w:tc>
          <w:tcPr>
            <w:tcW w:w="20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(14,689)</w:t>
            </w: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(26,716)</w:t>
            </w:r>
          </w:p>
        </w:tc>
        <w:tc>
          <w:tcPr>
            <w:tcW w:w="20" w:type="dxa"/>
            <w:vAlign w:val="bottom"/>
          </w:tcPr>
          <w:p>
            <w:pPr>
              <w:spacing w:after="0"/>
              <w:rPr>
                <w:sz w:val="13"/>
                <w:szCs w:val="13"/>
                <w:color w:val="auto"/>
              </w:rPr>
            </w:pPr>
          </w:p>
        </w:tc>
      </w:tr>
      <w:tr>
        <w:trPr>
          <w:trHeight w:val="206"/>
        </w:trPr>
        <w:tc>
          <w:tcPr>
            <w:tcW w:w="4780" w:type="dxa"/>
            <w:vAlign w:val="bottom"/>
            <w:tcBorders>
              <w:bottom w:val="single" w:sz="8" w:color="CCEEFF"/>
            </w:tcBorders>
            <w:gridSpan w:val="2"/>
          </w:tcPr>
          <w:p>
            <w:pPr>
              <w:ind w:left="100"/>
              <w:spacing w:after="0" w:line="166" w:lineRule="exact"/>
              <w:rPr>
                <w:sz w:val="20"/>
                <w:szCs w:val="20"/>
                <w:color w:val="auto"/>
              </w:rPr>
            </w:pPr>
            <w:r>
              <w:rPr>
                <w:rFonts w:ascii="Arial" w:cs="Arial" w:eastAsia="Arial" w:hAnsi="Arial"/>
                <w:sz w:val="15"/>
                <w:szCs w:val="15"/>
                <w:b w:val="1"/>
                <w:bCs w:val="1"/>
                <w:color w:val="auto"/>
              </w:rPr>
              <w:t>Non-current portion of borrowings</w:t>
            </w:r>
          </w:p>
        </w:tc>
        <w:tc>
          <w:tcPr>
            <w:tcW w:w="20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338</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b w:val="1"/>
                <w:bCs w:val="1"/>
                <w:color w:val="auto"/>
              </w:rPr>
              <w:t>1,801</w:t>
            </w:r>
          </w:p>
        </w:tc>
        <w:tc>
          <w:tcPr>
            <w:tcW w:w="20" w:type="dxa"/>
            <w:vAlign w:val="bottom"/>
          </w:tcPr>
          <w:p>
            <w:pPr>
              <w:spacing w:after="0"/>
              <w:rPr>
                <w:sz w:val="17"/>
                <w:szCs w:val="17"/>
                <w:color w:val="auto"/>
              </w:rPr>
            </w:pPr>
          </w:p>
        </w:tc>
      </w:tr>
      <w:tr>
        <w:trPr>
          <w:trHeight w:val="150"/>
        </w:trPr>
        <w:tc>
          <w:tcPr>
            <w:tcW w:w="440" w:type="dxa"/>
            <w:vAlign w:val="bottom"/>
            <w:tcBorders>
              <w:bottom w:val="single" w:sz="8" w:color="auto"/>
            </w:tcBorders>
            <w:shd w:val="clear" w:color="auto" w:fill="CCEEFF"/>
          </w:tcPr>
          <w:p>
            <w:pPr>
              <w:spacing w:after="0"/>
              <w:rPr>
                <w:sz w:val="13"/>
                <w:szCs w:val="13"/>
                <w:color w:val="auto"/>
              </w:rPr>
            </w:pPr>
          </w:p>
        </w:tc>
        <w:tc>
          <w:tcPr>
            <w:tcW w:w="434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13.1.</w:t>
            </w:r>
          </w:p>
        </w:tc>
        <w:tc>
          <w:tcPr>
            <w:tcW w:w="4340" w:type="dxa"/>
            <w:vAlign w:val="bottom"/>
          </w:tcPr>
          <w:p>
            <w:pPr>
              <w:ind w:left="100"/>
              <w:spacing w:after="0"/>
              <w:rPr>
                <w:sz w:val="20"/>
                <w:szCs w:val="20"/>
                <w:color w:val="auto"/>
              </w:rPr>
            </w:pPr>
            <w:r>
              <w:rPr>
                <w:rFonts w:ascii="Arial" w:cs="Arial" w:eastAsia="Arial" w:hAnsi="Arial"/>
                <w:sz w:val="15"/>
                <w:szCs w:val="15"/>
                <w:b w:val="1"/>
                <w:bCs w:val="1"/>
                <w:color w:val="auto"/>
              </w:rPr>
              <w:t>Long-term other borrowings</w:t>
            </w: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spacing w:after="0"/>
              <w:rPr>
                <w:sz w:val="14"/>
                <w:szCs w:val="14"/>
                <w:color w:val="auto"/>
              </w:rPr>
            </w:pPr>
          </w:p>
        </w:tc>
        <w:tc>
          <w:tcPr>
            <w:tcW w:w="780" w:type="dxa"/>
            <w:vAlign w:val="bottom"/>
            <w:gridSpan w:val="2"/>
          </w:tcPr>
          <w:p>
            <w:pPr>
              <w:spacing w:after="0"/>
              <w:rPr>
                <w:sz w:val="14"/>
                <w:szCs w:val="14"/>
                <w:color w:val="auto"/>
              </w:rPr>
            </w:pPr>
          </w:p>
        </w:tc>
      </w:tr>
      <w:tr>
        <w:trPr>
          <w:trHeight w:val="116"/>
        </w:trPr>
        <w:tc>
          <w:tcPr>
            <w:tcW w:w="440" w:type="dxa"/>
            <w:vAlign w:val="bottom"/>
            <w:tcBorders>
              <w:top w:val="single" w:sz="8" w:color="auto"/>
            </w:tcBorders>
          </w:tcPr>
          <w:p>
            <w:pPr>
              <w:spacing w:after="0"/>
              <w:rPr>
                <w:sz w:val="10"/>
                <w:szCs w:val="10"/>
                <w:color w:val="auto"/>
              </w:rPr>
            </w:pPr>
          </w:p>
        </w:tc>
        <w:tc>
          <w:tcPr>
            <w:tcW w:w="434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4"/>
          </w:tcPr>
          <w:p>
            <w:pPr>
              <w:jc w:val="center"/>
              <w:ind w:right="480"/>
              <w:spacing w:after="0" w:line="116" w:lineRule="exact"/>
              <w:rPr>
                <w:sz w:val="20"/>
                <w:szCs w:val="20"/>
                <w:color w:val="auto"/>
              </w:rPr>
            </w:pPr>
            <w:r>
              <w:rPr>
                <w:rFonts w:ascii="Arial" w:cs="Arial" w:eastAsia="Arial" w:hAnsi="Arial"/>
                <w:sz w:val="12"/>
                <w:szCs w:val="12"/>
                <w:b w:val="1"/>
                <w:bCs w:val="1"/>
                <w:color w:val="auto"/>
                <w:w w:val="99"/>
              </w:rPr>
              <w:t>June 30,</w:t>
            </w:r>
          </w:p>
        </w:tc>
        <w:tc>
          <w:tcPr>
            <w:tcW w:w="760" w:type="dxa"/>
            <w:vAlign w:val="bottom"/>
            <w:tcBorders>
              <w:top w:val="single" w:sz="8" w:color="auto"/>
            </w:tcBorders>
          </w:tcPr>
          <w:p>
            <w:pPr>
              <w:jc w:val="center"/>
              <w:ind w:right="189"/>
              <w:spacing w:after="0" w:line="11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0"/>
                <w:szCs w:val="10"/>
                <w:color w:val="auto"/>
              </w:rPr>
            </w:pPr>
          </w:p>
        </w:tc>
      </w:tr>
      <w:tr>
        <w:trPr>
          <w:trHeight w:val="141"/>
        </w:trPr>
        <w:tc>
          <w:tcPr>
            <w:tcW w:w="440" w:type="dxa"/>
            <w:vAlign w:val="bottom"/>
            <w:tcBorders>
              <w:bottom w:val="single" w:sz="8" w:color="auto"/>
            </w:tcBorders>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2"/>
          </w:tcPr>
          <w:p>
            <w:pPr>
              <w:jc w:val="center"/>
              <w:ind w:left="589"/>
              <w:spacing w:after="0"/>
              <w:rPr>
                <w:sz w:val="20"/>
                <w:szCs w:val="20"/>
                <w:color w:val="auto"/>
              </w:rPr>
            </w:pPr>
            <w:r>
              <w:rPr>
                <w:rFonts w:ascii="Arial" w:cs="Arial" w:eastAsia="Arial" w:hAnsi="Arial"/>
                <w:sz w:val="12"/>
                <w:szCs w:val="12"/>
                <w:b w:val="1"/>
                <w:bCs w:val="1"/>
                <w:i w:val="1"/>
                <w:iCs w:val="1"/>
                <w:color w:val="auto"/>
                <w:w w:val="97"/>
              </w:rPr>
              <w:t>Note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2022</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49"/>
              <w:spacing w:after="0"/>
              <w:rPr>
                <w:sz w:val="20"/>
                <w:szCs w:val="20"/>
                <w:color w:val="auto"/>
              </w:rPr>
            </w:pPr>
            <w:r>
              <w:rPr>
                <w:rFonts w:ascii="Arial" w:cs="Arial" w:eastAsia="Arial" w:hAnsi="Arial"/>
                <w:sz w:val="12"/>
                <w:szCs w:val="12"/>
                <w:b w:val="1"/>
                <w:bCs w:val="1"/>
                <w:color w:val="auto"/>
                <w:w w:val="97"/>
              </w:rPr>
              <w:t>2021</w:t>
            </w:r>
          </w:p>
        </w:tc>
        <w:tc>
          <w:tcPr>
            <w:tcW w:w="20" w:type="dxa"/>
            <w:vAlign w:val="bottom"/>
          </w:tcPr>
          <w:p>
            <w:pPr>
              <w:spacing w:after="0"/>
              <w:rPr>
                <w:sz w:val="12"/>
                <w:szCs w:val="12"/>
                <w:color w:val="auto"/>
              </w:rPr>
            </w:pPr>
          </w:p>
        </w:tc>
      </w:tr>
      <w:tr>
        <w:trPr>
          <w:trHeight w:val="124"/>
        </w:trPr>
        <w:tc>
          <w:tcPr>
            <w:tcW w:w="44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ind w:left="780"/>
              <w:spacing w:after="0" w:line="124" w:lineRule="exact"/>
              <w:rPr>
                <w:sz w:val="20"/>
                <w:szCs w:val="20"/>
                <w:color w:val="auto"/>
              </w:rPr>
            </w:pPr>
            <w:r>
              <w:rPr>
                <w:rFonts w:ascii="Arial" w:cs="Arial" w:eastAsia="Arial" w:hAnsi="Arial"/>
                <w:sz w:val="12"/>
                <w:szCs w:val="12"/>
                <w:b w:val="1"/>
                <w:bCs w:val="1"/>
                <w:color w:val="auto"/>
              </w:rPr>
              <w:t>(US$’000)</w:t>
            </w: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47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Financial Institutions</w:t>
            </w:r>
          </w:p>
        </w:tc>
        <w:tc>
          <w:tcPr>
            <w:tcW w:w="2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478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IBM Credit LLC</w:t>
            </w:r>
          </w:p>
        </w:tc>
        <w:tc>
          <w:tcPr>
            <w:tcW w:w="2000" w:type="dxa"/>
            <w:vAlign w:val="bottom"/>
          </w:tcPr>
          <w:p>
            <w:pPr>
              <w:jc w:val="center"/>
              <w:ind w:left="629"/>
              <w:spacing w:after="0" w:line="166" w:lineRule="exact"/>
              <w:rPr>
                <w:sz w:val="20"/>
                <w:szCs w:val="20"/>
                <w:color w:val="auto"/>
              </w:rPr>
            </w:pPr>
            <w:r>
              <w:rPr>
                <w:rFonts w:ascii="Arial" w:cs="Arial" w:eastAsia="Arial" w:hAnsi="Arial"/>
                <w:sz w:val="15"/>
                <w:szCs w:val="15"/>
                <w:i w:val="1"/>
                <w:iCs w:val="1"/>
                <w:color w:val="auto"/>
              </w:rPr>
              <w:t>13.1.1</w:t>
            </w:r>
          </w:p>
        </w:tc>
        <w:tc>
          <w:tcPr>
            <w:tcW w:w="40" w:type="dxa"/>
            <w:vAlign w:val="bottom"/>
          </w:tcPr>
          <w:p>
            <w:pPr>
              <w:spacing w:after="0"/>
              <w:rPr>
                <w:sz w:val="14"/>
                <w:szCs w:val="14"/>
                <w:color w:val="auto"/>
              </w:rPr>
            </w:pPr>
          </w:p>
        </w:tc>
        <w:tc>
          <w:tcPr>
            <w:tcW w:w="1360" w:type="dxa"/>
            <w:vAlign w:val="bottom"/>
            <w:gridSpan w:val="4"/>
          </w:tcPr>
          <w:p>
            <w:pPr>
              <w:jc w:val="right"/>
              <w:ind w:right="460"/>
              <w:spacing w:after="0" w:line="166"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180</w:t>
            </w:r>
          </w:p>
        </w:tc>
        <w:tc>
          <w:tcPr>
            <w:tcW w:w="20" w:type="dxa"/>
            <w:vAlign w:val="bottom"/>
          </w:tcPr>
          <w:p>
            <w:pPr>
              <w:spacing w:after="0"/>
              <w:rPr>
                <w:sz w:val="14"/>
                <w:szCs w:val="14"/>
                <w:color w:val="auto"/>
              </w:rPr>
            </w:pPr>
          </w:p>
        </w:tc>
      </w:tr>
      <w:tr>
        <w:trPr>
          <w:trHeight w:val="166"/>
        </w:trPr>
        <w:tc>
          <w:tcPr>
            <w:tcW w:w="478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Hewlett-Packard Financial Services Co.</w:t>
            </w:r>
          </w:p>
        </w:tc>
        <w:tc>
          <w:tcPr>
            <w:tcW w:w="2000" w:type="dxa"/>
            <w:vAlign w:val="bottom"/>
            <w:shd w:val="clear" w:color="auto" w:fill="CCEEFF"/>
          </w:tcPr>
          <w:p>
            <w:pPr>
              <w:jc w:val="center"/>
              <w:ind w:left="629"/>
              <w:spacing w:after="0" w:line="166" w:lineRule="exact"/>
              <w:rPr>
                <w:sz w:val="20"/>
                <w:szCs w:val="20"/>
                <w:color w:val="auto"/>
              </w:rPr>
            </w:pPr>
            <w:r>
              <w:rPr>
                <w:rFonts w:ascii="Arial" w:cs="Arial" w:eastAsia="Arial" w:hAnsi="Arial"/>
                <w:sz w:val="15"/>
                <w:szCs w:val="15"/>
                <w:i w:val="1"/>
                <w:iCs w:val="1"/>
                <w:color w:val="auto"/>
              </w:rPr>
              <w:t>13.1.1</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155</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511</w:t>
            </w:r>
          </w:p>
        </w:tc>
        <w:tc>
          <w:tcPr>
            <w:tcW w:w="20" w:type="dxa"/>
            <w:vAlign w:val="bottom"/>
          </w:tcPr>
          <w:p>
            <w:pPr>
              <w:spacing w:after="0"/>
              <w:rPr>
                <w:sz w:val="14"/>
                <w:szCs w:val="14"/>
                <w:color w:val="auto"/>
              </w:rPr>
            </w:pPr>
          </w:p>
        </w:tc>
      </w:tr>
      <w:tr>
        <w:trPr>
          <w:trHeight w:val="166"/>
        </w:trPr>
        <w:tc>
          <w:tcPr>
            <w:tcW w:w="478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IPFS Corporation</w:t>
            </w:r>
          </w:p>
        </w:tc>
        <w:tc>
          <w:tcPr>
            <w:tcW w:w="2000" w:type="dxa"/>
            <w:vAlign w:val="bottom"/>
          </w:tcPr>
          <w:p>
            <w:pPr>
              <w:jc w:val="center"/>
              <w:ind w:left="629"/>
              <w:spacing w:after="0" w:line="166" w:lineRule="exact"/>
              <w:rPr>
                <w:sz w:val="20"/>
                <w:szCs w:val="20"/>
                <w:color w:val="auto"/>
              </w:rPr>
            </w:pPr>
            <w:r>
              <w:rPr>
                <w:rFonts w:ascii="Arial" w:cs="Arial" w:eastAsia="Arial" w:hAnsi="Arial"/>
                <w:sz w:val="15"/>
                <w:szCs w:val="15"/>
                <w:i w:val="1"/>
                <w:iCs w:val="1"/>
                <w:color w:val="auto"/>
              </w:rPr>
              <w:t>13.1.2</w:t>
            </w:r>
          </w:p>
        </w:tc>
        <w:tc>
          <w:tcPr>
            <w:tcW w:w="4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1,696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1,008</w:t>
            </w:r>
          </w:p>
        </w:tc>
        <w:tc>
          <w:tcPr>
            <w:tcW w:w="20" w:type="dxa"/>
            <w:vAlign w:val="bottom"/>
          </w:tcPr>
          <w:p>
            <w:pPr>
              <w:spacing w:after="0"/>
              <w:rPr>
                <w:sz w:val="14"/>
                <w:szCs w:val="14"/>
                <w:color w:val="auto"/>
              </w:rPr>
            </w:pPr>
          </w:p>
        </w:tc>
      </w:tr>
      <w:tr>
        <w:trPr>
          <w:trHeight w:val="166"/>
        </w:trPr>
        <w:tc>
          <w:tcPr>
            <w:tcW w:w="478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First Global Bank Limited Demand loan</w:t>
            </w:r>
          </w:p>
        </w:tc>
        <w:tc>
          <w:tcPr>
            <w:tcW w:w="2000" w:type="dxa"/>
            <w:vAlign w:val="bottom"/>
            <w:shd w:val="clear" w:color="auto" w:fill="CCEEFF"/>
          </w:tcPr>
          <w:p>
            <w:pPr>
              <w:jc w:val="center"/>
              <w:ind w:left="629"/>
              <w:spacing w:after="0" w:line="166" w:lineRule="exact"/>
              <w:rPr>
                <w:sz w:val="20"/>
                <w:szCs w:val="20"/>
                <w:color w:val="auto"/>
              </w:rPr>
            </w:pPr>
            <w:r>
              <w:rPr>
                <w:rFonts w:ascii="Arial" w:cs="Arial" w:eastAsia="Arial" w:hAnsi="Arial"/>
                <w:sz w:val="15"/>
                <w:szCs w:val="15"/>
                <w:i w:val="1"/>
                <w:iCs w:val="1"/>
                <w:color w:val="auto"/>
              </w:rPr>
              <w:t>13.1.3</w:t>
            </w: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1,626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3,149</w:t>
            </w:r>
          </w:p>
        </w:tc>
        <w:tc>
          <w:tcPr>
            <w:tcW w:w="20" w:type="dxa"/>
            <w:vAlign w:val="bottom"/>
          </w:tcPr>
          <w:p>
            <w:pPr>
              <w:spacing w:after="0"/>
              <w:rPr>
                <w:sz w:val="14"/>
                <w:szCs w:val="14"/>
                <w:color w:val="auto"/>
              </w:rPr>
            </w:pPr>
          </w:p>
        </w:tc>
      </w:tr>
      <w:tr>
        <w:trPr>
          <w:trHeight w:val="166"/>
        </w:trPr>
        <w:tc>
          <w:tcPr>
            <w:tcW w:w="4780" w:type="dxa"/>
            <w:vAlign w:val="bottom"/>
            <w:tcBorders>
              <w:bottom w:val="single" w:sz="8" w:color="CCEEFF"/>
            </w:tcBorders>
            <w:gridSpan w:val="2"/>
          </w:tcPr>
          <w:p>
            <w:pPr>
              <w:ind w:left="20"/>
              <w:spacing w:after="0" w:line="166" w:lineRule="exact"/>
              <w:rPr>
                <w:sz w:val="20"/>
                <w:szCs w:val="20"/>
                <w:color w:val="auto"/>
              </w:rPr>
            </w:pPr>
            <w:r>
              <w:rPr>
                <w:rFonts w:ascii="Arial" w:cs="Arial" w:eastAsia="Arial" w:hAnsi="Arial"/>
                <w:sz w:val="15"/>
                <w:szCs w:val="15"/>
                <w:color w:val="auto"/>
              </w:rPr>
              <w:t>JS Bank Limited</w:t>
            </w:r>
          </w:p>
        </w:tc>
        <w:tc>
          <w:tcPr>
            <w:tcW w:w="2000" w:type="dxa"/>
            <w:vAlign w:val="bottom"/>
            <w:tcBorders>
              <w:bottom w:val="single" w:sz="8" w:color="CCEEFF"/>
            </w:tcBorders>
          </w:tcPr>
          <w:p>
            <w:pPr>
              <w:jc w:val="center"/>
              <w:ind w:left="629"/>
              <w:spacing w:after="0" w:line="166" w:lineRule="exact"/>
              <w:rPr>
                <w:sz w:val="20"/>
                <w:szCs w:val="20"/>
                <w:color w:val="auto"/>
              </w:rPr>
            </w:pPr>
            <w:r>
              <w:rPr>
                <w:rFonts w:ascii="Arial" w:cs="Arial" w:eastAsia="Arial" w:hAnsi="Arial"/>
                <w:sz w:val="15"/>
                <w:szCs w:val="15"/>
                <w:i w:val="1"/>
                <w:iCs w:val="1"/>
                <w:color w:val="auto"/>
              </w:rPr>
              <w:t>13.1.4</w:t>
            </w: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348</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1,357</w:t>
            </w:r>
          </w:p>
        </w:tc>
        <w:tc>
          <w:tcPr>
            <w:tcW w:w="20" w:type="dxa"/>
            <w:vAlign w:val="bottom"/>
          </w:tcPr>
          <w:p>
            <w:pPr>
              <w:spacing w:after="0"/>
              <w:rPr>
                <w:sz w:val="14"/>
                <w:szCs w:val="14"/>
                <w:color w:val="auto"/>
              </w:rPr>
            </w:pPr>
          </w:p>
        </w:tc>
      </w:tr>
      <w:tr>
        <w:trPr>
          <w:trHeight w:val="157"/>
        </w:trPr>
        <w:tc>
          <w:tcPr>
            <w:tcW w:w="44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3,825</w:t>
            </w:r>
          </w:p>
        </w:tc>
        <w:tc>
          <w:tcPr>
            <w:tcW w:w="1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6,205</w:t>
            </w:r>
          </w:p>
        </w:tc>
        <w:tc>
          <w:tcPr>
            <w:tcW w:w="20" w:type="dxa"/>
            <w:vAlign w:val="bottom"/>
          </w:tcPr>
          <w:p>
            <w:pPr>
              <w:spacing w:after="0"/>
              <w:rPr>
                <w:sz w:val="13"/>
                <w:szCs w:val="13"/>
                <w:color w:val="auto"/>
              </w:rPr>
            </w:pPr>
          </w:p>
        </w:tc>
      </w:tr>
      <w:tr>
        <w:trPr>
          <w:trHeight w:val="157"/>
        </w:trPr>
        <w:tc>
          <w:tcPr>
            <w:tcW w:w="4780" w:type="dxa"/>
            <w:vAlign w:val="bottom"/>
            <w:tcBorders>
              <w:bottom w:val="single" w:sz="8" w:color="CCEEFF"/>
            </w:tcBorders>
            <w:gridSpan w:val="2"/>
          </w:tcPr>
          <w:p>
            <w:pPr>
              <w:ind w:left="20"/>
              <w:spacing w:after="0" w:line="157" w:lineRule="exact"/>
              <w:rPr>
                <w:sz w:val="20"/>
                <w:szCs w:val="20"/>
                <w:color w:val="auto"/>
              </w:rPr>
            </w:pPr>
            <w:r>
              <w:rPr>
                <w:rFonts w:ascii="Arial" w:cs="Arial" w:eastAsia="Arial" w:hAnsi="Arial"/>
                <w:sz w:val="15"/>
                <w:szCs w:val="15"/>
                <w:color w:val="auto"/>
              </w:rPr>
              <w:t>Less: Current portion of long-term other borrowings</w:t>
            </w:r>
          </w:p>
        </w:tc>
        <w:tc>
          <w:tcPr>
            <w:tcW w:w="20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(3,487)</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(4,404)</w:t>
            </w:r>
          </w:p>
        </w:tc>
        <w:tc>
          <w:tcPr>
            <w:tcW w:w="20" w:type="dxa"/>
            <w:vAlign w:val="bottom"/>
          </w:tcPr>
          <w:p>
            <w:pPr>
              <w:spacing w:after="0"/>
              <w:rPr>
                <w:sz w:val="13"/>
                <w:szCs w:val="13"/>
                <w:color w:val="auto"/>
              </w:rPr>
            </w:pPr>
          </w:p>
        </w:tc>
      </w:tr>
      <w:tr>
        <w:trPr>
          <w:trHeight w:val="157"/>
        </w:trPr>
        <w:tc>
          <w:tcPr>
            <w:tcW w:w="4780" w:type="dxa"/>
            <w:vAlign w:val="bottom"/>
            <w:tcBorders>
              <w:bottom w:val="single" w:sz="8" w:color="CCEEFF"/>
            </w:tcBorders>
            <w:gridSpan w:val="2"/>
            <w:shd w:val="clear" w:color="auto" w:fill="CCEEFF"/>
          </w:tcPr>
          <w:p>
            <w:pPr>
              <w:ind w:left="100"/>
              <w:spacing w:after="0" w:line="157" w:lineRule="exact"/>
              <w:rPr>
                <w:sz w:val="20"/>
                <w:szCs w:val="20"/>
                <w:color w:val="auto"/>
              </w:rPr>
            </w:pPr>
            <w:r>
              <w:rPr>
                <w:rFonts w:ascii="Arial" w:cs="Arial" w:eastAsia="Arial" w:hAnsi="Arial"/>
                <w:sz w:val="15"/>
                <w:szCs w:val="15"/>
                <w:b w:val="1"/>
                <w:bCs w:val="1"/>
                <w:color w:val="auto"/>
              </w:rPr>
              <w:t>Non-current portion of long term other borrowings</w:t>
            </w:r>
          </w:p>
        </w:tc>
        <w:tc>
          <w:tcPr>
            <w:tcW w:w="20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338</w:t>
            </w:r>
          </w:p>
        </w:tc>
        <w:tc>
          <w:tcPr>
            <w:tcW w:w="1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1,801</w:t>
            </w:r>
          </w:p>
        </w:tc>
        <w:tc>
          <w:tcPr>
            <w:tcW w:w="20" w:type="dxa"/>
            <w:vAlign w:val="bottom"/>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b w:val="1"/>
          <w:bCs w:val="1"/>
          <w:color w:val="auto"/>
        </w:rPr>
        <w:t xml:space="preserve">13.1.1. </w:t>
      </w:r>
      <w:r>
        <w:rPr>
          <w:rFonts w:ascii="Arial" w:cs="Arial" w:eastAsia="Arial" w:hAnsi="Arial"/>
          <w:sz w:val="15"/>
          <w:szCs w:val="15"/>
          <w:color w:val="auto"/>
        </w:rPr>
        <w:t>The Group has financed the purchase of various property and equipment and software during the fiscal year 2022 and 2021 with</w:t>
      </w:r>
      <w:r>
        <w:rPr>
          <w:rFonts w:ascii="Arial" w:cs="Arial" w:eastAsia="Arial" w:hAnsi="Arial"/>
          <w:sz w:val="15"/>
          <w:szCs w:val="15"/>
          <w:b w:val="1"/>
          <w:bCs w:val="1"/>
          <w:color w:val="auto"/>
        </w:rPr>
        <w:t xml:space="preserve"> </w:t>
      </w:r>
      <w:r>
        <w:rPr>
          <w:rFonts w:ascii="Arial" w:cs="Arial" w:eastAsia="Arial" w:hAnsi="Arial"/>
          <w:sz w:val="15"/>
          <w:szCs w:val="15"/>
          <w:color w:val="auto"/>
        </w:rPr>
        <w:t>IBM, HP and FGB. As of June 30, 2022 and 2021, the Group has financed $1.0 million and $2.7 million, respectively, of assets at interest rates ranging from 5.4% to 9.76% per annum.</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b w:val="1"/>
          <w:bCs w:val="1"/>
          <w:color w:val="auto"/>
        </w:rPr>
        <w:t xml:space="preserve">13.1.2. </w:t>
      </w:r>
      <w:r>
        <w:rPr>
          <w:rFonts w:ascii="Arial" w:cs="Arial" w:eastAsia="Arial" w:hAnsi="Arial"/>
          <w:sz w:val="15"/>
          <w:szCs w:val="15"/>
          <w:color w:val="auto"/>
        </w:rPr>
        <w:t>The Group has financed its insurance policies with the IPFS Corporation with an interest rate ranging from 4.6% to 5% per</w:t>
      </w:r>
      <w:r>
        <w:rPr>
          <w:rFonts w:ascii="Arial" w:cs="Arial" w:eastAsia="Arial" w:hAnsi="Arial"/>
          <w:sz w:val="15"/>
          <w:szCs w:val="15"/>
          <w:b w:val="1"/>
          <w:bCs w:val="1"/>
          <w:color w:val="auto"/>
        </w:rPr>
        <w:t xml:space="preserve"> </w:t>
      </w:r>
      <w:r>
        <w:rPr>
          <w:rFonts w:ascii="Arial" w:cs="Arial" w:eastAsia="Arial" w:hAnsi="Arial"/>
          <w:sz w:val="15"/>
          <w:szCs w:val="15"/>
          <w:color w:val="auto"/>
        </w:rPr>
        <w:t>annum.</w:t>
      </w:r>
    </w:p>
    <w:p>
      <w:pPr>
        <w:spacing w:after="0" w:line="135"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b w:val="1"/>
          <w:bCs w:val="1"/>
          <w:color w:val="auto"/>
        </w:rPr>
        <w:t xml:space="preserve">13.1.3. </w:t>
      </w:r>
      <w:r>
        <w:rPr>
          <w:rFonts w:ascii="Arial" w:cs="Arial" w:eastAsia="Arial" w:hAnsi="Arial"/>
          <w:sz w:val="15"/>
          <w:szCs w:val="15"/>
          <w:color w:val="auto"/>
        </w:rPr>
        <w:t>In January 2018, the Group’s subsidiary IBEX Global Jamaica Limited entered into a $1.4 million non-revolving demand loan with</w:t>
      </w:r>
      <w:r>
        <w:rPr>
          <w:rFonts w:ascii="Arial" w:cs="Arial" w:eastAsia="Arial" w:hAnsi="Arial"/>
          <w:sz w:val="15"/>
          <w:szCs w:val="15"/>
          <w:b w:val="1"/>
          <w:bCs w:val="1"/>
          <w:color w:val="auto"/>
        </w:rPr>
        <w:t xml:space="preserve"> </w:t>
      </w:r>
      <w:r>
        <w:rPr>
          <w:rFonts w:ascii="Arial" w:cs="Arial" w:eastAsia="Arial" w:hAnsi="Arial"/>
          <w:sz w:val="15"/>
          <w:szCs w:val="15"/>
          <w:color w:val="auto"/>
        </w:rPr>
        <w:t>First Global Bank Limited. The loan bears interest at a fixed rate of 7.0% per annum for the term of the loan, has a maturity date of January 2023, and is required to be repaid in 54 equal monthly installments (commencing six months after the drawdown date).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As of June 30, 2022, the balance of the loan was $0.2 million (June 30, 2021: $0.5 million).</w:t>
      </w:r>
    </w:p>
    <w:p>
      <w:pPr>
        <w:spacing w:after="0" w:line="150" w:lineRule="exact"/>
        <w:rPr>
          <w:sz w:val="20"/>
          <w:szCs w:val="20"/>
          <w:color w:val="auto"/>
        </w:rPr>
      </w:pPr>
    </w:p>
    <w:p>
      <w:pPr>
        <w:jc w:val="both"/>
        <w:ind w:left="40" w:right="39"/>
        <w:spacing w:after="0" w:line="263" w:lineRule="auto"/>
        <w:rPr>
          <w:sz w:val="20"/>
          <w:szCs w:val="20"/>
          <w:color w:val="auto"/>
        </w:rPr>
      </w:pPr>
      <w:r>
        <w:rPr>
          <w:rFonts w:ascii="Arial" w:cs="Arial" w:eastAsia="Arial" w:hAnsi="Arial"/>
          <w:sz w:val="14"/>
          <w:szCs w:val="14"/>
          <w:color w:val="auto"/>
        </w:rPr>
        <w:t>In November 2018, the Group’s subsidiary IBEX Global Jamaica Limited entered into a $ 1.2 million non-revolving demand loan with First Global Bank Limited. The loan bears a variable interest at 6-month LIBOR plus a margin of 5.26%, subject to a floor of 7.0% per annum, for the term of the loan. The loan is to be paid in 60 equal monthly installments, following initial disbursement in January 2019, triggering a bullet payment after 36 months in January 2022, with an option to renew for an additional 24 months. In January, 2022, the option</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4" w:name="page165"/>
    <w:bookmarkEnd w:id="16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to renew was exercised and the remaining balance of the loan of $0.5 million extended to mature in January 2024, at a variable rate of 6% per annum.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As of June 30, 2022, the balance of the loan was $0.4 million (June 30, 2021: $0.7 million).</w:t>
      </w:r>
    </w:p>
    <w:p>
      <w:pPr>
        <w:spacing w:after="0" w:line="151" w:lineRule="exact"/>
        <w:rPr>
          <w:sz w:val="20"/>
          <w:szCs w:val="20"/>
          <w:color w:val="auto"/>
        </w:rPr>
      </w:pPr>
    </w:p>
    <w:p>
      <w:pPr>
        <w:jc w:val="both"/>
        <w:ind w:left="40" w:right="59"/>
        <w:spacing w:after="0" w:line="237" w:lineRule="auto"/>
        <w:rPr>
          <w:sz w:val="20"/>
          <w:szCs w:val="20"/>
          <w:color w:val="auto"/>
        </w:rPr>
      </w:pPr>
      <w:r>
        <w:rPr>
          <w:rFonts w:ascii="Arial" w:cs="Arial" w:eastAsia="Arial" w:hAnsi="Arial"/>
          <w:sz w:val="15"/>
          <w:szCs w:val="15"/>
          <w:color w:val="auto"/>
        </w:rPr>
        <w:t>In October 2019, the Group’s subsidiary, IBEX Global Jamaica Limited, entered into a $0.8 million non- revolving demand loan with First Global Bank Limited. The loan bears a fixed interest rate of 7%. The loan is to be paid in 36 equal monthly installments. The loan is guaranteed by IBEX Global Limited and secured by substantially all the assets of IBEX Global Jamaica Limited. The debenture under which IBEX Global Jamaica Limited granted security over its assets contains limitations on liens, the incurrence of debt and the sale of assets plus the assignment of peril insurance for the replacement value over the charged assets. As of June 30, 2022, the balance of the loan was $0.1 million (June 30, 2021: $0.4 million).</w:t>
      </w:r>
    </w:p>
    <w:p>
      <w:pPr>
        <w:spacing w:after="0" w:line="150" w:lineRule="exact"/>
        <w:rPr>
          <w:sz w:val="20"/>
          <w:szCs w:val="20"/>
          <w:color w:val="auto"/>
        </w:rPr>
      </w:pPr>
    </w:p>
    <w:p>
      <w:pPr>
        <w:jc w:val="both"/>
        <w:ind w:left="40" w:right="39"/>
        <w:spacing w:after="0" w:line="255" w:lineRule="auto"/>
        <w:rPr>
          <w:sz w:val="20"/>
          <w:szCs w:val="20"/>
          <w:color w:val="auto"/>
        </w:rPr>
      </w:pPr>
      <w:r>
        <w:rPr>
          <w:rFonts w:ascii="Arial" w:cs="Arial" w:eastAsia="Arial" w:hAnsi="Arial"/>
          <w:sz w:val="14"/>
          <w:szCs w:val="14"/>
          <w:color w:val="auto"/>
        </w:rPr>
        <w:t>In March 2020, the Group’s subsidiary, IBEX Global Jamaica Limited, entered into a $0.6 million non-revolving demand loan and a $2.0 million non-revolving demand loan with First Global Bank Limited. Each loan bears interest at a fixed rate of 7.0% per annum for the term of the loan. Each loan is to be paid in 36 equal monthly installments, commencing 30 days after the first disbursement of loan funds. The loan is guaranteed by IBEX Global Limited and secured by substantially all of the assets of IBEX Global Jamaica Limited. The debenture under which IBEX Global Jamaica Limited granted security over its assets contains limitations on liens, the incurrence of debt and the sale of assets. As of June 30, 2022, the balance of the $0.6 million non-revolving demand loan is $0.2 million (June 30, 2021: $0.4 million). As of June 30, 2022, the balance of the $2 million non-revolving demand loan was $0.7 million (June 30, 2021: $1.2 million).</w:t>
      </w:r>
    </w:p>
    <w:p>
      <w:pPr>
        <w:spacing w:after="0" w:line="141" w:lineRule="exact"/>
        <w:rPr>
          <w:sz w:val="20"/>
          <w:szCs w:val="20"/>
          <w:color w:val="auto"/>
        </w:rPr>
      </w:pPr>
    </w:p>
    <w:p>
      <w:pPr>
        <w:jc w:val="both"/>
        <w:ind w:left="40" w:right="39"/>
        <w:spacing w:after="0" w:line="257" w:lineRule="auto"/>
        <w:rPr>
          <w:sz w:val="20"/>
          <w:szCs w:val="20"/>
          <w:color w:val="auto"/>
        </w:rPr>
      </w:pPr>
      <w:r>
        <w:rPr>
          <w:rFonts w:ascii="Arial" w:cs="Arial" w:eastAsia="Arial" w:hAnsi="Arial"/>
          <w:sz w:val="14"/>
          <w:szCs w:val="14"/>
          <w:b w:val="1"/>
          <w:bCs w:val="1"/>
          <w:color w:val="auto"/>
        </w:rPr>
        <w:t xml:space="preserve">13.1.4. </w:t>
      </w:r>
      <w:r>
        <w:rPr>
          <w:rFonts w:ascii="Arial" w:cs="Arial" w:eastAsia="Arial" w:hAnsi="Arial"/>
          <w:sz w:val="14"/>
          <w:szCs w:val="14"/>
          <w:color w:val="auto"/>
        </w:rPr>
        <w:t>In May 2020, the Group’s subsidiary, IBEX Global Solutions (Pvt) Limited entered into a loan agreement with JS Bank Limited for</w:t>
      </w:r>
      <w:r>
        <w:rPr>
          <w:rFonts w:ascii="Arial" w:cs="Arial" w:eastAsia="Arial" w:hAnsi="Arial"/>
          <w:sz w:val="14"/>
          <w:szCs w:val="14"/>
          <w:b w:val="1"/>
          <w:bCs w:val="1"/>
          <w:color w:val="auto"/>
        </w:rPr>
        <w:t xml:space="preserve"> </w:t>
      </w:r>
      <w:r>
        <w:rPr>
          <w:rFonts w:ascii="Arial" w:cs="Arial" w:eastAsia="Arial" w:hAnsi="Arial"/>
          <w:sz w:val="14"/>
          <w:szCs w:val="14"/>
          <w:color w:val="auto"/>
        </w:rPr>
        <w:t>a loan of $1.0 million (PKR165 million) under a government initiated wage and salary loan fund. The loan funds were received in July 2020. The loan bears 3% interest per annum with a two year term. Repayment of the loan commenced in January 2021, with monthly payments of principal and interest thereafter. The loan is guaranteed by the Group’s subsidiaries of Virtual World (Private) Limited and Ibex Global Bermuda Ltd. and is secured by the current and fixed assets of IBEX Global Solutions (Private) Limited, plus the receivables of IBEX Global Bermuda Ltd. As of June 30, 2022, the balance of the loan was $0.2 million (June 30, 2021: $0.8 million).</w:t>
      </w:r>
    </w:p>
    <w:p>
      <w:pPr>
        <w:spacing w:after="0" w:line="138" w:lineRule="exact"/>
        <w:rPr>
          <w:sz w:val="20"/>
          <w:szCs w:val="20"/>
          <w:color w:val="auto"/>
        </w:rPr>
      </w:pPr>
    </w:p>
    <w:p>
      <w:pPr>
        <w:jc w:val="both"/>
        <w:ind w:left="40" w:right="59"/>
        <w:spacing w:after="0" w:line="237" w:lineRule="auto"/>
        <w:rPr>
          <w:sz w:val="20"/>
          <w:szCs w:val="20"/>
          <w:color w:val="auto"/>
        </w:rPr>
      </w:pPr>
      <w:r>
        <w:rPr>
          <w:rFonts w:ascii="Arial" w:cs="Arial" w:eastAsia="Arial" w:hAnsi="Arial"/>
          <w:sz w:val="15"/>
          <w:szCs w:val="15"/>
          <w:color w:val="auto"/>
        </w:rPr>
        <w:t>In May 2020, the Group’s subsidiary, Virtual World (Pvt) Limited entered into a loan agreement with JS Bank Limited for a loan of $0.8 million (PKR 120 million) under a government initiated wage and salary loan fund. The loan funds were received in July 2020. The loan bears 3% interest per annum with a two year term. Repayment of the loan commenced in January 2021, with monthly payments of principal and interest thereafter. The loan is guaranteed by the Group’s subsidiaries of IBEX Global Solutions (Pvt) Ltd. and IBEX Global Bermuda Ltd and is secured by the current and fixed assets, plus the assignment of certain receivables of Virtual World (Pvt) Limited. As of June 30, 2022, the balance of the loan was $0.1 million (June 30, 2021: $0.6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5" w:name="page166"/>
    <w:bookmarkEnd w:id="16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13.2.</w:t>
      </w:r>
      <w:r>
        <w:rPr>
          <w:sz w:val="20"/>
          <w:szCs w:val="20"/>
          <w:color w:val="auto"/>
        </w:rPr>
        <w:tab/>
      </w:r>
      <w:r>
        <w:rPr>
          <w:rFonts w:ascii="Arial" w:cs="Arial" w:eastAsia="Arial" w:hAnsi="Arial"/>
          <w:sz w:val="14"/>
          <w:szCs w:val="14"/>
          <w:b w:val="1"/>
          <w:bCs w:val="1"/>
          <w:color w:val="auto"/>
        </w:rPr>
        <w:t>Line of credit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3700" w:type="dxa"/>
            <w:vAlign w:val="bottom"/>
            <w:tcBorders>
              <w:top w:val="single" w:sz="8" w:color="auto"/>
            </w:tcBorders>
          </w:tcPr>
          <w:p>
            <w:pPr>
              <w:spacing w:after="0"/>
              <w:rPr>
                <w:sz w:val="11"/>
                <w:szCs w:val="11"/>
                <w:color w:val="auto"/>
              </w:rPr>
            </w:pPr>
          </w:p>
        </w:tc>
        <w:tc>
          <w:tcPr>
            <w:tcW w:w="3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40"/>
              <w:spacing w:after="0" w:line="136" w:lineRule="exact"/>
              <w:rPr>
                <w:sz w:val="20"/>
                <w:szCs w:val="20"/>
                <w:color w:val="auto"/>
              </w:rPr>
            </w:pPr>
            <w:r>
              <w:rPr>
                <w:rFonts w:ascii="Arial" w:cs="Arial" w:eastAsia="Arial" w:hAnsi="Arial"/>
                <w:sz w:val="12"/>
                <w:szCs w:val="12"/>
                <w:b w:val="1"/>
                <w:bCs w:val="1"/>
                <w:color w:val="auto"/>
              </w:rPr>
              <w:t>June 30,</w:t>
            </w:r>
          </w:p>
        </w:tc>
        <w:tc>
          <w:tcPr>
            <w:tcW w:w="980" w:type="dxa"/>
            <w:vAlign w:val="bottom"/>
            <w:tcBorders>
              <w:top w:val="single" w:sz="8" w:color="auto"/>
            </w:tcBorders>
          </w:tcPr>
          <w:p>
            <w:pPr>
              <w:jc w:val="right"/>
              <w:ind w:right="194"/>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370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jc w:val="center"/>
              <w:ind w:left="1694"/>
              <w:spacing w:after="0"/>
              <w:rPr>
                <w:sz w:val="20"/>
                <w:szCs w:val="20"/>
                <w:color w:val="auto"/>
              </w:rPr>
            </w:pPr>
            <w:r>
              <w:rPr>
                <w:rFonts w:ascii="Arial" w:cs="Arial" w:eastAsia="Arial" w:hAnsi="Arial"/>
                <w:sz w:val="12"/>
                <w:szCs w:val="12"/>
                <w:b w:val="1"/>
                <w:bCs w:val="1"/>
                <w:i w:val="1"/>
                <w:iCs w:val="1"/>
                <w:color w:val="auto"/>
                <w:w w:val="97"/>
              </w:rPr>
              <w:t>Note</w:t>
            </w: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2"/>
                <w:szCs w:val="12"/>
                <w:b w:val="1"/>
                <w:bCs w:val="1"/>
                <w:color w:val="auto"/>
              </w:rPr>
              <w:t>2021</w:t>
            </w:r>
          </w:p>
        </w:tc>
      </w:tr>
      <w:tr>
        <w:trPr>
          <w:trHeight w:val="124"/>
        </w:trPr>
        <w:tc>
          <w:tcPr>
            <w:tcW w:w="370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ind w:left="240"/>
              <w:spacing w:after="0" w:line="124" w:lineRule="exact"/>
              <w:rPr>
                <w:sz w:val="20"/>
                <w:szCs w:val="20"/>
                <w:color w:val="auto"/>
              </w:rPr>
            </w:pPr>
            <w:r>
              <w:rPr>
                <w:rFonts w:ascii="Arial" w:cs="Arial" w:eastAsia="Arial" w:hAnsi="Arial"/>
                <w:sz w:val="12"/>
                <w:szCs w:val="12"/>
                <w:b w:val="1"/>
                <w:bCs w:val="1"/>
                <w:color w:val="auto"/>
              </w:rPr>
              <w:t>(US$’000)</w:t>
            </w:r>
          </w:p>
        </w:tc>
        <w:tc>
          <w:tcPr>
            <w:tcW w:w="980" w:type="dxa"/>
            <w:vAlign w:val="bottom"/>
            <w:tcBorders>
              <w:bottom w:val="single" w:sz="8" w:color="auto"/>
            </w:tcBorders>
          </w:tcPr>
          <w:p>
            <w:pPr>
              <w:spacing w:after="0"/>
              <w:rPr>
                <w:sz w:val="10"/>
                <w:szCs w:val="10"/>
                <w:color w:val="auto"/>
              </w:rPr>
            </w:pPr>
          </w:p>
        </w:tc>
      </w:tr>
      <w:tr>
        <w:trPr>
          <w:trHeight w:val="157"/>
        </w:trPr>
        <w:tc>
          <w:tcPr>
            <w:tcW w:w="370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Financial Institutions</w:t>
            </w:r>
          </w:p>
        </w:tc>
        <w:tc>
          <w:tcPr>
            <w:tcW w:w="3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6"/>
        </w:trPr>
        <w:tc>
          <w:tcPr>
            <w:tcW w:w="3700" w:type="dxa"/>
            <w:vAlign w:val="bottom"/>
            <w:tcBorders>
              <w:bottom w:val="single" w:sz="8" w:color="CCEEFF"/>
            </w:tcBorders>
          </w:tcPr>
          <w:p>
            <w:pPr>
              <w:ind w:left="20"/>
              <w:spacing w:after="0" w:line="166" w:lineRule="exact"/>
              <w:rPr>
                <w:sz w:val="20"/>
                <w:szCs w:val="20"/>
                <w:color w:val="auto"/>
              </w:rPr>
            </w:pPr>
            <w:r>
              <w:rPr>
                <w:rFonts w:ascii="Arial" w:cs="Arial" w:eastAsia="Arial" w:hAnsi="Arial"/>
                <w:sz w:val="15"/>
                <w:szCs w:val="15"/>
                <w:color w:val="auto"/>
              </w:rPr>
              <w:t>PNC Bank, N.A.</w:t>
            </w:r>
          </w:p>
        </w:tc>
        <w:tc>
          <w:tcPr>
            <w:tcW w:w="3100" w:type="dxa"/>
            <w:vAlign w:val="bottom"/>
            <w:tcBorders>
              <w:bottom w:val="single" w:sz="8" w:color="CCEEFF"/>
            </w:tcBorders>
          </w:tcPr>
          <w:p>
            <w:pPr>
              <w:jc w:val="right"/>
              <w:ind w:right="394"/>
              <w:spacing w:after="0" w:line="166" w:lineRule="exact"/>
              <w:rPr>
                <w:sz w:val="20"/>
                <w:szCs w:val="20"/>
                <w:color w:val="auto"/>
              </w:rPr>
            </w:pPr>
            <w:r>
              <w:rPr>
                <w:rFonts w:ascii="Arial" w:cs="Arial" w:eastAsia="Arial" w:hAnsi="Arial"/>
                <w:sz w:val="15"/>
                <w:szCs w:val="15"/>
                <w:i w:val="1"/>
                <w:iCs w:val="1"/>
                <w:color w:val="auto"/>
              </w:rPr>
              <w:t>13.2.1</w:t>
            </w: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11,202</w:t>
            </w: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22,312</w:t>
            </w:r>
          </w:p>
        </w:tc>
      </w:tr>
      <w:tr>
        <w:trPr>
          <w:trHeight w:val="157"/>
        </w:trPr>
        <w:tc>
          <w:tcPr>
            <w:tcW w:w="3700" w:type="dxa"/>
            <w:vAlign w:val="bottom"/>
            <w:tcBorders>
              <w:bottom w:val="single" w:sz="8" w:color="CCEEFF"/>
            </w:tcBorders>
            <w:shd w:val="clear" w:color="auto" w:fill="CCEEFF"/>
          </w:tcPr>
          <w:p>
            <w:pPr>
              <w:spacing w:after="0"/>
              <w:rPr>
                <w:sz w:val="13"/>
                <w:szCs w:val="13"/>
                <w:color w:val="auto"/>
              </w:rPr>
            </w:pPr>
          </w:p>
        </w:tc>
        <w:tc>
          <w:tcPr>
            <w:tcW w:w="3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11,202</w:t>
            </w:r>
          </w:p>
        </w:tc>
        <w:tc>
          <w:tcPr>
            <w:tcW w:w="2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22,312</w:t>
            </w:r>
          </w:p>
        </w:tc>
      </w:tr>
      <w:tr>
        <w:trPr>
          <w:trHeight w:val="20"/>
        </w:trPr>
        <w:tc>
          <w:tcPr>
            <w:tcW w:w="3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b w:val="1"/>
          <w:bCs w:val="1"/>
          <w:color w:val="auto"/>
        </w:rPr>
        <w:t xml:space="preserve">13.2.1. </w:t>
      </w:r>
      <w:r>
        <w:rPr>
          <w:rFonts w:ascii="Arial" w:cs="Arial" w:eastAsia="Arial" w:hAnsi="Arial"/>
          <w:sz w:val="15"/>
          <w:szCs w:val="15"/>
          <w:color w:val="auto"/>
        </w:rPr>
        <w:t>In November 2013, the Group’s subsidiary, Ibex Global Solutions, Inc. (formerly known as TRG Customer Solutions, Inc.),</w:t>
      </w:r>
      <w:r>
        <w:rPr>
          <w:rFonts w:ascii="Arial" w:cs="Arial" w:eastAsia="Arial" w:hAnsi="Arial"/>
          <w:sz w:val="15"/>
          <w:szCs w:val="15"/>
          <w:b w:val="1"/>
          <w:bCs w:val="1"/>
          <w:color w:val="auto"/>
        </w:rPr>
        <w:t xml:space="preserve"> </w:t>
      </w:r>
      <w:r>
        <w:rPr>
          <w:rFonts w:ascii="Arial" w:cs="Arial" w:eastAsia="Arial" w:hAnsi="Arial"/>
          <w:sz w:val="15"/>
          <w:szCs w:val="15"/>
          <w:color w:val="auto"/>
        </w:rPr>
        <w:t>entered into a three-year $35.0 million revolving credit facility (as amended, the “PNC Credit Facility”) with PNC Bank, N.A. (“PNC”). In June 2015, the maximum revolving advance amount under the PNC Credit Facility was increased to $40.0 million, with an additional $10.0 million of incremental availability (subject to PNC’s approval and satisfaction of conditions precedent) and the maturity date was extended to May 2020. In December 2018, the PNC Credit Facility maximum revolving advance amount was increased to $45.0 million. In May 2019, the PNC Credit Facility was amended to include the following: the maximum revolving advance amount was increased to $50.0 million, with an additional $10.0 million of availability (in $5.0 million increments) subject to satisfaction of conditions precedent, and the maturity date was extended to May 2023. In March 2021, the PNC Credit Facility was amended to join Digital Globe Services, LLC, TelSatOnline, LLC and 7 Degrees, LLC as borrowers, with the maximum revolving advance amount increased to $60 million. In September 2021, the PNC Credit Facility was amended to join iSky, LLC as a borrower. In June 2022, the PNC Credit Facility was amended to increase the maximum revolving advance amount to $80 million, with the ability to request increases, up to a maximum revolving advance amount of $95 million (contingent upon lender approval), change the reference rate used from LIBOR to Term SOFR and extend the maturity date to May 2026. Borrowings under the PNC Credit Facility bear interest at SOFR plus a margin of 1.75% and/or negative 0.5% of the PNC Commercial Lending Rate for domestic loans. The PNC Credit Facility is guaranteed by IBEX Global Limited and secured by substantially all the assets of Ibex Global Solutions, Inc., Digital Globe Services, LLC, TelSatOnline, LLC, 7 Degrees, LLC and iSky, LLC. The line of credit balance as of June 30, 2022 is $11.2 million (June 30, 2021: $22.3 million), as presented in Note 13.2.</w:t>
      </w:r>
    </w:p>
    <w:p>
      <w:pPr>
        <w:spacing w:after="0" w:line="15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b w:val="1"/>
          <w:bCs w:val="1"/>
          <w:color w:val="auto"/>
        </w:rPr>
        <w:t xml:space="preserve">13.2.2. </w:t>
      </w:r>
      <w:r>
        <w:rPr>
          <w:rFonts w:ascii="Arial" w:cs="Arial" w:eastAsia="Arial" w:hAnsi="Arial"/>
          <w:sz w:val="15"/>
          <w:szCs w:val="15"/>
          <w:color w:val="auto"/>
        </w:rPr>
        <w:t>In July 2011, a subsidiary of the Group, iSky, Inc., entered into a purchasing agreement (the “Seacoast Receivables Financing</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with the predecessor to Seacoast National Bank (“Seacoast”). Pursuant to the Seacoast Receivables Financing Agreement, Seacoast provides payment to iSky, Inc. for up to $1.5 million of accounts receivable owed to iSky, Inc. All payments from Seacoast to iSky, Inc. are subject to a discount of 1.0% for receivables outstanding 30 days or less and an additional 0.5% for each additional 15 days that such receivable is outstanding. Under the Seacoast Receivables Financing Agreement, Seacoast may also advance an amount up to 85% of iSky, Inc.’s receivables to iSky, Inc. at a rate of LIBOR plus 7.0%.</w:t>
      </w:r>
    </w:p>
    <w:p>
      <w:pPr>
        <w:spacing w:after="0" w:line="150" w:lineRule="exact"/>
        <w:rPr>
          <w:sz w:val="20"/>
          <w:szCs w:val="20"/>
          <w:color w:val="auto"/>
        </w:rPr>
      </w:pPr>
    </w:p>
    <w:p>
      <w:pPr>
        <w:jc w:val="both"/>
        <w:ind w:left="40" w:right="39"/>
        <w:spacing w:after="0" w:line="263" w:lineRule="auto"/>
        <w:rPr>
          <w:sz w:val="20"/>
          <w:szCs w:val="20"/>
          <w:color w:val="auto"/>
        </w:rPr>
      </w:pPr>
      <w:r>
        <w:rPr>
          <w:rFonts w:ascii="Arial" w:cs="Arial" w:eastAsia="Arial" w:hAnsi="Arial"/>
          <w:sz w:val="14"/>
          <w:szCs w:val="14"/>
          <w:color w:val="auto"/>
        </w:rPr>
        <w:t>The Seacoast Receivables Financing Agreement requires iSky, Inc. to sell $0.2 million of receivables per month to Seacoast, subject to a penalty based on the discount fee if such minimum is not met. The Seacoast Receivables Financing Agreement is automatically renewed for successive 12-month periods unless terminated in accordance with its terms. The average discount during the fiscal year ended June 30, 2021 was approximately 1.8% of net sales. On June 16, 2021, the Company terminated the Receivables Financing Agreement.</w:t>
      </w:r>
    </w:p>
    <w:p>
      <w:pPr>
        <w:spacing w:after="0" w:line="135"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b w:val="1"/>
          <w:bCs w:val="1"/>
          <w:color w:val="auto"/>
        </w:rPr>
        <w:t xml:space="preserve">13.3. </w:t>
      </w:r>
      <w:r>
        <w:rPr>
          <w:rFonts w:ascii="Arial" w:cs="Arial" w:eastAsia="Arial" w:hAnsi="Arial"/>
          <w:sz w:val="15"/>
          <w:szCs w:val="15"/>
          <w:color w:val="auto"/>
        </w:rPr>
        <w:t>In June 2015, the Group’s subsidiary, Ibex Global Solutions, Inc., entered into a supplier agreement with Citibank, N.A. (the</w:t>
      </w:r>
      <w:r>
        <w:rPr>
          <w:rFonts w:ascii="Arial" w:cs="Arial" w:eastAsia="Arial" w:hAnsi="Arial"/>
          <w:sz w:val="15"/>
          <w:szCs w:val="15"/>
          <w:b w:val="1"/>
          <w:bCs w:val="1"/>
          <w:color w:val="auto"/>
        </w:rPr>
        <w:t xml:space="preserve"> </w:t>
      </w:r>
      <w:r>
        <w:rPr>
          <w:rFonts w:ascii="Arial" w:cs="Arial" w:eastAsia="Arial" w:hAnsi="Arial"/>
          <w:sz w:val="15"/>
          <w:szCs w:val="15"/>
          <w:color w:val="auto"/>
        </w:rPr>
        <w:t>“Citibank Receivables Financing Agreement”). Pursuant to the Citibank Receivables Financing Agreement, Citibank provides payment to Ibex Global Solutions, Inc. for accounts receivable owed to Ibex Global Solutions, Inc. from one of our largest clients and its various subsidiaries and affiliates located in the United States. All payments from Citibank to Ibex Global Solutions, Inc. are subject to a discount charge.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6" w:name="page167"/>
    <w:bookmarkEnd w:id="16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discount rate used to calculate the discount charge is the product of (i) the SOFR rate for the period most closely corresponding to the number of days in the period starting from and including the date the proceeds are remitted by Citibank to Ibex Global Solutions, Inc. (the “Discount Acceptance Period”) plus 1.40% per annum and (ii) the Discount Acceptance Period divided by 360. The discount charge during the fiscal year ended June 30, 2022 and 2021 averaged approximately 0.17% and 0.17% of net sales, respectively.</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460" w:type="dxa"/>
            <w:vAlign w:val="bottom"/>
            <w:gridSpan w:val="2"/>
          </w:tcPr>
          <w:p>
            <w:pPr>
              <w:ind w:left="20"/>
              <w:spacing w:after="0"/>
              <w:rPr>
                <w:sz w:val="20"/>
                <w:szCs w:val="20"/>
                <w:color w:val="auto"/>
              </w:rPr>
            </w:pPr>
            <w:r>
              <w:rPr>
                <w:rFonts w:ascii="Arial" w:cs="Arial" w:eastAsia="Arial" w:hAnsi="Arial"/>
                <w:sz w:val="15"/>
                <w:szCs w:val="15"/>
                <w:b w:val="1"/>
                <w:bCs w:val="1"/>
                <w:color w:val="auto"/>
              </w:rPr>
              <w:t>13.4.</w:t>
            </w:r>
          </w:p>
        </w:tc>
        <w:tc>
          <w:tcPr>
            <w:tcW w:w="4700" w:type="dxa"/>
            <w:vAlign w:val="bottom"/>
          </w:tcPr>
          <w:p>
            <w:pPr>
              <w:ind w:left="80"/>
              <w:spacing w:after="0"/>
              <w:rPr>
                <w:sz w:val="20"/>
                <w:szCs w:val="20"/>
                <w:color w:val="auto"/>
              </w:rPr>
            </w:pPr>
            <w:r>
              <w:rPr>
                <w:rFonts w:ascii="Arial" w:cs="Arial" w:eastAsia="Arial" w:hAnsi="Arial"/>
                <w:sz w:val="15"/>
                <w:szCs w:val="15"/>
                <w:b w:val="1"/>
                <w:bCs w:val="1"/>
                <w:color w:val="auto"/>
              </w:rPr>
              <w:t>Changes in liabilities arising from financing activities:</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7"/>
        </w:trPr>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gridSpan w:val="2"/>
          </w:tcPr>
          <w:p>
            <w:pPr>
              <w:jc w:val="right"/>
              <w:ind w:right="200"/>
              <w:spacing w:after="0" w:line="116" w:lineRule="exact"/>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0"/>
                <w:szCs w:val="10"/>
                <w:color w:val="auto"/>
              </w:rPr>
            </w:pPr>
          </w:p>
        </w:tc>
        <w:tc>
          <w:tcPr>
            <w:tcW w:w="1100" w:type="dxa"/>
            <w:vAlign w:val="bottom"/>
            <w:gridSpan w:val="5"/>
          </w:tcPr>
          <w:p>
            <w:pPr>
              <w:jc w:val="center"/>
              <w:ind w:right="300"/>
              <w:spacing w:after="0" w:line="116" w:lineRule="exact"/>
              <w:rPr>
                <w:sz w:val="20"/>
                <w:szCs w:val="20"/>
                <w:color w:val="auto"/>
              </w:rPr>
            </w:pPr>
            <w:r>
              <w:rPr>
                <w:rFonts w:ascii="Arial" w:cs="Arial" w:eastAsia="Arial" w:hAnsi="Arial"/>
                <w:sz w:val="12"/>
                <w:szCs w:val="12"/>
                <w:b w:val="1"/>
                <w:bCs w:val="1"/>
                <w:color w:val="auto"/>
                <w:w w:val="99"/>
              </w:rPr>
              <w:t>June 30,</w:t>
            </w:r>
          </w:p>
        </w:tc>
        <w:tc>
          <w:tcPr>
            <w:tcW w:w="780" w:type="dxa"/>
            <w:vAlign w:val="bottom"/>
            <w:gridSpan w:val="2"/>
          </w:tcPr>
          <w:p>
            <w:pPr>
              <w:jc w:val="right"/>
              <w:ind w:right="200"/>
              <w:spacing w:after="0" w:line="116" w:lineRule="exact"/>
              <w:rPr>
                <w:sz w:val="20"/>
                <w:szCs w:val="20"/>
                <w:color w:val="auto"/>
              </w:rPr>
            </w:pPr>
            <w:r>
              <w:rPr>
                <w:rFonts w:ascii="Arial" w:cs="Arial" w:eastAsia="Arial" w:hAnsi="Arial"/>
                <w:sz w:val="12"/>
                <w:szCs w:val="12"/>
                <w:b w:val="1"/>
                <w:bCs w:val="1"/>
                <w:color w:val="auto"/>
              </w:rPr>
              <w:t>June 30,</w:t>
            </w:r>
          </w:p>
        </w:tc>
      </w:tr>
      <w:tr>
        <w:trPr>
          <w:trHeight w:val="141"/>
        </w:trPr>
        <w:tc>
          <w:tcPr>
            <w:tcW w:w="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2022</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2"/>
                <w:szCs w:val="12"/>
                <w:b w:val="1"/>
                <w:bCs w:val="1"/>
                <w:color w:val="auto"/>
                <w:w w:val="97"/>
              </w:rPr>
              <w:t>2021</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2020</w:t>
            </w:r>
          </w:p>
        </w:tc>
        <w:tc>
          <w:tcPr>
            <w:tcW w:w="20" w:type="dxa"/>
            <w:vAlign w:val="bottom"/>
            <w:tcBorders>
              <w:bottom w:val="single" w:sz="8" w:color="auto"/>
            </w:tcBorders>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5"/>
          </w:tcPr>
          <w:p>
            <w:pPr>
              <w:jc w:val="center"/>
              <w:ind w:right="280"/>
              <w:spacing w:after="0" w:line="124" w:lineRule="exact"/>
              <w:rPr>
                <w:sz w:val="20"/>
                <w:szCs w:val="20"/>
                <w:color w:val="auto"/>
              </w:rPr>
            </w:pPr>
            <w:r>
              <w:rPr>
                <w:rFonts w:ascii="Arial" w:cs="Arial" w:eastAsia="Arial" w:hAnsi="Arial"/>
                <w:sz w:val="12"/>
                <w:szCs w:val="12"/>
                <w:b w:val="1"/>
                <w:bCs w:val="1"/>
                <w:color w:val="auto"/>
                <w:w w:val="98"/>
              </w:rPr>
              <w:t>(US$’000)</w:t>
            </w: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514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Balance of debt, July 1,</w:t>
            </w:r>
          </w:p>
        </w:tc>
        <w:tc>
          <w:tcPr>
            <w:tcW w:w="172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5"/>
                <w:szCs w:val="15"/>
                <w:b w:val="1"/>
                <w:bCs w:val="1"/>
                <w:color w:val="auto"/>
              </w:rPr>
              <w:t>112,516</w:t>
            </w:r>
          </w:p>
        </w:tc>
        <w:tc>
          <w:tcPr>
            <w:tcW w:w="1040" w:type="dxa"/>
            <w:vAlign w:val="bottom"/>
            <w:gridSpan w:val="3"/>
            <w:shd w:val="clear" w:color="auto" w:fill="CCEEFF"/>
          </w:tcPr>
          <w:p>
            <w:pPr>
              <w:jc w:val="right"/>
              <w:ind w:right="60"/>
              <w:spacing w:after="0" w:line="157" w:lineRule="exact"/>
              <w:rPr>
                <w:sz w:val="20"/>
                <w:szCs w:val="20"/>
                <w:color w:val="auto"/>
              </w:rPr>
            </w:pPr>
            <w:r>
              <w:rPr>
                <w:rFonts w:ascii="Arial" w:cs="Arial" w:eastAsia="Arial" w:hAnsi="Arial"/>
                <w:sz w:val="15"/>
                <w:szCs w:val="15"/>
                <w:b w:val="1"/>
                <w:bCs w:val="1"/>
                <w:color w:val="auto"/>
              </w:rPr>
              <w:t>105,970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118,253</w:t>
            </w:r>
          </w:p>
        </w:tc>
        <w:tc>
          <w:tcPr>
            <w:tcW w:w="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140" w:type="dxa"/>
            <w:vAlign w:val="bottom"/>
            <w:gridSpan w:val="2"/>
          </w:tcPr>
          <w:p>
            <w:pPr>
              <w:ind w:left="80"/>
              <w:spacing w:after="0" w:line="166" w:lineRule="exact"/>
              <w:rPr>
                <w:sz w:val="20"/>
                <w:szCs w:val="20"/>
                <w:color w:val="auto"/>
              </w:rPr>
            </w:pPr>
            <w:r>
              <w:rPr>
                <w:rFonts w:ascii="Arial" w:cs="Arial" w:eastAsia="Arial" w:hAnsi="Arial"/>
                <w:sz w:val="15"/>
                <w:szCs w:val="15"/>
                <w:color w:val="auto"/>
              </w:rPr>
              <w:t>Changes from operating cash flows</w:t>
            </w:r>
          </w:p>
        </w:tc>
        <w:tc>
          <w:tcPr>
            <w:tcW w:w="1720" w:type="dxa"/>
            <w:vAlign w:val="bottom"/>
            <w:gridSpan w:val="3"/>
          </w:tcPr>
          <w:p>
            <w:pPr>
              <w:jc w:val="right"/>
              <w:ind w:right="60"/>
              <w:spacing w:after="0" w:line="166" w:lineRule="exact"/>
              <w:rPr>
                <w:sz w:val="20"/>
                <w:szCs w:val="20"/>
                <w:color w:val="auto"/>
              </w:rPr>
            </w:pPr>
            <w:r>
              <w:rPr>
                <w:rFonts w:ascii="Arial" w:cs="Arial" w:eastAsia="Arial" w:hAnsi="Arial"/>
                <w:sz w:val="15"/>
                <w:szCs w:val="15"/>
                <w:color w:val="auto"/>
              </w:rPr>
              <w:t>3,894</w:t>
            </w:r>
          </w:p>
        </w:tc>
        <w:tc>
          <w:tcPr>
            <w:tcW w:w="104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(827)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(3,379)</w:t>
            </w:r>
          </w:p>
        </w:tc>
      </w:tr>
      <w:tr>
        <w:trPr>
          <w:trHeight w:val="166"/>
        </w:trPr>
        <w:tc>
          <w:tcPr>
            <w:tcW w:w="20" w:type="dxa"/>
            <w:vAlign w:val="bottom"/>
          </w:tcPr>
          <w:p>
            <w:pPr>
              <w:spacing w:after="0"/>
              <w:rPr>
                <w:sz w:val="14"/>
                <w:szCs w:val="14"/>
                <w:color w:val="auto"/>
              </w:rPr>
            </w:pPr>
          </w:p>
        </w:tc>
        <w:tc>
          <w:tcPr>
            <w:tcW w:w="5140" w:type="dxa"/>
            <w:vAlign w:val="bottom"/>
            <w:gridSpan w:val="2"/>
            <w:shd w:val="clear" w:color="auto" w:fill="CCEEFF"/>
          </w:tcPr>
          <w:p>
            <w:pPr>
              <w:ind w:left="80"/>
              <w:spacing w:after="0" w:line="166" w:lineRule="exact"/>
              <w:rPr>
                <w:sz w:val="20"/>
                <w:szCs w:val="20"/>
                <w:color w:val="auto"/>
              </w:rPr>
            </w:pPr>
            <w:r>
              <w:rPr>
                <w:rFonts w:ascii="Arial" w:cs="Arial" w:eastAsia="Arial" w:hAnsi="Arial"/>
                <w:sz w:val="15"/>
                <w:szCs w:val="15"/>
                <w:color w:val="auto"/>
              </w:rPr>
              <w:t>Changes from financing cash flows, net</w:t>
            </w:r>
          </w:p>
        </w:tc>
        <w:tc>
          <w:tcPr>
            <w:tcW w:w="172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(29,906)</w:t>
            </w:r>
          </w:p>
        </w:tc>
        <w:tc>
          <w:tcPr>
            <w:tcW w:w="10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(26,018)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(33,746)</w:t>
            </w:r>
          </w:p>
        </w:tc>
      </w:tr>
      <w:tr>
        <w:trPr>
          <w:trHeight w:val="166"/>
        </w:trPr>
        <w:tc>
          <w:tcPr>
            <w:tcW w:w="20" w:type="dxa"/>
            <w:vAlign w:val="bottom"/>
          </w:tcPr>
          <w:p>
            <w:pPr>
              <w:spacing w:after="0"/>
              <w:rPr>
                <w:sz w:val="14"/>
                <w:szCs w:val="14"/>
                <w:color w:val="auto"/>
              </w:rPr>
            </w:pPr>
          </w:p>
        </w:tc>
        <w:tc>
          <w:tcPr>
            <w:tcW w:w="5140" w:type="dxa"/>
            <w:vAlign w:val="bottom"/>
            <w:gridSpan w:val="2"/>
          </w:tcPr>
          <w:p>
            <w:pPr>
              <w:ind w:left="80"/>
              <w:spacing w:after="0" w:line="166" w:lineRule="exact"/>
              <w:rPr>
                <w:sz w:val="20"/>
                <w:szCs w:val="20"/>
                <w:color w:val="auto"/>
              </w:rPr>
            </w:pPr>
            <w:r>
              <w:rPr>
                <w:rFonts w:ascii="Arial" w:cs="Arial" w:eastAsia="Arial" w:hAnsi="Arial"/>
                <w:sz w:val="15"/>
                <w:szCs w:val="15"/>
                <w:color w:val="auto"/>
              </w:rPr>
              <w:t>New assets</w:t>
            </w:r>
          </w:p>
        </w:tc>
        <w:tc>
          <w:tcPr>
            <w:tcW w:w="1720" w:type="dxa"/>
            <w:vAlign w:val="bottom"/>
            <w:gridSpan w:val="3"/>
          </w:tcPr>
          <w:p>
            <w:pPr>
              <w:jc w:val="right"/>
              <w:ind w:right="60"/>
              <w:spacing w:after="0" w:line="166" w:lineRule="exact"/>
              <w:rPr>
                <w:sz w:val="20"/>
                <w:szCs w:val="20"/>
                <w:color w:val="auto"/>
              </w:rPr>
            </w:pPr>
            <w:r>
              <w:rPr>
                <w:rFonts w:ascii="Arial" w:cs="Arial" w:eastAsia="Arial" w:hAnsi="Arial"/>
                <w:sz w:val="15"/>
                <w:szCs w:val="15"/>
                <w:color w:val="auto"/>
              </w:rPr>
              <w:t>24,072</w:t>
            </w:r>
          </w:p>
        </w:tc>
        <w:tc>
          <w:tcPr>
            <w:tcW w:w="1040" w:type="dxa"/>
            <w:vAlign w:val="bottom"/>
            <w:gridSpan w:val="3"/>
          </w:tcPr>
          <w:p>
            <w:pPr>
              <w:jc w:val="right"/>
              <w:ind w:right="60"/>
              <w:spacing w:after="0" w:line="166" w:lineRule="exact"/>
              <w:rPr>
                <w:sz w:val="20"/>
                <w:szCs w:val="20"/>
                <w:color w:val="auto"/>
              </w:rPr>
            </w:pPr>
            <w:r>
              <w:rPr>
                <w:rFonts w:ascii="Arial" w:cs="Arial" w:eastAsia="Arial" w:hAnsi="Arial"/>
                <w:sz w:val="15"/>
                <w:szCs w:val="15"/>
                <w:color w:val="auto"/>
              </w:rPr>
              <w:t>31,790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24,295</w:t>
            </w:r>
          </w:p>
        </w:tc>
        <w:tc>
          <w:tcPr>
            <w:tcW w:w="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140" w:type="dxa"/>
            <w:vAlign w:val="bottom"/>
            <w:gridSpan w:val="2"/>
            <w:shd w:val="clear" w:color="auto" w:fill="CCEEFF"/>
          </w:tcPr>
          <w:p>
            <w:pPr>
              <w:ind w:left="80"/>
              <w:spacing w:after="0" w:line="166" w:lineRule="exact"/>
              <w:rPr>
                <w:sz w:val="20"/>
                <w:szCs w:val="20"/>
                <w:color w:val="auto"/>
              </w:rPr>
            </w:pPr>
            <w:r>
              <w:rPr>
                <w:rFonts w:ascii="Arial" w:cs="Arial" w:eastAsia="Arial" w:hAnsi="Arial"/>
                <w:sz w:val="15"/>
                <w:szCs w:val="15"/>
                <w:color w:val="auto"/>
              </w:rPr>
              <w:t>Foreign exchange movement</w:t>
            </w:r>
          </w:p>
        </w:tc>
        <w:tc>
          <w:tcPr>
            <w:tcW w:w="172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(5,840)</w:t>
            </w:r>
          </w:p>
        </w:tc>
        <w:tc>
          <w:tcPr>
            <w:tcW w:w="1040" w:type="dxa"/>
            <w:vAlign w:val="bottom"/>
            <w:gridSpan w:val="3"/>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1,601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547</w:t>
            </w:r>
          </w:p>
        </w:tc>
        <w:tc>
          <w:tcPr>
            <w:tcW w:w="20" w:type="dxa"/>
            <w:vAlign w:val="bottom"/>
            <w:shd w:val="clear" w:color="auto" w:fill="CCEEFF"/>
          </w:tcPr>
          <w:p>
            <w:pPr>
              <w:spacing w:after="0"/>
              <w:rPr>
                <w:sz w:val="14"/>
                <w:szCs w:val="14"/>
                <w:color w:val="auto"/>
              </w:rPr>
            </w:pPr>
          </w:p>
        </w:tc>
      </w:tr>
      <w:tr>
        <w:trPr>
          <w:trHeight w:val="197"/>
        </w:trPr>
        <w:tc>
          <w:tcPr>
            <w:tcW w:w="516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Balance of debt, June 30,</w:t>
            </w:r>
          </w:p>
        </w:tc>
        <w:tc>
          <w:tcPr>
            <w:tcW w:w="88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ind w:right="60"/>
              <w:spacing w:after="0" w:line="157" w:lineRule="exact"/>
              <w:rPr>
                <w:sz w:val="20"/>
                <w:szCs w:val="20"/>
                <w:color w:val="auto"/>
              </w:rPr>
            </w:pPr>
            <w:r>
              <w:rPr>
                <w:rFonts w:ascii="Arial" w:cs="Arial" w:eastAsia="Arial" w:hAnsi="Arial"/>
                <w:sz w:val="15"/>
                <w:szCs w:val="15"/>
                <w:b w:val="1"/>
                <w:bCs w:val="1"/>
                <w:color w:val="auto"/>
              </w:rPr>
              <w:t>104,736</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ind w:right="60"/>
              <w:spacing w:after="0" w:line="157" w:lineRule="exact"/>
              <w:rPr>
                <w:sz w:val="20"/>
                <w:szCs w:val="20"/>
                <w:color w:val="auto"/>
              </w:rPr>
            </w:pPr>
            <w:r>
              <w:rPr>
                <w:rFonts w:ascii="Arial" w:cs="Arial" w:eastAsia="Arial" w:hAnsi="Arial"/>
                <w:sz w:val="15"/>
                <w:szCs w:val="15"/>
                <w:b w:val="1"/>
                <w:bCs w:val="1"/>
                <w:color w:val="auto"/>
              </w:rPr>
              <w:t>112,516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105,970</w:t>
            </w:r>
          </w:p>
        </w:tc>
        <w:tc>
          <w:tcPr>
            <w:tcW w:w="20" w:type="dxa"/>
            <w:vAlign w:val="bottom"/>
            <w:tcBorders>
              <w:top w:val="single" w:sz="8" w:color="auto"/>
              <w:bottom w:val="single" w:sz="8" w:color="auto"/>
            </w:tcBorders>
          </w:tcPr>
          <w:p>
            <w:pPr>
              <w:spacing w:after="0"/>
              <w:rPr>
                <w:sz w:val="17"/>
                <w:szCs w:val="17"/>
                <w:color w:val="auto"/>
              </w:rPr>
            </w:pPr>
          </w:p>
        </w:tc>
      </w:tr>
      <w:tr>
        <w:trPr>
          <w:trHeight w:val="139"/>
        </w:trPr>
        <w:tc>
          <w:tcPr>
            <w:tcW w:w="20" w:type="dxa"/>
            <w:vAlign w:val="bottom"/>
          </w:tcPr>
          <w:p>
            <w:pPr>
              <w:spacing w:after="0"/>
              <w:rPr>
                <w:sz w:val="12"/>
                <w:szCs w:val="12"/>
                <w:color w:val="auto"/>
              </w:rPr>
            </w:pPr>
          </w:p>
        </w:tc>
        <w:tc>
          <w:tcPr>
            <w:tcW w:w="440" w:type="dxa"/>
            <w:vAlign w:val="bottom"/>
            <w:tcBorders>
              <w:top w:val="single" w:sz="8" w:color="CCEEFF"/>
              <w:bottom w:val="single" w:sz="8" w:color="auto"/>
            </w:tcBorders>
            <w:shd w:val="clear" w:color="auto" w:fill="CCEEFF"/>
          </w:tcPr>
          <w:p>
            <w:pPr>
              <w:spacing w:after="0"/>
              <w:rPr>
                <w:sz w:val="12"/>
                <w:szCs w:val="12"/>
                <w:color w:val="auto"/>
              </w:rPr>
            </w:pPr>
          </w:p>
        </w:tc>
        <w:tc>
          <w:tcPr>
            <w:tcW w:w="4700" w:type="dxa"/>
            <w:vAlign w:val="bottom"/>
            <w:tcBorders>
              <w:top w:val="single" w:sz="8" w:color="CCEEFF"/>
              <w:bottom w:val="single" w:sz="8" w:color="auto"/>
            </w:tcBorders>
            <w:shd w:val="clear" w:color="auto" w:fill="CCEEFF"/>
          </w:tcPr>
          <w:p>
            <w:pPr>
              <w:spacing w:after="0"/>
              <w:rPr>
                <w:sz w:val="12"/>
                <w:szCs w:val="12"/>
                <w:color w:val="auto"/>
              </w:rPr>
            </w:pPr>
          </w:p>
        </w:tc>
        <w:tc>
          <w:tcPr>
            <w:tcW w:w="880" w:type="dxa"/>
            <w:vAlign w:val="bottom"/>
            <w:tcBorders>
              <w:top w:val="single" w:sz="8" w:color="CCEEFF"/>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344"/>
        </w:trPr>
        <w:tc>
          <w:tcPr>
            <w:tcW w:w="460" w:type="dxa"/>
            <w:vAlign w:val="bottom"/>
            <w:gridSpan w:val="2"/>
          </w:tcPr>
          <w:p>
            <w:pPr>
              <w:ind w:left="20"/>
              <w:spacing w:after="0"/>
              <w:rPr>
                <w:sz w:val="20"/>
                <w:szCs w:val="20"/>
                <w:color w:val="auto"/>
              </w:rPr>
            </w:pPr>
            <w:r>
              <w:rPr>
                <w:rFonts w:ascii="Arial" w:cs="Arial" w:eastAsia="Arial" w:hAnsi="Arial"/>
                <w:sz w:val="15"/>
                <w:szCs w:val="15"/>
                <w:b w:val="1"/>
                <w:bCs w:val="1"/>
                <w:color w:val="auto"/>
              </w:rPr>
              <w:t>14.</w:t>
            </w:r>
          </w:p>
        </w:tc>
        <w:tc>
          <w:tcPr>
            <w:tcW w:w="4700" w:type="dxa"/>
            <w:vAlign w:val="bottom"/>
          </w:tcPr>
          <w:p>
            <w:pPr>
              <w:ind w:left="80"/>
              <w:spacing w:after="0"/>
              <w:rPr>
                <w:sz w:val="20"/>
                <w:szCs w:val="20"/>
                <w:color w:val="auto"/>
              </w:rPr>
            </w:pPr>
            <w:r>
              <w:rPr>
                <w:rFonts w:ascii="Arial" w:cs="Arial" w:eastAsia="Arial" w:hAnsi="Arial"/>
                <w:sz w:val="15"/>
                <w:szCs w:val="15"/>
                <w:b w:val="1"/>
                <w:bCs w:val="1"/>
                <w:color w:val="auto"/>
              </w:rPr>
              <w:t>OTHER NON-CURRENT LIABILITIES</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6"/>
          </w:tcPr>
          <w:p>
            <w:pPr>
              <w:spacing w:after="0"/>
              <w:rPr>
                <w:sz w:val="14"/>
                <w:szCs w:val="14"/>
                <w:color w:val="auto"/>
              </w:rPr>
            </w:pPr>
          </w:p>
        </w:tc>
        <w:tc>
          <w:tcPr>
            <w:tcW w:w="780" w:type="dxa"/>
            <w:vAlign w:val="bottom"/>
            <w:gridSpan w:val="2"/>
          </w:tcPr>
          <w:p>
            <w:pPr>
              <w:spacing w:after="0"/>
              <w:rPr>
                <w:sz w:val="14"/>
                <w:szCs w:val="14"/>
                <w:color w:val="auto"/>
              </w:rPr>
            </w:pPr>
          </w:p>
        </w:tc>
      </w:tr>
      <w:tr>
        <w:trPr>
          <w:trHeight w:val="116"/>
        </w:trPr>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7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6"/>
          </w:tcPr>
          <w:p>
            <w:pPr>
              <w:ind w:left="160"/>
              <w:spacing w:after="0" w:line="116" w:lineRule="exact"/>
              <w:rPr>
                <w:sz w:val="20"/>
                <w:szCs w:val="20"/>
                <w:color w:val="auto"/>
              </w:rPr>
            </w:pPr>
            <w:r>
              <w:rPr>
                <w:rFonts w:ascii="Arial" w:cs="Arial" w:eastAsia="Arial" w:hAnsi="Arial"/>
                <w:sz w:val="12"/>
                <w:szCs w:val="12"/>
                <w:b w:val="1"/>
                <w:bCs w:val="1"/>
                <w:color w:val="auto"/>
              </w:rPr>
              <w:t>June 30,</w:t>
            </w:r>
          </w:p>
        </w:tc>
        <w:tc>
          <w:tcPr>
            <w:tcW w:w="760" w:type="dxa"/>
            <w:vAlign w:val="bottom"/>
            <w:tcBorders>
              <w:top w:val="single" w:sz="8" w:color="auto"/>
            </w:tcBorders>
          </w:tcPr>
          <w:p>
            <w:pPr>
              <w:jc w:val="right"/>
              <w:ind w:right="190"/>
              <w:spacing w:after="0" w:line="116" w:lineRule="exact"/>
              <w:rPr>
                <w:sz w:val="20"/>
                <w:szCs w:val="20"/>
                <w:color w:val="auto"/>
              </w:rPr>
            </w:pPr>
            <w:r>
              <w:rPr>
                <w:rFonts w:ascii="Arial" w:cs="Arial" w:eastAsia="Arial" w:hAnsi="Arial"/>
                <w:sz w:val="12"/>
                <w:szCs w:val="12"/>
                <w:b w:val="1"/>
                <w:bCs w:val="1"/>
                <w:color w:val="auto"/>
                <w:w w:val="99"/>
              </w:rPr>
              <w:t>June 30,</w:t>
            </w:r>
          </w:p>
        </w:tc>
        <w:tc>
          <w:tcPr>
            <w:tcW w:w="20" w:type="dxa"/>
            <w:vAlign w:val="bottom"/>
          </w:tcPr>
          <w:p>
            <w:pPr>
              <w:spacing w:after="0"/>
              <w:rPr>
                <w:sz w:val="10"/>
                <w:szCs w:val="10"/>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2"/>
                <w:szCs w:val="12"/>
                <w:b w:val="1"/>
                <w:bCs w:val="1"/>
                <w:i w:val="1"/>
                <w:iCs w:val="1"/>
                <w:color w:val="auto"/>
              </w:rPr>
              <w:t>Note</w:t>
            </w:r>
          </w:p>
        </w:tc>
        <w:tc>
          <w:tcPr>
            <w:tcW w:w="90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2"/>
                <w:szCs w:val="12"/>
                <w:b w:val="1"/>
                <w:bCs w:val="1"/>
                <w:color w:val="auto"/>
              </w:rPr>
              <w:t>2022</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5"/>
          </w:tcPr>
          <w:p>
            <w:pPr>
              <w:ind w:left="540"/>
              <w:spacing w:after="0" w:line="124" w:lineRule="exact"/>
              <w:rPr>
                <w:sz w:val="20"/>
                <w:szCs w:val="20"/>
                <w:color w:val="auto"/>
              </w:rPr>
            </w:pPr>
            <w:r>
              <w:rPr>
                <w:rFonts w:ascii="Arial" w:cs="Arial" w:eastAsia="Arial" w:hAnsi="Arial"/>
                <w:sz w:val="12"/>
                <w:szCs w:val="12"/>
                <w:b w:val="1"/>
                <w:bCs w:val="1"/>
                <w:color w:val="auto"/>
                <w:w w:val="98"/>
              </w:rPr>
              <w:t>(US$’000)</w:t>
            </w: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516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5"/>
                <w:szCs w:val="15"/>
                <w:color w:val="auto"/>
              </w:rPr>
              <w:t>Defined benefit scheme</w:t>
            </w:r>
          </w:p>
        </w:tc>
        <w:tc>
          <w:tcPr>
            <w:tcW w:w="14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i w:val="1"/>
                <w:iCs w:val="1"/>
                <w:color w:val="auto"/>
              </w:rPr>
              <w:t>14.1</w:t>
            </w: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830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950</w:t>
            </w:r>
          </w:p>
        </w:tc>
        <w:tc>
          <w:tcPr>
            <w:tcW w:w="20" w:type="dxa"/>
            <w:vAlign w:val="bottom"/>
          </w:tcPr>
          <w:p>
            <w:pPr>
              <w:spacing w:after="0"/>
              <w:rPr>
                <w:sz w:val="13"/>
                <w:szCs w:val="13"/>
                <w:color w:val="auto"/>
              </w:rPr>
            </w:pPr>
          </w:p>
        </w:tc>
      </w:tr>
      <w:tr>
        <w:trPr>
          <w:trHeight w:val="166"/>
        </w:trPr>
        <w:tc>
          <w:tcPr>
            <w:tcW w:w="5160" w:type="dxa"/>
            <w:vAlign w:val="bottom"/>
            <w:gridSpan w:val="3"/>
          </w:tcPr>
          <w:p>
            <w:pPr>
              <w:ind w:left="20"/>
              <w:spacing w:after="0" w:line="166" w:lineRule="exact"/>
              <w:rPr>
                <w:sz w:val="20"/>
                <w:szCs w:val="20"/>
                <w:color w:val="auto"/>
              </w:rPr>
            </w:pPr>
            <w:r>
              <w:rPr>
                <w:rFonts w:ascii="Arial" w:cs="Arial" w:eastAsia="Arial" w:hAnsi="Arial"/>
                <w:sz w:val="15"/>
                <w:szCs w:val="15"/>
                <w:color w:val="auto"/>
              </w:rPr>
              <w:t>Warrant liability</w:t>
            </w:r>
          </w:p>
        </w:tc>
        <w:tc>
          <w:tcPr>
            <w:tcW w:w="1460" w:type="dxa"/>
            <w:vAlign w:val="bottom"/>
            <w:gridSpan w:val="2"/>
          </w:tcPr>
          <w:p>
            <w:pPr>
              <w:jc w:val="right"/>
              <w:spacing w:after="0" w:line="166" w:lineRule="exact"/>
              <w:rPr>
                <w:sz w:val="20"/>
                <w:szCs w:val="20"/>
                <w:color w:val="auto"/>
              </w:rPr>
            </w:pPr>
            <w:r>
              <w:rPr>
                <w:rFonts w:ascii="Arial" w:cs="Arial" w:eastAsia="Arial" w:hAnsi="Arial"/>
                <w:sz w:val="15"/>
                <w:szCs w:val="15"/>
                <w:i w:val="1"/>
                <w:iCs w:val="1"/>
                <w:color w:val="auto"/>
              </w:rPr>
              <w:t>28</w:t>
            </w:r>
          </w:p>
        </w:tc>
        <w:tc>
          <w:tcPr>
            <w:tcW w:w="260" w:type="dxa"/>
            <w:vAlign w:val="bottom"/>
          </w:tcPr>
          <w:p>
            <w:pPr>
              <w:spacing w:after="0"/>
              <w:rPr>
                <w:sz w:val="14"/>
                <w:szCs w:val="14"/>
                <w:color w:val="auto"/>
              </w:rPr>
            </w:pPr>
          </w:p>
        </w:tc>
        <w:tc>
          <w:tcPr>
            <w:tcW w:w="9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4,847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7,784</w:t>
            </w:r>
          </w:p>
        </w:tc>
        <w:tc>
          <w:tcPr>
            <w:tcW w:w="20" w:type="dxa"/>
            <w:vAlign w:val="bottom"/>
          </w:tcPr>
          <w:p>
            <w:pPr>
              <w:spacing w:after="0"/>
              <w:rPr>
                <w:sz w:val="14"/>
                <w:szCs w:val="14"/>
                <w:color w:val="auto"/>
              </w:rPr>
            </w:pPr>
          </w:p>
        </w:tc>
      </w:tr>
      <w:tr>
        <w:trPr>
          <w:trHeight w:val="166"/>
        </w:trPr>
        <w:tc>
          <w:tcPr>
            <w:tcW w:w="5160" w:type="dxa"/>
            <w:vAlign w:val="bottom"/>
            <w:gridSpan w:val="3"/>
            <w:shd w:val="clear" w:color="auto" w:fill="CCEEFF"/>
          </w:tcPr>
          <w:p>
            <w:pPr>
              <w:ind w:left="20"/>
              <w:spacing w:after="0" w:line="166" w:lineRule="exact"/>
              <w:rPr>
                <w:sz w:val="20"/>
                <w:szCs w:val="20"/>
                <w:color w:val="auto"/>
              </w:rPr>
            </w:pPr>
            <w:r>
              <w:rPr>
                <w:rFonts w:ascii="Arial" w:cs="Arial" w:eastAsia="Arial" w:hAnsi="Arial"/>
                <w:sz w:val="15"/>
                <w:szCs w:val="15"/>
                <w:color w:val="auto"/>
              </w:rPr>
              <w:t>Phantom stock plan</w:t>
            </w:r>
          </w:p>
        </w:tc>
        <w:tc>
          <w:tcPr>
            <w:tcW w:w="14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i w:val="1"/>
                <w:iCs w:val="1"/>
                <w:color w:val="auto"/>
              </w:rPr>
              <w:t>19.2</w:t>
            </w: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667</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514</w:t>
            </w:r>
          </w:p>
        </w:tc>
        <w:tc>
          <w:tcPr>
            <w:tcW w:w="20" w:type="dxa"/>
            <w:vAlign w:val="bottom"/>
          </w:tcPr>
          <w:p>
            <w:pPr>
              <w:spacing w:after="0"/>
              <w:rPr>
                <w:sz w:val="14"/>
                <w:szCs w:val="14"/>
                <w:color w:val="auto"/>
              </w:rPr>
            </w:pPr>
          </w:p>
        </w:tc>
      </w:tr>
      <w:tr>
        <w:trPr>
          <w:trHeight w:val="166"/>
        </w:trPr>
        <w:tc>
          <w:tcPr>
            <w:tcW w:w="460" w:type="dxa"/>
            <w:vAlign w:val="bottom"/>
            <w:tcBorders>
              <w:bottom w:val="single" w:sz="8" w:color="CCEEFF"/>
            </w:tcBorders>
            <w:gridSpan w:val="2"/>
          </w:tcPr>
          <w:p>
            <w:pPr>
              <w:ind w:left="20"/>
              <w:spacing w:after="0" w:line="166" w:lineRule="exact"/>
              <w:rPr>
                <w:sz w:val="20"/>
                <w:szCs w:val="20"/>
                <w:color w:val="auto"/>
              </w:rPr>
            </w:pPr>
            <w:r>
              <w:rPr>
                <w:rFonts w:ascii="Arial" w:cs="Arial" w:eastAsia="Arial" w:hAnsi="Arial"/>
                <w:sz w:val="15"/>
                <w:szCs w:val="15"/>
                <w:color w:val="auto"/>
              </w:rPr>
              <w:t>Other</w:t>
            </w:r>
          </w:p>
        </w:tc>
        <w:tc>
          <w:tcPr>
            <w:tcW w:w="47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gridSpan w:val="2"/>
          </w:tcPr>
          <w:p>
            <w:pPr>
              <w:jc w:val="right"/>
              <w:spacing w:after="0" w:line="166" w:lineRule="exact"/>
              <w:rPr>
                <w:sz w:val="20"/>
                <w:szCs w:val="20"/>
                <w:color w:val="auto"/>
              </w:rPr>
            </w:pPr>
            <w:r>
              <w:rPr>
                <w:rFonts w:ascii="Arial" w:cs="Arial" w:eastAsia="Arial" w:hAnsi="Arial"/>
                <w:sz w:val="15"/>
                <w:szCs w:val="15"/>
                <w:i w:val="1"/>
                <w:iCs w:val="1"/>
                <w:color w:val="auto"/>
              </w:rPr>
              <w:t>14.2</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line="166" w:lineRule="exact"/>
              <w:rPr>
                <w:sz w:val="20"/>
                <w:szCs w:val="20"/>
                <w:color w:val="auto"/>
              </w:rPr>
            </w:pPr>
            <w:r>
              <w:rPr>
                <w:rFonts w:ascii="Arial" w:cs="Arial" w:eastAsia="Arial" w:hAnsi="Arial"/>
                <w:sz w:val="15"/>
                <w:szCs w:val="15"/>
                <w:color w:val="auto"/>
              </w:rPr>
              <w:t>802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1,890</w:t>
            </w:r>
          </w:p>
        </w:tc>
        <w:tc>
          <w:tcPr>
            <w:tcW w:w="20" w:type="dxa"/>
            <w:vAlign w:val="bottom"/>
          </w:tcPr>
          <w:p>
            <w:pPr>
              <w:spacing w:after="0"/>
              <w:rPr>
                <w:sz w:val="14"/>
                <w:szCs w:val="14"/>
                <w:color w:val="auto"/>
              </w:rPr>
            </w:pP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7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7,146</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11,138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51"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14.1.</w:t>
      </w:r>
      <w:r>
        <w:rPr>
          <w:sz w:val="20"/>
          <w:szCs w:val="20"/>
          <w:color w:val="auto"/>
        </w:rPr>
        <w:tab/>
      </w:r>
      <w:r>
        <w:rPr>
          <w:rFonts w:ascii="Arial" w:cs="Arial" w:eastAsia="Arial" w:hAnsi="Arial"/>
          <w:sz w:val="14"/>
          <w:szCs w:val="14"/>
          <w:b w:val="1"/>
          <w:bCs w:val="1"/>
          <w:color w:val="auto"/>
        </w:rPr>
        <w:t>Defined benefit scheme</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Two of the Group subsidiaries (“the Subsidiaries”) operate an unfunded defined benefit plan for qualifying employees. Under this plan, the employees are entitled to one half month’s salary for every year of service, with six months or more of service considered as one year. One half month’s salary has been defined to include the following:</w:t>
      </w:r>
    </w:p>
    <w:p>
      <w:pPr>
        <w:spacing w:after="0" w:line="146" w:lineRule="exact"/>
        <w:rPr>
          <w:sz w:val="20"/>
          <w:szCs w:val="20"/>
          <w:color w:val="auto"/>
        </w:rPr>
      </w:pPr>
    </w:p>
    <w:p>
      <w:pPr>
        <w:ind w:left="300" w:hanging="265"/>
        <w:spacing w:after="0"/>
        <w:tabs>
          <w:tab w:leader="none" w:pos="300" w:val="left"/>
        </w:tabs>
        <w:numPr>
          <w:ilvl w:val="0"/>
          <w:numId w:val="106"/>
        </w:numPr>
        <w:rPr>
          <w:rFonts w:ascii="Times New Roman" w:cs="Times New Roman" w:eastAsia="Times New Roman" w:hAnsi="Times New Roman"/>
          <w:sz w:val="15"/>
          <w:szCs w:val="15"/>
          <w:color w:val="auto"/>
        </w:rPr>
      </w:pPr>
      <w:r>
        <w:rPr>
          <w:rFonts w:ascii="Arial" w:cs="Arial" w:eastAsia="Arial" w:hAnsi="Arial"/>
          <w:sz w:val="15"/>
          <w:szCs w:val="15"/>
          <w:color w:val="auto"/>
        </w:rPr>
        <w:t>15 days salary based on the latest salary rate,</w:t>
      </w:r>
    </w:p>
    <w:p>
      <w:pPr>
        <w:spacing w:after="0" w:line="17"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106"/>
        </w:numPr>
        <w:rPr>
          <w:rFonts w:ascii="Times New Roman" w:cs="Times New Roman" w:eastAsia="Times New Roman" w:hAnsi="Times New Roman"/>
          <w:sz w:val="15"/>
          <w:szCs w:val="15"/>
          <w:color w:val="auto"/>
        </w:rPr>
      </w:pPr>
      <w:r>
        <w:rPr>
          <w:rFonts w:ascii="Arial" w:cs="Arial" w:eastAsia="Arial" w:hAnsi="Arial"/>
          <w:sz w:val="15"/>
          <w:szCs w:val="15"/>
          <w:color w:val="auto"/>
        </w:rPr>
        <w:t>cash equivalent to 5 days service incentive leave, and,</w:t>
      </w:r>
    </w:p>
    <w:p>
      <w:pPr>
        <w:spacing w:after="0" w:line="3" w:lineRule="exact"/>
        <w:rPr>
          <w:rFonts w:ascii="Times New Roman" w:cs="Times New Roman" w:eastAsia="Times New Roman" w:hAnsi="Times New Roman"/>
          <w:sz w:val="15"/>
          <w:szCs w:val="15"/>
          <w:color w:val="auto"/>
        </w:rPr>
      </w:pPr>
    </w:p>
    <w:p>
      <w:pPr>
        <w:ind w:left="300" w:hanging="265"/>
        <w:spacing w:after="0"/>
        <w:tabs>
          <w:tab w:leader="none" w:pos="300" w:val="left"/>
        </w:tabs>
        <w:numPr>
          <w:ilvl w:val="0"/>
          <w:numId w:val="106"/>
        </w:numPr>
        <w:rPr>
          <w:rFonts w:ascii="Times New Roman" w:cs="Times New Roman" w:eastAsia="Times New Roman" w:hAnsi="Times New Roman"/>
          <w:sz w:val="15"/>
          <w:szCs w:val="15"/>
          <w:color w:val="auto"/>
        </w:rPr>
      </w:pPr>
      <w:r>
        <w:rPr>
          <w:rFonts w:ascii="Arial" w:cs="Arial" w:eastAsia="Arial" w:hAnsi="Arial"/>
          <w:sz w:val="15"/>
          <w:szCs w:val="15"/>
          <w:color w:val="auto"/>
        </w:rPr>
        <w:t>one - twelfth of the 13th month’s pay.</w:t>
      </w:r>
    </w:p>
    <w:p>
      <w:pPr>
        <w:spacing w:after="0" w:line="167"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An employee is entitled to retirement benefits only upon attainment of a retirement age of 60 years and completion of at least five years of previously credited service. No other post-retirement benefits are provided to these employees. The most recent actuarial valuations of the present value of the defined benefit obligation were carried out on June 30, 2022. The present value of the defined benefit obligation, and the related current service cost and past service cost, were measured using the projected unit credit method.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7" w:name="page168"/>
    <w:bookmarkEnd w:id="16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principal assumptions used for the purposes of the actuarial valuations are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436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tcPr>
          <w:p>
            <w:pPr>
              <w:jc w:val="center"/>
              <w:ind w:left="1495"/>
              <w:spacing w:after="0" w:line="136" w:lineRule="exact"/>
              <w:rPr>
                <w:sz w:val="20"/>
                <w:szCs w:val="20"/>
                <w:color w:val="auto"/>
              </w:rPr>
            </w:pPr>
            <w:r>
              <w:rPr>
                <w:rFonts w:ascii="Arial" w:cs="Arial" w:eastAsia="Arial" w:hAnsi="Arial"/>
                <w:sz w:val="12"/>
                <w:szCs w:val="12"/>
                <w:b w:val="1"/>
                <w:bCs w:val="1"/>
                <w:color w:val="auto"/>
                <w:w w:val="99"/>
              </w:rPr>
              <w:t>June 30,</w:t>
            </w:r>
          </w:p>
        </w:tc>
        <w:tc>
          <w:tcPr>
            <w:tcW w:w="1180" w:type="dxa"/>
            <w:vAlign w:val="bottom"/>
            <w:tcBorders>
              <w:top w:val="single" w:sz="8" w:color="auto"/>
            </w:tcBorders>
          </w:tcPr>
          <w:p>
            <w:pPr>
              <w:jc w:val="right"/>
              <w:ind w:right="435"/>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436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jc w:val="center"/>
              <w:ind w:left="1555"/>
              <w:spacing w:after="0"/>
              <w:rPr>
                <w:sz w:val="20"/>
                <w:szCs w:val="20"/>
                <w:color w:val="auto"/>
              </w:rPr>
            </w:pPr>
            <w:r>
              <w:rPr>
                <w:rFonts w:ascii="Arial" w:cs="Arial" w:eastAsia="Arial" w:hAnsi="Arial"/>
                <w:sz w:val="12"/>
                <w:szCs w:val="12"/>
                <w:b w:val="1"/>
                <w:bCs w:val="1"/>
                <w:color w:val="auto"/>
                <w:w w:val="97"/>
              </w:rPr>
              <w:t>2022</w:t>
            </w: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2021</w:t>
            </w:r>
          </w:p>
        </w:tc>
      </w:tr>
      <w:tr>
        <w:trPr>
          <w:trHeight w:val="124"/>
        </w:trPr>
        <w:tc>
          <w:tcPr>
            <w:tcW w:w="436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jc w:val="center"/>
              <w:ind w:left="1475"/>
              <w:spacing w:after="0" w:line="124" w:lineRule="exact"/>
              <w:rPr>
                <w:sz w:val="20"/>
                <w:szCs w:val="20"/>
                <w:color w:val="auto"/>
              </w:rPr>
            </w:pPr>
            <w:r>
              <w:rPr>
                <w:rFonts w:ascii="Arial" w:cs="Arial" w:eastAsia="Arial" w:hAnsi="Arial"/>
                <w:sz w:val="12"/>
                <w:szCs w:val="12"/>
                <w:color w:val="auto"/>
                <w:w w:val="93"/>
              </w:rPr>
              <w:t>%</w:t>
            </w:r>
          </w:p>
        </w:tc>
        <w:tc>
          <w:tcPr>
            <w:tcW w:w="1180" w:type="dxa"/>
            <w:vAlign w:val="bottom"/>
            <w:tcBorders>
              <w:bottom w:val="single" w:sz="8" w:color="auto"/>
            </w:tcBorders>
          </w:tcPr>
          <w:p>
            <w:pPr>
              <w:jc w:val="right"/>
              <w:ind w:right="595"/>
              <w:spacing w:after="0" w:line="124" w:lineRule="exact"/>
              <w:rPr>
                <w:sz w:val="20"/>
                <w:szCs w:val="20"/>
                <w:color w:val="auto"/>
              </w:rPr>
            </w:pPr>
            <w:r>
              <w:rPr>
                <w:rFonts w:ascii="Arial" w:cs="Arial" w:eastAsia="Arial" w:hAnsi="Arial"/>
                <w:sz w:val="12"/>
                <w:szCs w:val="12"/>
                <w:color w:val="auto"/>
              </w:rPr>
              <w:t>%</w:t>
            </w:r>
          </w:p>
        </w:tc>
      </w:tr>
      <w:tr>
        <w:trPr>
          <w:trHeight w:val="157"/>
        </w:trPr>
        <w:tc>
          <w:tcPr>
            <w:tcW w:w="43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Discount rates</w:t>
            </w:r>
          </w:p>
        </w:tc>
        <w:tc>
          <w:tcPr>
            <w:tcW w:w="3400" w:type="dxa"/>
            <w:vAlign w:val="bottom"/>
            <w:shd w:val="clear" w:color="auto" w:fill="CCEEFF"/>
          </w:tcPr>
          <w:p>
            <w:pPr>
              <w:jc w:val="right"/>
              <w:ind w:right="155"/>
              <w:spacing w:after="0" w:line="157" w:lineRule="exact"/>
              <w:rPr>
                <w:sz w:val="20"/>
                <w:szCs w:val="20"/>
                <w:color w:val="auto"/>
              </w:rPr>
            </w:pPr>
            <w:r>
              <w:rPr>
                <w:rFonts w:ascii="Arial" w:cs="Arial" w:eastAsia="Arial" w:hAnsi="Arial"/>
                <w:sz w:val="15"/>
                <w:szCs w:val="15"/>
                <w:color w:val="auto"/>
              </w:rPr>
              <w:t>6.85 %</w:t>
            </w:r>
          </w:p>
        </w:tc>
        <w:tc>
          <w:tcPr>
            <w:tcW w:w="11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4.87 %</w:t>
            </w:r>
          </w:p>
        </w:tc>
      </w:tr>
      <w:tr>
        <w:trPr>
          <w:trHeight w:val="166"/>
        </w:trPr>
        <w:tc>
          <w:tcPr>
            <w:tcW w:w="4360" w:type="dxa"/>
            <w:vAlign w:val="bottom"/>
          </w:tcPr>
          <w:p>
            <w:pPr>
              <w:ind w:left="20"/>
              <w:spacing w:after="0" w:line="166" w:lineRule="exact"/>
              <w:rPr>
                <w:sz w:val="20"/>
                <w:szCs w:val="20"/>
                <w:color w:val="auto"/>
              </w:rPr>
            </w:pPr>
            <w:r>
              <w:rPr>
                <w:rFonts w:ascii="Arial" w:cs="Arial" w:eastAsia="Arial" w:hAnsi="Arial"/>
                <w:sz w:val="15"/>
                <w:szCs w:val="15"/>
                <w:color w:val="auto"/>
              </w:rPr>
              <w:t>Expected rate of salary increase</w:t>
            </w:r>
          </w:p>
        </w:tc>
        <w:tc>
          <w:tcPr>
            <w:tcW w:w="3400" w:type="dxa"/>
            <w:vAlign w:val="bottom"/>
          </w:tcPr>
          <w:p>
            <w:pPr>
              <w:jc w:val="right"/>
              <w:ind w:right="155"/>
              <w:spacing w:after="0" w:line="166" w:lineRule="exact"/>
              <w:rPr>
                <w:sz w:val="20"/>
                <w:szCs w:val="20"/>
                <w:color w:val="auto"/>
              </w:rPr>
            </w:pPr>
            <w:r>
              <w:rPr>
                <w:rFonts w:ascii="Arial" w:cs="Arial" w:eastAsia="Arial" w:hAnsi="Arial"/>
                <w:sz w:val="15"/>
                <w:szCs w:val="15"/>
                <w:color w:val="auto"/>
              </w:rPr>
              <w:t>3.00 %</w:t>
            </w:r>
          </w:p>
        </w:tc>
        <w:tc>
          <w:tcPr>
            <w:tcW w:w="1180" w:type="dxa"/>
            <w:vAlign w:val="bottom"/>
          </w:tcPr>
          <w:p>
            <w:pPr>
              <w:jc w:val="right"/>
              <w:spacing w:after="0" w:line="166" w:lineRule="exact"/>
              <w:rPr>
                <w:sz w:val="20"/>
                <w:szCs w:val="20"/>
                <w:color w:val="auto"/>
              </w:rPr>
            </w:pPr>
            <w:r>
              <w:rPr>
                <w:rFonts w:ascii="Arial" w:cs="Arial" w:eastAsia="Arial" w:hAnsi="Arial"/>
                <w:sz w:val="15"/>
                <w:szCs w:val="15"/>
                <w:color w:val="auto"/>
              </w:rPr>
              <w:t>3.00 %</w:t>
            </w:r>
          </w:p>
        </w:tc>
      </w:tr>
      <w:tr>
        <w:trPr>
          <w:trHeight w:val="166"/>
        </w:trPr>
        <w:tc>
          <w:tcPr>
            <w:tcW w:w="436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r>
    </w:tbl>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Amounts recognized in the consolidated statement of profit or loss and other comprehensive income in respect of defined benefit scheme are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54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440"/>
              <w:spacing w:after="0" w:line="136" w:lineRule="exact"/>
              <w:rPr>
                <w:sz w:val="20"/>
                <w:szCs w:val="20"/>
                <w:color w:val="auto"/>
              </w:rPr>
            </w:pPr>
            <w:r>
              <w:rPr>
                <w:rFonts w:ascii="Arial" w:cs="Arial" w:eastAsia="Arial" w:hAnsi="Arial"/>
                <w:sz w:val="12"/>
                <w:szCs w:val="12"/>
                <w:b w:val="1"/>
                <w:bCs w:val="1"/>
                <w:color w:val="auto"/>
              </w:rPr>
              <w:t>June 30,</w:t>
            </w:r>
          </w:p>
        </w:tc>
        <w:tc>
          <w:tcPr>
            <w:tcW w:w="1160" w:type="dxa"/>
            <w:vAlign w:val="bottom"/>
            <w:tcBorders>
              <w:top w:val="single" w:sz="8" w:color="auto"/>
            </w:tcBorders>
            <w:gridSpan w:val="2"/>
          </w:tcPr>
          <w:p>
            <w:pPr>
              <w:ind w:left="240"/>
              <w:spacing w:after="0" w:line="136" w:lineRule="exact"/>
              <w:rPr>
                <w:sz w:val="20"/>
                <w:szCs w:val="20"/>
                <w:color w:val="auto"/>
              </w:rPr>
            </w:pPr>
            <w:r>
              <w:rPr>
                <w:rFonts w:ascii="Arial" w:cs="Arial" w:eastAsia="Arial" w:hAnsi="Arial"/>
                <w:sz w:val="12"/>
                <w:szCs w:val="12"/>
                <w:b w:val="1"/>
                <w:bCs w:val="1"/>
                <w:color w:val="auto"/>
              </w:rPr>
              <w:t>June 30,</w:t>
            </w:r>
          </w:p>
        </w:tc>
        <w:tc>
          <w:tcPr>
            <w:tcW w:w="980" w:type="dxa"/>
            <w:vAlign w:val="bottom"/>
            <w:tcBorders>
              <w:top w:val="single" w:sz="8" w:color="auto"/>
            </w:tcBorders>
          </w:tcPr>
          <w:p>
            <w:pPr>
              <w:jc w:val="right"/>
              <w:ind w:right="192"/>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54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2"/>
                <w:szCs w:val="12"/>
                <w:b w:val="1"/>
                <w:bCs w:val="1"/>
                <w:color w:val="auto"/>
              </w:rPr>
              <w:t>2020</w:t>
            </w:r>
          </w:p>
        </w:tc>
      </w:tr>
      <w:tr>
        <w:trPr>
          <w:trHeight w:val="124"/>
        </w:trPr>
        <w:tc>
          <w:tcPr>
            <w:tcW w:w="54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ind w:left="240"/>
              <w:spacing w:after="0" w:line="124" w:lineRule="exact"/>
              <w:rPr>
                <w:sz w:val="20"/>
                <w:szCs w:val="20"/>
                <w:color w:val="auto"/>
              </w:rPr>
            </w:pPr>
            <w:r>
              <w:rPr>
                <w:rFonts w:ascii="Arial" w:cs="Arial" w:eastAsia="Arial" w:hAnsi="Arial"/>
                <w:sz w:val="12"/>
                <w:szCs w:val="12"/>
                <w:b w:val="1"/>
                <w:bCs w:val="1"/>
                <w:color w:val="auto"/>
              </w:rPr>
              <w:t>(US$’000)</w:t>
            </w:r>
          </w:p>
        </w:tc>
        <w:tc>
          <w:tcPr>
            <w:tcW w:w="980" w:type="dxa"/>
            <w:vAlign w:val="bottom"/>
            <w:tcBorders>
              <w:bottom w:val="single" w:sz="8" w:color="auto"/>
            </w:tcBorders>
          </w:tcPr>
          <w:p>
            <w:pPr>
              <w:spacing w:after="0"/>
              <w:rPr>
                <w:sz w:val="10"/>
                <w:szCs w:val="10"/>
                <w:color w:val="auto"/>
              </w:rPr>
            </w:pPr>
          </w:p>
        </w:tc>
      </w:tr>
      <w:tr>
        <w:trPr>
          <w:trHeight w:val="157"/>
        </w:trPr>
        <w:tc>
          <w:tcPr>
            <w:tcW w:w="544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Current service cost</w:t>
            </w:r>
          </w:p>
        </w:tc>
        <w:tc>
          <w:tcPr>
            <w:tcW w:w="11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238</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209</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100</w:t>
            </w:r>
          </w:p>
        </w:tc>
      </w:tr>
      <w:tr>
        <w:trPr>
          <w:trHeight w:val="166"/>
        </w:trPr>
        <w:tc>
          <w:tcPr>
            <w:tcW w:w="5440" w:type="dxa"/>
            <w:vAlign w:val="bottom"/>
            <w:tcBorders>
              <w:bottom w:val="single" w:sz="8" w:color="CCEEFF"/>
            </w:tcBorders>
          </w:tcPr>
          <w:p>
            <w:pPr>
              <w:ind w:left="20"/>
              <w:spacing w:after="0" w:line="166" w:lineRule="exact"/>
              <w:rPr>
                <w:sz w:val="20"/>
                <w:szCs w:val="20"/>
                <w:color w:val="auto"/>
              </w:rPr>
            </w:pPr>
            <w:r>
              <w:rPr>
                <w:rFonts w:ascii="Arial" w:cs="Arial" w:eastAsia="Arial" w:hAnsi="Arial"/>
                <w:sz w:val="15"/>
                <w:szCs w:val="15"/>
                <w:color w:val="auto"/>
              </w:rPr>
              <w:t>Interest on obligation</w:t>
            </w:r>
          </w:p>
        </w:tc>
        <w:tc>
          <w:tcPr>
            <w:tcW w:w="11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40</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19</w:t>
            </w: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21</w:t>
            </w:r>
          </w:p>
        </w:tc>
      </w:tr>
      <w:tr>
        <w:trPr>
          <w:trHeight w:val="157"/>
        </w:trPr>
        <w:tc>
          <w:tcPr>
            <w:tcW w:w="544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Total</w:t>
            </w:r>
          </w:p>
        </w:tc>
        <w:tc>
          <w:tcPr>
            <w:tcW w:w="11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278</w:t>
            </w:r>
          </w:p>
        </w:tc>
        <w:tc>
          <w:tcPr>
            <w:tcW w:w="2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228</w:t>
            </w:r>
          </w:p>
        </w:tc>
        <w:tc>
          <w:tcPr>
            <w:tcW w:w="2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121</w:t>
            </w:r>
          </w:p>
        </w:tc>
      </w:tr>
      <w:tr>
        <w:trPr>
          <w:trHeight w:val="20"/>
        </w:trPr>
        <w:tc>
          <w:tcPr>
            <w:tcW w:w="5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9"/>
        </w:trPr>
        <w:tc>
          <w:tcPr>
            <w:tcW w:w="54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amount included in the statement of financial position in other non-current liabilities arising from defined benefit obligations is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20" w:type="dxa"/>
            <w:vAlign w:val="bottom"/>
            <w:tcBorders>
              <w:top w:val="single" w:sz="8" w:color="auto"/>
            </w:tcBorders>
          </w:tcPr>
          <w:p>
            <w:pPr>
              <w:spacing w:after="0"/>
              <w:rPr>
                <w:sz w:val="11"/>
                <w:szCs w:val="11"/>
                <w:color w:val="auto"/>
              </w:rPr>
            </w:pPr>
          </w:p>
        </w:tc>
        <w:tc>
          <w:tcPr>
            <w:tcW w:w="6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left="461"/>
              <w:spacing w:after="0" w:line="136" w:lineRule="exact"/>
              <w:rPr>
                <w:sz w:val="20"/>
                <w:szCs w:val="20"/>
                <w:color w:val="auto"/>
              </w:rPr>
            </w:pPr>
            <w:r>
              <w:rPr>
                <w:rFonts w:ascii="Arial" w:cs="Arial" w:eastAsia="Arial" w:hAnsi="Arial"/>
                <w:sz w:val="12"/>
                <w:szCs w:val="12"/>
                <w:b w:val="1"/>
                <w:bCs w:val="1"/>
                <w:color w:val="auto"/>
                <w:w w:val="95"/>
              </w:rPr>
              <w:t>June 30,</w:t>
            </w: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91"/>
              <w:spacing w:after="0" w:line="13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1"/>
                <w:szCs w:val="11"/>
                <w:color w:val="auto"/>
              </w:rPr>
            </w:pPr>
          </w:p>
        </w:tc>
      </w:tr>
      <w:tr>
        <w:trPr>
          <w:trHeight w:val="141"/>
        </w:trPr>
        <w:tc>
          <w:tcPr>
            <w:tcW w:w="7260" w:type="dxa"/>
            <w:vAlign w:val="bottom"/>
            <w:tcBorders>
              <w:bottom w:val="single" w:sz="8" w:color="auto"/>
            </w:tcBorders>
            <w:gridSpan w:val="3"/>
          </w:tcPr>
          <w:p>
            <w:pPr>
              <w:jc w:val="center"/>
              <w:ind w:left="6771"/>
              <w:spacing w:after="0"/>
              <w:rPr>
                <w:sz w:val="20"/>
                <w:szCs w:val="20"/>
                <w:color w:val="auto"/>
              </w:rPr>
            </w:pPr>
            <w:r>
              <w:rPr>
                <w:rFonts w:ascii="Arial" w:cs="Arial" w:eastAsia="Arial" w:hAnsi="Arial"/>
                <w:sz w:val="12"/>
                <w:szCs w:val="12"/>
                <w:b w:val="1"/>
                <w:bCs w:val="1"/>
                <w:color w:val="auto"/>
                <w:w w:val="97"/>
              </w:rPr>
              <w:t>2022</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w w:val="97"/>
              </w:rPr>
              <w:t>2021</w:t>
            </w:r>
          </w:p>
        </w:tc>
        <w:tc>
          <w:tcPr>
            <w:tcW w:w="20" w:type="dxa"/>
            <w:vAlign w:val="bottom"/>
          </w:tcPr>
          <w:p>
            <w:pPr>
              <w:spacing w:after="0"/>
              <w:rPr>
                <w:sz w:val="12"/>
                <w:szCs w:val="12"/>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6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ind w:left="180"/>
              <w:spacing w:after="0" w:line="124" w:lineRule="exact"/>
              <w:rPr>
                <w:sz w:val="20"/>
                <w:szCs w:val="20"/>
                <w:color w:val="auto"/>
              </w:rPr>
            </w:pPr>
            <w:r>
              <w:rPr>
                <w:rFonts w:ascii="Arial" w:cs="Arial" w:eastAsia="Arial" w:hAnsi="Arial"/>
                <w:sz w:val="12"/>
                <w:szCs w:val="12"/>
                <w:b w:val="1"/>
                <w:bCs w:val="1"/>
                <w:color w:val="auto"/>
              </w:rPr>
              <w:t>(US$’000)</w:t>
            </w:r>
          </w:p>
        </w:tc>
        <w:tc>
          <w:tcPr>
            <w:tcW w:w="8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726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5"/>
                <w:szCs w:val="15"/>
                <w:color w:val="auto"/>
              </w:rPr>
              <w:t>Present value of unfunded defined benefit obligation</w:t>
            </w: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830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950</w:t>
            </w:r>
          </w:p>
        </w:tc>
        <w:tc>
          <w:tcPr>
            <w:tcW w:w="20" w:type="dxa"/>
            <w:vAlign w:val="bottom"/>
          </w:tcPr>
          <w:p>
            <w:pPr>
              <w:spacing w:after="0"/>
              <w:rPr>
                <w:sz w:val="13"/>
                <w:szCs w:val="13"/>
                <w:color w:val="auto"/>
              </w:rPr>
            </w:pPr>
          </w:p>
        </w:tc>
      </w:tr>
      <w:tr>
        <w:trPr>
          <w:trHeight w:val="166"/>
        </w:trPr>
        <w:tc>
          <w:tcPr>
            <w:tcW w:w="7260" w:type="dxa"/>
            <w:vAlign w:val="bottom"/>
            <w:gridSpan w:val="3"/>
          </w:tcPr>
          <w:p>
            <w:pPr>
              <w:ind w:left="20"/>
              <w:spacing w:after="0" w:line="166" w:lineRule="exact"/>
              <w:rPr>
                <w:sz w:val="20"/>
                <w:szCs w:val="20"/>
                <w:color w:val="auto"/>
              </w:rPr>
            </w:pPr>
            <w:r>
              <w:rPr>
                <w:rFonts w:ascii="Arial" w:cs="Arial" w:eastAsia="Arial" w:hAnsi="Arial"/>
                <w:sz w:val="15"/>
                <w:szCs w:val="15"/>
                <w:color w:val="auto"/>
              </w:rPr>
              <w:t>Net liability arising from defined benefit obligation</w:t>
            </w:r>
          </w:p>
        </w:tc>
        <w:tc>
          <w:tcPr>
            <w:tcW w:w="360" w:type="dxa"/>
            <w:vAlign w:val="bottom"/>
          </w:tcPr>
          <w:p>
            <w:pPr>
              <w:jc w:val="right"/>
              <w:spacing w:after="0" w:line="166" w:lineRule="exact"/>
              <w:rPr>
                <w:sz w:val="20"/>
                <w:szCs w:val="20"/>
                <w:color w:val="auto"/>
              </w:rPr>
            </w:pPr>
            <w:r>
              <w:rPr>
                <w:rFonts w:ascii="Arial" w:cs="Arial" w:eastAsia="Arial" w:hAnsi="Arial"/>
                <w:sz w:val="15"/>
                <w:szCs w:val="15"/>
                <w:color w:val="auto"/>
              </w:rPr>
              <w:t>830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950</w:t>
            </w:r>
          </w:p>
        </w:tc>
        <w:tc>
          <w:tcPr>
            <w:tcW w:w="20" w:type="dxa"/>
            <w:vAlign w:val="bottom"/>
          </w:tcPr>
          <w:p>
            <w:pPr>
              <w:spacing w:after="0"/>
              <w:rPr>
                <w:sz w:val="14"/>
                <w:szCs w:val="14"/>
                <w:color w:val="auto"/>
              </w:rPr>
            </w:pPr>
          </w:p>
        </w:tc>
      </w:tr>
      <w:tr>
        <w:trPr>
          <w:trHeight w:val="166"/>
        </w:trPr>
        <w:tc>
          <w:tcPr>
            <w:tcW w:w="20" w:type="dxa"/>
            <w:vAlign w:val="bottom"/>
            <w:tcBorders>
              <w:bottom w:val="single" w:sz="8" w:color="auto"/>
            </w:tcBorders>
            <w:shd w:val="clear" w:color="auto" w:fill="CCEEFF"/>
          </w:tcPr>
          <w:p>
            <w:pPr>
              <w:spacing w:after="0"/>
              <w:rPr>
                <w:sz w:val="14"/>
                <w:szCs w:val="14"/>
                <w:color w:val="auto"/>
              </w:rPr>
            </w:pPr>
          </w:p>
        </w:tc>
        <w:tc>
          <w:tcPr>
            <w:tcW w:w="6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336"/>
        </w:trPr>
        <w:tc>
          <w:tcPr>
            <w:tcW w:w="7260" w:type="dxa"/>
            <w:vAlign w:val="bottom"/>
            <w:gridSpan w:val="3"/>
          </w:tcPr>
          <w:p>
            <w:pPr>
              <w:ind w:left="20"/>
              <w:spacing w:after="0"/>
              <w:rPr>
                <w:sz w:val="20"/>
                <w:szCs w:val="20"/>
                <w:color w:val="auto"/>
              </w:rPr>
            </w:pPr>
            <w:r>
              <w:rPr>
                <w:rFonts w:ascii="Arial" w:cs="Arial" w:eastAsia="Arial" w:hAnsi="Arial"/>
                <w:sz w:val="15"/>
                <w:szCs w:val="15"/>
                <w:color w:val="auto"/>
              </w:rPr>
              <w:t>The movement in the present value of the defined benefit obligation in the current year is as follows: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16"/>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980" w:type="dxa"/>
            <w:vAlign w:val="bottom"/>
          </w:tcPr>
          <w:p>
            <w:pPr>
              <w:jc w:val="center"/>
              <w:ind w:left="461"/>
              <w:spacing w:after="0" w:line="116" w:lineRule="exact"/>
              <w:rPr>
                <w:sz w:val="20"/>
                <w:szCs w:val="20"/>
                <w:color w:val="auto"/>
              </w:rPr>
            </w:pPr>
            <w:r>
              <w:rPr>
                <w:rFonts w:ascii="Arial" w:cs="Arial" w:eastAsia="Arial" w:hAnsi="Arial"/>
                <w:sz w:val="12"/>
                <w:szCs w:val="12"/>
                <w:b w:val="1"/>
                <w:bCs w:val="1"/>
                <w:color w:val="auto"/>
                <w:w w:val="95"/>
              </w:rPr>
              <w:t>June 30,</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ind w:right="191"/>
              <w:spacing w:after="0" w:line="11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0"/>
                <w:szCs w:val="10"/>
                <w:color w:val="auto"/>
              </w:rPr>
            </w:pPr>
          </w:p>
        </w:tc>
      </w:tr>
      <w:tr>
        <w:trPr>
          <w:trHeight w:val="141"/>
        </w:trPr>
        <w:tc>
          <w:tcPr>
            <w:tcW w:w="7260" w:type="dxa"/>
            <w:vAlign w:val="bottom"/>
            <w:gridSpan w:val="3"/>
          </w:tcPr>
          <w:p>
            <w:pPr>
              <w:jc w:val="center"/>
              <w:ind w:left="6771"/>
              <w:spacing w:after="0"/>
              <w:rPr>
                <w:sz w:val="20"/>
                <w:szCs w:val="20"/>
                <w:color w:val="auto"/>
              </w:rPr>
            </w:pPr>
            <w:r>
              <w:rPr>
                <w:rFonts w:ascii="Arial" w:cs="Arial" w:eastAsia="Arial" w:hAnsi="Arial"/>
                <w:sz w:val="12"/>
                <w:szCs w:val="12"/>
                <w:b w:val="1"/>
                <w:bCs w:val="1"/>
                <w:color w:val="auto"/>
                <w:w w:val="97"/>
              </w:rPr>
              <w:t>2022</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51"/>
              <w:spacing w:after="0"/>
              <w:rPr>
                <w:sz w:val="20"/>
                <w:szCs w:val="20"/>
                <w:color w:val="auto"/>
              </w:rPr>
            </w:pPr>
            <w:r>
              <w:rPr>
                <w:rFonts w:ascii="Arial" w:cs="Arial" w:eastAsia="Arial" w:hAnsi="Arial"/>
                <w:sz w:val="12"/>
                <w:szCs w:val="12"/>
                <w:b w:val="1"/>
                <w:bCs w:val="1"/>
                <w:color w:val="auto"/>
                <w:w w:val="97"/>
              </w:rPr>
              <w:t>2021</w:t>
            </w:r>
          </w:p>
        </w:tc>
        <w:tc>
          <w:tcPr>
            <w:tcW w:w="20" w:type="dxa"/>
            <w:vAlign w:val="bottom"/>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626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3"/>
          </w:tcPr>
          <w:p>
            <w:pPr>
              <w:ind w:left="180"/>
              <w:spacing w:after="0" w:line="124" w:lineRule="exact"/>
              <w:rPr>
                <w:sz w:val="20"/>
                <w:szCs w:val="20"/>
                <w:color w:val="auto"/>
              </w:rPr>
            </w:pPr>
            <w:r>
              <w:rPr>
                <w:rFonts w:ascii="Arial" w:cs="Arial" w:eastAsia="Arial" w:hAnsi="Arial"/>
                <w:sz w:val="12"/>
                <w:szCs w:val="12"/>
                <w:b w:val="1"/>
                <w:bCs w:val="1"/>
                <w:color w:val="auto"/>
              </w:rPr>
              <w:t>(US$’000)</w:t>
            </w:r>
          </w:p>
        </w:tc>
        <w:tc>
          <w:tcPr>
            <w:tcW w:w="88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724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Present value of defined benefit obligation at the beginning of the year</w:t>
            </w: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950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677</w:t>
            </w:r>
          </w:p>
        </w:tc>
        <w:tc>
          <w:tcPr>
            <w:tcW w:w="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240" w:type="dxa"/>
            <w:vAlign w:val="bottom"/>
            <w:gridSpan w:val="2"/>
          </w:tcPr>
          <w:p>
            <w:pPr>
              <w:spacing w:after="0" w:line="166" w:lineRule="exact"/>
              <w:rPr>
                <w:sz w:val="20"/>
                <w:szCs w:val="20"/>
                <w:color w:val="auto"/>
              </w:rPr>
            </w:pPr>
            <w:r>
              <w:rPr>
                <w:rFonts w:ascii="Arial" w:cs="Arial" w:eastAsia="Arial" w:hAnsi="Arial"/>
                <w:sz w:val="15"/>
                <w:szCs w:val="15"/>
                <w:color w:val="auto"/>
              </w:rPr>
              <w:t>Foreign exchange movements</w:t>
            </w:r>
          </w:p>
        </w:tc>
        <w:tc>
          <w:tcPr>
            <w:tcW w:w="360" w:type="dxa"/>
            <w:vAlign w:val="bottom"/>
          </w:tcPr>
          <w:p>
            <w:pPr>
              <w:jc w:val="right"/>
              <w:spacing w:after="0" w:line="166" w:lineRule="exact"/>
              <w:rPr>
                <w:sz w:val="20"/>
                <w:szCs w:val="20"/>
                <w:color w:val="auto"/>
              </w:rPr>
            </w:pPr>
            <w:r>
              <w:rPr>
                <w:rFonts w:ascii="Arial" w:cs="Arial" w:eastAsia="Arial" w:hAnsi="Arial"/>
                <w:sz w:val="15"/>
                <w:szCs w:val="15"/>
                <w:color w:val="auto"/>
                <w:w w:val="96"/>
              </w:rPr>
              <w:t>(111)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19</w:t>
            </w:r>
          </w:p>
        </w:tc>
        <w:tc>
          <w:tcPr>
            <w:tcW w:w="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2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Current service cost</w:t>
            </w:r>
          </w:p>
        </w:tc>
        <w:tc>
          <w:tcPr>
            <w:tcW w:w="3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209</w:t>
            </w:r>
          </w:p>
        </w:tc>
        <w:tc>
          <w:tcPr>
            <w:tcW w:w="20" w:type="dxa"/>
            <w:vAlign w:val="bottom"/>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240" w:type="dxa"/>
            <w:vAlign w:val="bottom"/>
            <w:gridSpan w:val="2"/>
          </w:tcPr>
          <w:p>
            <w:pPr>
              <w:spacing w:after="0" w:line="166" w:lineRule="exact"/>
              <w:rPr>
                <w:sz w:val="20"/>
                <w:szCs w:val="20"/>
                <w:color w:val="auto"/>
              </w:rPr>
            </w:pPr>
            <w:r>
              <w:rPr>
                <w:rFonts w:ascii="Arial" w:cs="Arial" w:eastAsia="Arial" w:hAnsi="Arial"/>
                <w:sz w:val="15"/>
                <w:szCs w:val="15"/>
                <w:color w:val="auto"/>
              </w:rPr>
              <w:t>Interest cost</w:t>
            </w:r>
          </w:p>
        </w:tc>
        <w:tc>
          <w:tcPr>
            <w:tcW w:w="360" w:type="dxa"/>
            <w:vAlign w:val="bottom"/>
          </w:tcPr>
          <w:p>
            <w:pPr>
              <w:jc w:val="right"/>
              <w:spacing w:after="0" w:line="166" w:lineRule="exact"/>
              <w:rPr>
                <w:sz w:val="20"/>
                <w:szCs w:val="20"/>
                <w:color w:val="auto"/>
              </w:rPr>
            </w:pPr>
            <w:r>
              <w:rPr>
                <w:rFonts w:ascii="Arial" w:cs="Arial" w:eastAsia="Arial" w:hAnsi="Arial"/>
                <w:sz w:val="15"/>
                <w:szCs w:val="15"/>
                <w:color w:val="auto"/>
              </w:rPr>
              <w:t>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19</w:t>
            </w:r>
          </w:p>
        </w:tc>
        <w:tc>
          <w:tcPr>
            <w:tcW w:w="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2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Actuarial gains</w:t>
            </w:r>
          </w:p>
        </w:tc>
        <w:tc>
          <w:tcPr>
            <w:tcW w:w="3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96"/>
              </w:rPr>
              <w:t>(287)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26</w:t>
            </w:r>
          </w:p>
        </w:tc>
        <w:tc>
          <w:tcPr>
            <w:tcW w:w="20" w:type="dxa"/>
            <w:vAlign w:val="bottom"/>
            <w:shd w:val="clear" w:color="auto" w:fill="CCEEFF"/>
          </w:tcPr>
          <w:p>
            <w:pPr>
              <w:spacing w:after="0"/>
              <w:rPr>
                <w:sz w:val="14"/>
                <w:szCs w:val="14"/>
                <w:color w:val="auto"/>
              </w:rPr>
            </w:pPr>
          </w:p>
        </w:tc>
      </w:tr>
      <w:tr>
        <w:trPr>
          <w:trHeight w:val="197"/>
        </w:trPr>
        <w:tc>
          <w:tcPr>
            <w:tcW w:w="6280" w:type="dxa"/>
            <w:vAlign w:val="bottom"/>
            <w:gridSpan w:val="2"/>
          </w:tcPr>
          <w:p>
            <w:pPr>
              <w:ind w:left="20"/>
              <w:spacing w:after="0" w:line="157" w:lineRule="exact"/>
              <w:rPr>
                <w:sz w:val="20"/>
                <w:szCs w:val="20"/>
                <w:color w:val="auto"/>
              </w:rPr>
            </w:pPr>
            <w:r>
              <w:rPr>
                <w:rFonts w:ascii="Arial" w:cs="Arial" w:eastAsia="Arial" w:hAnsi="Arial"/>
                <w:sz w:val="15"/>
                <w:szCs w:val="15"/>
                <w:b w:val="1"/>
                <w:bCs w:val="1"/>
                <w:color w:val="auto"/>
              </w:rPr>
              <w:t>Present value of defined benefit obligation at the end of the year</w:t>
            </w:r>
          </w:p>
        </w:tc>
        <w:tc>
          <w:tcPr>
            <w:tcW w:w="9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830</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950</w:t>
            </w:r>
          </w:p>
        </w:tc>
        <w:tc>
          <w:tcPr>
            <w:tcW w:w="20" w:type="dxa"/>
            <w:vAlign w:val="bottom"/>
            <w:tcBorders>
              <w:top w:val="single" w:sz="8" w:color="auto"/>
              <w:bottom w:val="single" w:sz="8" w:color="auto"/>
            </w:tcBorders>
          </w:tcPr>
          <w:p>
            <w:pPr>
              <w:spacing w:after="0"/>
              <w:rPr>
                <w:sz w:val="17"/>
                <w:szCs w:val="17"/>
                <w:color w:val="auto"/>
              </w:rPr>
            </w:pPr>
          </w:p>
        </w:tc>
      </w:tr>
      <w:tr>
        <w:trPr>
          <w:trHeight w:val="139"/>
        </w:trPr>
        <w:tc>
          <w:tcPr>
            <w:tcW w:w="20" w:type="dxa"/>
            <w:vAlign w:val="bottom"/>
          </w:tcPr>
          <w:p>
            <w:pPr>
              <w:spacing w:after="0"/>
              <w:rPr>
                <w:sz w:val="12"/>
                <w:szCs w:val="12"/>
                <w:color w:val="auto"/>
              </w:rPr>
            </w:pPr>
          </w:p>
        </w:tc>
        <w:tc>
          <w:tcPr>
            <w:tcW w:w="6260" w:type="dxa"/>
            <w:vAlign w:val="bottom"/>
            <w:tcBorders>
              <w:top w:val="single" w:sz="8" w:color="CCEEFF"/>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subsidiaries are yet to contribute to the plan asset as of June 30, 2022.</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b w:val="1"/>
          <w:bCs w:val="1"/>
          <w:color w:val="auto"/>
        </w:rPr>
        <w:t xml:space="preserve">14.2. </w:t>
      </w:r>
      <w:r>
        <w:rPr>
          <w:rFonts w:ascii="Arial" w:cs="Arial" w:eastAsia="Arial" w:hAnsi="Arial"/>
          <w:sz w:val="15"/>
          <w:szCs w:val="15"/>
          <w:color w:val="auto"/>
        </w:rPr>
        <w:t>This includes deferred social security payment amounting to $nil as of June 30, 2022 (June 30, 2021: $1.1 million). For more</w:t>
      </w:r>
      <w:r>
        <w:rPr>
          <w:rFonts w:ascii="Arial" w:cs="Arial" w:eastAsia="Arial" w:hAnsi="Arial"/>
          <w:sz w:val="15"/>
          <w:szCs w:val="15"/>
          <w:b w:val="1"/>
          <w:bCs w:val="1"/>
          <w:color w:val="auto"/>
        </w:rPr>
        <w:t xml:space="preserve"> </w:t>
      </w:r>
      <w:r>
        <w:rPr>
          <w:rFonts w:ascii="Arial" w:cs="Arial" w:eastAsia="Arial" w:hAnsi="Arial"/>
          <w:sz w:val="15"/>
          <w:szCs w:val="15"/>
          <w:color w:val="auto"/>
        </w:rPr>
        <w:t>detail refer to Note 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8" w:name="page169"/>
    <w:bookmarkEnd w:id="16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560" w:hanging="525"/>
        <w:spacing w:after="0"/>
        <w:tabs>
          <w:tab w:leader="none" w:pos="560"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TRADE AND OTHER PAYABLES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374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9"/>
              </w:rPr>
              <w:t>June 30,</w:t>
            </w:r>
          </w:p>
        </w:tc>
        <w:tc>
          <w:tcPr>
            <w:tcW w:w="980" w:type="dxa"/>
            <w:vAlign w:val="bottom"/>
            <w:tcBorders>
              <w:top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June 30,</w:t>
            </w:r>
          </w:p>
        </w:tc>
      </w:tr>
      <w:tr>
        <w:trPr>
          <w:trHeight w:val="141"/>
        </w:trPr>
        <w:tc>
          <w:tcPr>
            <w:tcW w:w="374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ind w:left="2240"/>
              <w:spacing w:after="0"/>
              <w:rPr>
                <w:sz w:val="20"/>
                <w:szCs w:val="20"/>
                <w:color w:val="auto"/>
              </w:rPr>
            </w:pPr>
            <w:r>
              <w:rPr>
                <w:rFonts w:ascii="Arial" w:cs="Arial" w:eastAsia="Arial" w:hAnsi="Arial"/>
                <w:sz w:val="12"/>
                <w:szCs w:val="12"/>
                <w:b w:val="1"/>
                <w:bCs w:val="1"/>
                <w:i w:val="1"/>
                <w:iCs w:val="1"/>
                <w:color w:val="auto"/>
              </w:rPr>
              <w:t>Note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2021</w:t>
            </w:r>
          </w:p>
        </w:tc>
      </w:tr>
      <w:tr>
        <w:trPr>
          <w:trHeight w:val="124"/>
        </w:trPr>
        <w:tc>
          <w:tcPr>
            <w:tcW w:w="374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w w:val="95"/>
              </w:rPr>
              <w:t>(US$’000)</w:t>
            </w:r>
          </w:p>
        </w:tc>
        <w:tc>
          <w:tcPr>
            <w:tcW w:w="980" w:type="dxa"/>
            <w:vAlign w:val="bottom"/>
            <w:tcBorders>
              <w:bottom w:val="single" w:sz="8" w:color="auto"/>
            </w:tcBorders>
          </w:tcPr>
          <w:p>
            <w:pPr>
              <w:spacing w:after="0"/>
              <w:rPr>
                <w:sz w:val="10"/>
                <w:szCs w:val="10"/>
                <w:color w:val="auto"/>
              </w:rPr>
            </w:pPr>
          </w:p>
        </w:tc>
      </w:tr>
      <w:tr>
        <w:trPr>
          <w:trHeight w:val="157"/>
        </w:trPr>
        <w:tc>
          <w:tcPr>
            <w:tcW w:w="374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Trade creditors</w:t>
            </w:r>
          </w:p>
        </w:tc>
        <w:tc>
          <w:tcPr>
            <w:tcW w:w="30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7,754</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5,976</w:t>
            </w:r>
          </w:p>
        </w:tc>
      </w:tr>
      <w:tr>
        <w:trPr>
          <w:trHeight w:val="166"/>
        </w:trPr>
        <w:tc>
          <w:tcPr>
            <w:tcW w:w="3740" w:type="dxa"/>
            <w:vAlign w:val="bottom"/>
          </w:tcPr>
          <w:p>
            <w:pPr>
              <w:spacing w:after="0" w:line="166" w:lineRule="exact"/>
              <w:rPr>
                <w:sz w:val="20"/>
                <w:szCs w:val="20"/>
                <w:color w:val="auto"/>
              </w:rPr>
            </w:pPr>
            <w:r>
              <w:rPr>
                <w:rFonts w:ascii="Arial" w:cs="Arial" w:eastAsia="Arial" w:hAnsi="Arial"/>
                <w:sz w:val="15"/>
                <w:szCs w:val="15"/>
                <w:color w:val="auto"/>
              </w:rPr>
              <w:t>Accrued expenses</w:t>
            </w:r>
          </w:p>
        </w:tc>
        <w:tc>
          <w:tcPr>
            <w:tcW w:w="306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11,388</w:t>
            </w:r>
          </w:p>
        </w:tc>
        <w:tc>
          <w:tcPr>
            <w:tcW w:w="200" w:type="dxa"/>
            <w:vAlign w:val="bottom"/>
          </w:tcPr>
          <w:p>
            <w:pPr>
              <w:spacing w:after="0"/>
              <w:rPr>
                <w:sz w:val="14"/>
                <w:szCs w:val="14"/>
                <w:color w:val="auto"/>
              </w:rPr>
            </w:pP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11,784</w:t>
            </w:r>
          </w:p>
        </w:tc>
      </w:tr>
      <w:tr>
        <w:trPr>
          <w:trHeight w:val="166"/>
        </w:trPr>
        <w:tc>
          <w:tcPr>
            <w:tcW w:w="37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Accrued compensation</w:t>
            </w:r>
          </w:p>
        </w:tc>
        <w:tc>
          <w:tcPr>
            <w:tcW w:w="3060" w:type="dxa"/>
            <w:vAlign w:val="bottom"/>
            <w:shd w:val="clear" w:color="auto" w:fill="CCEEFF"/>
          </w:tcPr>
          <w:p>
            <w:pPr>
              <w:jc w:val="center"/>
              <w:ind w:left="1630"/>
              <w:spacing w:after="0" w:line="166" w:lineRule="exact"/>
              <w:rPr>
                <w:sz w:val="20"/>
                <w:szCs w:val="20"/>
                <w:color w:val="auto"/>
              </w:rPr>
            </w:pPr>
            <w:r>
              <w:rPr>
                <w:rFonts w:ascii="Arial" w:cs="Arial" w:eastAsia="Arial" w:hAnsi="Arial"/>
                <w:sz w:val="15"/>
                <w:szCs w:val="15"/>
                <w:i w:val="1"/>
                <w:iCs w:val="1"/>
                <w:color w:val="auto"/>
                <w:w w:val="95"/>
              </w:rPr>
              <w:t>15.1</w:t>
            </w: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32,057</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29,678</w:t>
            </w:r>
          </w:p>
        </w:tc>
      </w:tr>
      <w:tr>
        <w:trPr>
          <w:trHeight w:val="166"/>
        </w:trPr>
        <w:tc>
          <w:tcPr>
            <w:tcW w:w="3740" w:type="dxa"/>
            <w:vAlign w:val="bottom"/>
          </w:tcPr>
          <w:p>
            <w:pPr>
              <w:spacing w:after="0" w:line="166" w:lineRule="exact"/>
              <w:rPr>
                <w:sz w:val="20"/>
                <w:szCs w:val="20"/>
                <w:color w:val="auto"/>
              </w:rPr>
            </w:pPr>
            <w:r>
              <w:rPr>
                <w:rFonts w:ascii="Arial" w:cs="Arial" w:eastAsia="Arial" w:hAnsi="Arial"/>
                <w:sz w:val="15"/>
                <w:szCs w:val="15"/>
                <w:color w:val="auto"/>
              </w:rPr>
              <w:t>Cash flow hedge</w:t>
            </w:r>
          </w:p>
        </w:tc>
        <w:tc>
          <w:tcPr>
            <w:tcW w:w="3060" w:type="dxa"/>
            <w:vAlign w:val="bottom"/>
          </w:tcPr>
          <w:p>
            <w:pPr>
              <w:jc w:val="center"/>
              <w:ind w:left="1630"/>
              <w:spacing w:after="0" w:line="166" w:lineRule="exact"/>
              <w:rPr>
                <w:sz w:val="20"/>
                <w:szCs w:val="20"/>
                <w:color w:val="auto"/>
              </w:rPr>
            </w:pPr>
            <w:r>
              <w:rPr>
                <w:rFonts w:ascii="Arial" w:cs="Arial" w:eastAsia="Arial" w:hAnsi="Arial"/>
                <w:sz w:val="15"/>
                <w:szCs w:val="15"/>
                <w:i w:val="1"/>
                <w:iCs w:val="1"/>
                <w:color w:val="auto"/>
                <w:w w:val="95"/>
              </w:rPr>
              <w:t>15.2</w:t>
            </w:r>
          </w:p>
        </w:tc>
        <w:tc>
          <w:tcPr>
            <w:tcW w:w="960" w:type="dxa"/>
            <w:vAlign w:val="bottom"/>
          </w:tcPr>
          <w:p>
            <w:pPr>
              <w:jc w:val="right"/>
              <w:spacing w:after="0" w:line="166" w:lineRule="exact"/>
              <w:rPr>
                <w:sz w:val="20"/>
                <w:szCs w:val="20"/>
                <w:color w:val="auto"/>
              </w:rPr>
            </w:pPr>
            <w:r>
              <w:rPr>
                <w:rFonts w:ascii="Arial" w:cs="Arial" w:eastAsia="Arial" w:hAnsi="Arial"/>
                <w:sz w:val="15"/>
                <w:szCs w:val="15"/>
                <w:color w:val="auto"/>
              </w:rPr>
              <w:t>992</w:t>
            </w:r>
          </w:p>
        </w:tc>
        <w:tc>
          <w:tcPr>
            <w:tcW w:w="200" w:type="dxa"/>
            <w:vAlign w:val="bottom"/>
          </w:tcPr>
          <w:p>
            <w:pPr>
              <w:spacing w:after="0"/>
              <w:rPr>
                <w:sz w:val="14"/>
                <w:szCs w:val="14"/>
                <w:color w:val="auto"/>
              </w:rPr>
            </w:pP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316</w:t>
            </w:r>
          </w:p>
        </w:tc>
      </w:tr>
      <w:tr>
        <w:trPr>
          <w:trHeight w:val="166"/>
        </w:trPr>
        <w:tc>
          <w:tcPr>
            <w:tcW w:w="37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Warrant liability</w:t>
            </w:r>
          </w:p>
        </w:tc>
        <w:tc>
          <w:tcPr>
            <w:tcW w:w="3060" w:type="dxa"/>
            <w:vAlign w:val="bottom"/>
            <w:shd w:val="clear" w:color="auto" w:fill="CCEEFF"/>
          </w:tcPr>
          <w:p>
            <w:pPr>
              <w:jc w:val="center"/>
              <w:ind w:left="1630"/>
              <w:spacing w:after="0" w:line="166" w:lineRule="exact"/>
              <w:rPr>
                <w:sz w:val="20"/>
                <w:szCs w:val="20"/>
                <w:color w:val="auto"/>
              </w:rPr>
            </w:pPr>
            <w:r>
              <w:rPr>
                <w:rFonts w:ascii="Arial" w:cs="Arial" w:eastAsia="Arial" w:hAnsi="Arial"/>
                <w:sz w:val="15"/>
                <w:szCs w:val="15"/>
                <w:i w:val="1"/>
                <w:iCs w:val="1"/>
                <w:color w:val="auto"/>
                <w:w w:val="95"/>
              </w:rPr>
              <w:t>28</w:t>
            </w:r>
          </w:p>
        </w:tc>
        <w:tc>
          <w:tcPr>
            <w:tcW w:w="9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6,464</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5,837</w:t>
            </w:r>
          </w:p>
        </w:tc>
      </w:tr>
      <w:tr>
        <w:trPr>
          <w:trHeight w:val="166"/>
        </w:trPr>
        <w:tc>
          <w:tcPr>
            <w:tcW w:w="374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Others</w:t>
            </w:r>
          </w:p>
        </w:tc>
        <w:tc>
          <w:tcPr>
            <w:tcW w:w="30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1,158</w:t>
            </w: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1,272</w:t>
            </w:r>
          </w:p>
        </w:tc>
      </w:tr>
      <w:tr>
        <w:trPr>
          <w:trHeight w:val="157"/>
        </w:trPr>
        <w:tc>
          <w:tcPr>
            <w:tcW w:w="3740" w:type="dxa"/>
            <w:vAlign w:val="bottom"/>
            <w:tcBorders>
              <w:bottom w:val="single" w:sz="8" w:color="CCEEFF"/>
            </w:tcBorders>
            <w:shd w:val="clear" w:color="auto" w:fill="CCEEFF"/>
          </w:tcPr>
          <w:p>
            <w:pPr>
              <w:spacing w:after="0"/>
              <w:rPr>
                <w:sz w:val="13"/>
                <w:szCs w:val="13"/>
                <w:color w:val="auto"/>
              </w:rPr>
            </w:pPr>
          </w:p>
        </w:tc>
        <w:tc>
          <w:tcPr>
            <w:tcW w:w="30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59,813</w:t>
            </w:r>
          </w:p>
        </w:tc>
        <w:tc>
          <w:tcPr>
            <w:tcW w:w="2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54,863</w:t>
            </w:r>
          </w:p>
        </w:tc>
      </w:tr>
      <w:tr>
        <w:trPr>
          <w:trHeight w:val="20"/>
        </w:trPr>
        <w:tc>
          <w:tcPr>
            <w:tcW w:w="3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9"/>
        </w:trPr>
        <w:tc>
          <w:tcPr>
            <w:tcW w:w="374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bl>
    <w:p>
      <w:pPr>
        <w:spacing w:after="0" w:line="151"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15.1.</w:t>
      </w:r>
      <w:r>
        <w:rPr>
          <w:sz w:val="20"/>
          <w:szCs w:val="20"/>
          <w:color w:val="auto"/>
        </w:rPr>
        <w:tab/>
      </w:r>
      <w:r>
        <w:rPr>
          <w:rFonts w:ascii="Arial" w:cs="Arial" w:eastAsia="Arial" w:hAnsi="Arial"/>
          <w:sz w:val="14"/>
          <w:szCs w:val="14"/>
          <w:color w:val="auto"/>
        </w:rPr>
        <w:t>Accrued compensation includes payroll and related costs as of June 30, 2022.</w:t>
      </w:r>
    </w:p>
    <w:p>
      <w:pPr>
        <w:spacing w:after="0" w:line="170"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15.2.</w:t>
      </w:r>
      <w:r>
        <w:rPr>
          <w:sz w:val="20"/>
          <w:szCs w:val="20"/>
          <w:color w:val="auto"/>
        </w:rPr>
        <w:tab/>
      </w:r>
      <w:r>
        <w:rPr>
          <w:rFonts w:ascii="Arial" w:cs="Arial" w:eastAsia="Arial" w:hAnsi="Arial"/>
          <w:sz w:val="14"/>
          <w:szCs w:val="14"/>
          <w:color w:val="auto"/>
        </w:rPr>
        <w:t>This represents the fair value of the interest rate and foreign currency hedges. For more information, refer to note 22.1.1.</w:t>
      </w:r>
    </w:p>
    <w:p>
      <w:pPr>
        <w:spacing w:after="0" w:line="170" w:lineRule="exact"/>
        <w:rPr>
          <w:sz w:val="20"/>
          <w:szCs w:val="20"/>
          <w:color w:val="auto"/>
        </w:rPr>
      </w:pPr>
    </w:p>
    <w:p>
      <w:pPr>
        <w:ind w:left="560" w:hanging="525"/>
        <w:spacing w:after="0"/>
        <w:tabs>
          <w:tab w:leader="none" w:pos="560"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CONTINGENCIES AND COMMITMENTS</w:t>
      </w:r>
    </w:p>
    <w:p>
      <w:pPr>
        <w:spacing w:after="0" w:line="170" w:lineRule="exact"/>
        <w:rPr>
          <w:rFonts w:ascii="Arial" w:cs="Arial" w:eastAsia="Arial" w:hAnsi="Arial"/>
          <w:sz w:val="15"/>
          <w:szCs w:val="15"/>
          <w:b w:val="1"/>
          <w:bCs w:val="1"/>
          <w:color w:val="auto"/>
        </w:rPr>
      </w:pPr>
    </w:p>
    <w:p>
      <w:pPr>
        <w:ind w:left="560" w:hanging="525"/>
        <w:spacing w:after="0"/>
        <w:tabs>
          <w:tab w:leader="none" w:pos="56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Contingencies</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Group is subject to claims and lawsuits filed in the ordinary course of business. Although management does not believe that any such proceedings other than those noted below will have material adverse effect going forward, no assurances to that effect can be given based on the uncertainty of litigation and demands of third parties. The Group only records a liability for pending litigation and claims where losses are both probable and can be reasonably estimated.</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16.1.1. </w:t>
      </w:r>
      <w:r>
        <w:rPr>
          <w:rFonts w:ascii="Arial" w:cs="Arial" w:eastAsia="Arial" w:hAnsi="Arial"/>
          <w:sz w:val="15"/>
          <w:szCs w:val="15"/>
          <w:color w:val="auto"/>
        </w:rPr>
        <w:t>The significant claims or legal proceedings against subsidiaries of the Group are as follows:</w:t>
      </w:r>
    </w:p>
    <w:p>
      <w:pPr>
        <w:spacing w:after="0" w:line="170"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A case was filed in November 2014 in the US District Court of Tennessee as a collective action under the US Fair Labor Standards Act (FLSA) and Tennessee law, alleging that plaintiffs were forced to work without being paid for the “off the clock” time. In December 2014, a similar FLSA collection action case was filed against IBEX Global Solutions in the US District Court for the District of Columbia. In February 2015, the two cases were consolidated in Tennessee (the “Consolidated Action”) and plaintiffs agreed to submit all claims to binding arbitration before the American Arbitration Association. Presently, there are approximately 3,500 individuals who have opted into the FLSA class action claims, and there are pending wage and hour class action claims under various state laws (“Rule 23 Claims”) involving approximately 21,000 potential class action claimants. In April 2019, the parties engaged in a Mediation. On June 14, 2019, the parties entered into a Settlement Agreement, which was approved by the arbitrator on June 19, 2019. Pursuant to the Settlement Agreement, all claimants under both the FLSA and the Rule 23 Claims were required to fill out and send a claim form to the Third-Party Administrator within the claim period ending on October 15, 2019 in order to receive funds under the settlement. Subsequent to June 30, 2019, Ibex funded $3.4 million toward the settlement fund provided under the Settlement Agreement. This amount covered 100% of the possible claims under the FLSA, as well as plaintiffs’ attorney fees, administration costs and service awards. These amounts exclude any amounts for the Rule 23 Claims. Any funds not claimed pursuant to the FLSA portion of the settlement will revert to Ibex. Pursuant to the Settlement Agreement, there is $2.2 million allocated to the settlement of claims for the Rule 23 class members. The exact amount of recovery with respect to the Rule 23 Claims depends upon the claim forms properly and timely returned to the Third-Party Administrator. The claim period closed on October 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69" w:name="page170"/>
    <w:bookmarkEnd w:id="16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37" w:lineRule="auto"/>
        <w:rPr>
          <w:sz w:val="20"/>
          <w:szCs w:val="20"/>
          <w:color w:val="auto"/>
        </w:rPr>
      </w:pPr>
      <w:r>
        <w:rPr>
          <w:rFonts w:ascii="Arial" w:cs="Arial" w:eastAsia="Arial" w:hAnsi="Arial"/>
          <w:sz w:val="15"/>
          <w:szCs w:val="15"/>
          <w:color w:val="auto"/>
        </w:rPr>
        <w:t>2019 and as of that date, claim forms properly and timely returned for the Rule 23 Class Members accounted for $1.2 million of the $2.2 million allocated funds for the Rule 23 class. On November 7, 2019, the parties appeared before the Arbitrator and the Arbitrator approved the Final Order. On November 20, 2019, payment was made by the Company to the Qualified Settlement Fund in the amount of $1.2 million for payment in full of all Rule 23 Claims and any Company tax obligations for payments to such individuals, and the matter is effectively closed. On July 15, 2020 this matter was dismissed with prejudice pursuant to an Agreed Stipulation of Dismissal with Prejudice.</w:t>
      </w:r>
    </w:p>
    <w:p>
      <w:pPr>
        <w:spacing w:after="0" w:line="150"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A case filed in District of Columbia Superior Court against IBEX Global Solutions by a former employee of IBEX’s Philippines affiliate, IBEX Global Philippines, alleging that he was harassed, discriminated against and ultimately terminated due to his religion and personal appearance in violation of the D.C. Human Rights Act, and seeking unspecified damages on November 29, 2016. In the fourth quarter of fiscal year 2021, Plaintiff and Company agreed to a total settlement of $0.9 million, payment was made in full settlement of the case, and the case was dismissed with prejudice.</w:t>
      </w:r>
    </w:p>
    <w:p>
      <w:pPr>
        <w:spacing w:after="0" w:line="15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In March 2022, a class action lawsuit was filed against the Company in the United States District Court for the District of Columbia alleging plaintiffs’ personal information was exposed as a result of the ransomware incident. In July 2022, the parties agreed to a preliminary settlement, which is subject to Court approval and will be fully covered by available insurance.</w:t>
      </w:r>
    </w:p>
    <w:p>
      <w:pPr>
        <w:spacing w:after="0" w:line="146"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The Company is subject to other routine legal proceedings, claims, and litigation in the ordinary course of its business. Defending lawsuits requires significant management attention and financial resources and the outcome of any litigation, including the matters described above, is inherently uncertain. The Company does not, however, currently expect that the costs to resolve these routine matters will have a material adverse effect on its consolidated financial position, results of operations, or cash flows.</w:t>
      </w:r>
    </w:p>
    <w:p>
      <w:pPr>
        <w:spacing w:after="0" w:line="151"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16.2.</w:t>
      </w:r>
      <w:r>
        <w:rPr>
          <w:sz w:val="20"/>
          <w:szCs w:val="20"/>
          <w:color w:val="auto"/>
        </w:rPr>
        <w:tab/>
      </w:r>
      <w:r>
        <w:rPr>
          <w:rFonts w:ascii="Arial" w:cs="Arial" w:eastAsia="Arial" w:hAnsi="Arial"/>
          <w:sz w:val="14"/>
          <w:szCs w:val="14"/>
          <w:b w:val="1"/>
          <w:bCs w:val="1"/>
          <w:color w:val="auto"/>
        </w:rPr>
        <w:t>Commitments</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b w:val="1"/>
          <w:bCs w:val="1"/>
          <w:color w:val="auto"/>
        </w:rPr>
        <w:t xml:space="preserve">16.2.1. </w:t>
      </w:r>
      <w:r>
        <w:rPr>
          <w:rFonts w:ascii="Arial" w:cs="Arial" w:eastAsia="Arial" w:hAnsi="Arial"/>
          <w:sz w:val="15"/>
          <w:szCs w:val="15"/>
          <w:color w:val="auto"/>
        </w:rPr>
        <w:t>IBEX Global Solutions, Inc. has an annual telecommunication service commitment with two of its carriers. The carrier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was signed in September 2020 for a three-year term with a minimum annual commitment for $0.450 million and it is expected to be renewed in September 2023. A second carrier agreement signed in August of 2021 for a three-year term with a minimum commitment of $0.03 million per month.</w:t>
      </w:r>
    </w:p>
    <w:p>
      <w:pPr>
        <w:spacing w:after="0" w:line="151" w:lineRule="exact"/>
        <w:rPr>
          <w:sz w:val="20"/>
          <w:szCs w:val="20"/>
          <w:color w:val="auto"/>
        </w:rPr>
      </w:pPr>
    </w:p>
    <w:p>
      <w:pPr>
        <w:jc w:val="both"/>
        <w:ind w:left="40" w:right="59"/>
        <w:spacing w:after="0"/>
        <w:rPr>
          <w:sz w:val="20"/>
          <w:szCs w:val="20"/>
          <w:color w:val="auto"/>
        </w:rPr>
      </w:pPr>
      <w:r>
        <w:rPr>
          <w:rFonts w:ascii="Arial" w:cs="Arial" w:eastAsia="Arial" w:hAnsi="Arial"/>
          <w:sz w:val="15"/>
          <w:szCs w:val="15"/>
          <w:b w:val="1"/>
          <w:bCs w:val="1"/>
          <w:color w:val="auto"/>
        </w:rPr>
        <w:t xml:space="preserve">16.2.2. </w:t>
      </w:r>
      <w:r>
        <w:rPr>
          <w:rFonts w:ascii="Arial" w:cs="Arial" w:eastAsia="Arial" w:hAnsi="Arial"/>
          <w:sz w:val="15"/>
          <w:szCs w:val="15"/>
          <w:color w:val="auto"/>
        </w:rPr>
        <w:t>IBEX Global Solutions, Inc. is also subject to early termination provisions in certain telecommunications contracts, which if</w:t>
      </w:r>
      <w:r>
        <w:rPr>
          <w:rFonts w:ascii="Arial" w:cs="Arial" w:eastAsia="Arial" w:hAnsi="Arial"/>
          <w:sz w:val="15"/>
          <w:szCs w:val="15"/>
          <w:b w:val="1"/>
          <w:bCs w:val="1"/>
          <w:color w:val="auto"/>
        </w:rPr>
        <w:t xml:space="preserve"> </w:t>
      </w:r>
      <w:r>
        <w:rPr>
          <w:rFonts w:ascii="Arial" w:cs="Arial" w:eastAsia="Arial" w:hAnsi="Arial"/>
          <w:sz w:val="15"/>
          <w:szCs w:val="15"/>
          <w:color w:val="auto"/>
        </w:rPr>
        <w:t>enforced by the telecommunications providers, would subject IBEX Global Solutions to the obligation to pay early termination fees. To date, these early termination provisions have not been triggered by IBEX Global Solutions and in most cases would be equal to the unfulfilled terms of the contract.</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b w:val="1"/>
          <w:bCs w:val="1"/>
          <w:color w:val="auto"/>
        </w:rPr>
        <w:t xml:space="preserve">16.2.3. </w:t>
      </w:r>
      <w:r>
        <w:rPr>
          <w:rFonts w:ascii="Arial" w:cs="Arial" w:eastAsia="Arial" w:hAnsi="Arial"/>
          <w:sz w:val="15"/>
          <w:szCs w:val="15"/>
          <w:color w:val="auto"/>
        </w:rPr>
        <w:t>On November 27, 2017, PNC Bank, NA issued an irrevocable standby letter of credit for the amount of $0.4 million in favor of the</w:t>
      </w:r>
      <w:r>
        <w:rPr>
          <w:rFonts w:ascii="Arial" w:cs="Arial" w:eastAsia="Arial" w:hAnsi="Arial"/>
          <w:sz w:val="15"/>
          <w:szCs w:val="15"/>
          <w:b w:val="1"/>
          <w:bCs w:val="1"/>
          <w:color w:val="auto"/>
        </w:rPr>
        <w:t xml:space="preserve"> </w:t>
      </w:r>
      <w:r>
        <w:rPr>
          <w:rFonts w:ascii="Arial" w:cs="Arial" w:eastAsia="Arial" w:hAnsi="Arial"/>
          <w:sz w:val="15"/>
          <w:szCs w:val="15"/>
          <w:color w:val="auto"/>
        </w:rPr>
        <w:t>Group’s subsidiary TRG Customer Solutions, Inc. to the benefit of Digicel (Jamaica) Limited to guarantee the payment of base rent for the property rented by the Group’s subsidiary IBEX Global Jamaica Limited. With effect from March 1, 2018, the amount of the irrevocable standby letter of credit was increased to $0.5 million. The letter of credit was renewed on December 13, 2019 for one year which expired on December 13, 2020. The letter of credit was not further renewed.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70" w:name="page171"/>
    <w:bookmarkEnd w:id="17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560" w:hanging="525"/>
        <w:spacing w:after="0"/>
        <w:tabs>
          <w:tab w:leader="none" w:pos="560"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FINANCE EXPENSES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460" w:type="dxa"/>
            <w:vAlign w:val="bottom"/>
            <w:tcBorders>
              <w:top w:val="single" w:sz="8" w:color="auto"/>
            </w:tcBorders>
          </w:tcPr>
          <w:p>
            <w:pPr>
              <w:spacing w:after="0"/>
              <w:rPr>
                <w:sz w:val="11"/>
                <w:szCs w:val="11"/>
                <w:color w:val="auto"/>
              </w:rPr>
            </w:pPr>
          </w:p>
        </w:tc>
        <w:tc>
          <w:tcPr>
            <w:tcW w:w="60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5"/>
              </w:rPr>
              <w:t>June 30,</w:t>
            </w:r>
          </w:p>
        </w:tc>
        <w:tc>
          <w:tcPr>
            <w:tcW w:w="880" w:type="dxa"/>
            <w:vAlign w:val="bottom"/>
            <w:tcBorders>
              <w:top w:val="single" w:sz="8" w:color="auto"/>
            </w:tcBorders>
            <w:gridSpan w:val="2"/>
          </w:tcPr>
          <w:p>
            <w:pPr>
              <w:ind w:left="100"/>
              <w:spacing w:after="0" w:line="136" w:lineRule="exact"/>
              <w:rPr>
                <w:sz w:val="20"/>
                <w:szCs w:val="20"/>
                <w:color w:val="auto"/>
              </w:rPr>
            </w:pPr>
            <w:r>
              <w:rPr>
                <w:rFonts w:ascii="Arial" w:cs="Arial" w:eastAsia="Arial" w:hAnsi="Arial"/>
                <w:sz w:val="12"/>
                <w:szCs w:val="12"/>
                <w:b w:val="1"/>
                <w:bCs w:val="1"/>
                <w:color w:val="auto"/>
              </w:rPr>
              <w:t>June 30,</w:t>
            </w: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2022</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80"/>
              <w:spacing w:after="0" w:line="124" w:lineRule="exact"/>
              <w:rPr>
                <w:sz w:val="20"/>
                <w:szCs w:val="20"/>
                <w:color w:val="auto"/>
              </w:rPr>
            </w:pPr>
            <w:r>
              <w:rPr>
                <w:rFonts w:ascii="Arial" w:cs="Arial" w:eastAsia="Arial" w:hAnsi="Arial"/>
                <w:sz w:val="12"/>
                <w:szCs w:val="12"/>
                <w:b w:val="1"/>
                <w:bCs w:val="1"/>
                <w:color w:val="auto"/>
              </w:rPr>
              <w:t>(US$’000)</w:t>
            </w: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4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5"/>
                <w:szCs w:val="15"/>
                <w:color w:val="auto"/>
              </w:rPr>
              <w:t>Interest on borrowings</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1,121</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1,756</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2,453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Factoring Fees</w:t>
            </w: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60</w:t>
            </w:r>
          </w:p>
        </w:tc>
        <w:tc>
          <w:tcPr>
            <w:tcW w:w="20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73</w:t>
            </w:r>
          </w:p>
        </w:tc>
        <w:tc>
          <w:tcPr>
            <w:tcW w:w="18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186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Finance charges - right of use assets</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7,421</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7,078</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6,457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tcBorders>
              <w:bottom w:val="single" w:sz="8" w:color="CCEEFF"/>
            </w:tcBorders>
            <w:gridSpan w:val="2"/>
          </w:tcPr>
          <w:p>
            <w:pPr>
              <w:ind w:left="20"/>
              <w:spacing w:after="0" w:line="166" w:lineRule="exact"/>
              <w:rPr>
                <w:sz w:val="20"/>
                <w:szCs w:val="20"/>
                <w:color w:val="auto"/>
              </w:rPr>
            </w:pPr>
            <w:r>
              <w:rPr>
                <w:rFonts w:ascii="Arial" w:cs="Arial" w:eastAsia="Arial" w:hAnsi="Arial"/>
                <w:sz w:val="15"/>
                <w:szCs w:val="15"/>
                <w:color w:val="auto"/>
              </w:rPr>
              <w:t>Bank charges</w:t>
            </w:r>
          </w:p>
        </w:tc>
        <w:tc>
          <w:tcPr>
            <w:tcW w:w="7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195</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127</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Total</w:t>
            </w:r>
          </w:p>
        </w:tc>
        <w:tc>
          <w:tcPr>
            <w:tcW w:w="60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8,797</w:t>
            </w: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9,034</w:t>
            </w: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9,428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6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460" w:type="dxa"/>
            <w:vAlign w:val="bottom"/>
          </w:tcPr>
          <w:p>
            <w:pPr>
              <w:ind w:left="20"/>
              <w:spacing w:after="0"/>
              <w:rPr>
                <w:sz w:val="20"/>
                <w:szCs w:val="20"/>
                <w:color w:val="auto"/>
              </w:rPr>
            </w:pPr>
            <w:r>
              <w:rPr>
                <w:rFonts w:ascii="Arial" w:cs="Arial" w:eastAsia="Arial" w:hAnsi="Arial"/>
                <w:sz w:val="15"/>
                <w:szCs w:val="15"/>
                <w:b w:val="1"/>
                <w:bCs w:val="1"/>
                <w:color w:val="auto"/>
              </w:rPr>
              <w:t>18.</w:t>
            </w:r>
          </w:p>
        </w:tc>
        <w:tc>
          <w:tcPr>
            <w:tcW w:w="6000" w:type="dxa"/>
            <w:vAlign w:val="bottom"/>
          </w:tcPr>
          <w:p>
            <w:pPr>
              <w:ind w:left="80"/>
              <w:spacing w:after="0"/>
              <w:rPr>
                <w:sz w:val="20"/>
                <w:szCs w:val="20"/>
                <w:color w:val="auto"/>
              </w:rPr>
            </w:pPr>
            <w:r>
              <w:rPr>
                <w:rFonts w:ascii="Arial" w:cs="Arial" w:eastAsia="Arial" w:hAnsi="Arial"/>
                <w:sz w:val="15"/>
                <w:szCs w:val="15"/>
                <w:b w:val="1"/>
                <w:bCs w:val="1"/>
                <w:color w:val="auto"/>
              </w:rPr>
              <w:t>INCOME TAXES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6460" w:type="dxa"/>
            <w:vAlign w:val="bottom"/>
            <w:gridSpan w:val="2"/>
          </w:tcPr>
          <w:p>
            <w:pPr>
              <w:ind w:left="20"/>
              <w:spacing w:after="0"/>
              <w:rPr>
                <w:sz w:val="20"/>
                <w:szCs w:val="20"/>
                <w:color w:val="auto"/>
              </w:rPr>
            </w:pPr>
            <w:r>
              <w:rPr>
                <w:rFonts w:ascii="Arial" w:cs="Arial" w:eastAsia="Arial" w:hAnsi="Arial"/>
                <w:sz w:val="15"/>
                <w:szCs w:val="15"/>
                <w:color w:val="auto"/>
              </w:rPr>
              <w:t>The major components of income tax (benefit) / expense are: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880" w:type="dxa"/>
            <w:vAlign w:val="bottom"/>
            <w:gridSpan w:val="2"/>
          </w:tcPr>
          <w:p>
            <w:pPr>
              <w:spacing w:after="0"/>
              <w:rPr>
                <w:sz w:val="15"/>
                <w:szCs w:val="15"/>
                <w:color w:val="auto"/>
              </w:rPr>
            </w:pPr>
          </w:p>
        </w:tc>
        <w:tc>
          <w:tcPr>
            <w:tcW w:w="7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60" w:type="dxa"/>
            <w:vAlign w:val="bottom"/>
            <w:tcBorders>
              <w:top w:val="single" w:sz="8" w:color="auto"/>
            </w:tcBorders>
          </w:tcPr>
          <w:p>
            <w:pPr>
              <w:spacing w:after="0"/>
              <w:rPr>
                <w:sz w:val="10"/>
                <w:szCs w:val="10"/>
                <w:color w:val="auto"/>
              </w:rPr>
            </w:pPr>
          </w:p>
        </w:tc>
        <w:tc>
          <w:tcPr>
            <w:tcW w:w="60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5"/>
              </w:rPr>
              <w:t>June 30,</w:t>
            </w:r>
          </w:p>
        </w:tc>
        <w:tc>
          <w:tcPr>
            <w:tcW w:w="880" w:type="dxa"/>
            <w:vAlign w:val="bottom"/>
            <w:tcBorders>
              <w:top w:val="single" w:sz="8" w:color="auto"/>
            </w:tcBorders>
            <w:gridSpan w:val="2"/>
          </w:tcPr>
          <w:p>
            <w:pPr>
              <w:ind w:left="100"/>
              <w:spacing w:after="0" w:line="116" w:lineRule="exact"/>
              <w:rPr>
                <w:sz w:val="20"/>
                <w:szCs w:val="20"/>
                <w:color w:val="auto"/>
              </w:rPr>
            </w:pPr>
            <w:r>
              <w:rPr>
                <w:rFonts w:ascii="Arial" w:cs="Arial" w:eastAsia="Arial" w:hAnsi="Arial"/>
                <w:sz w:val="12"/>
                <w:szCs w:val="12"/>
                <w:b w:val="1"/>
                <w:bCs w:val="1"/>
                <w:color w:val="auto"/>
              </w:rPr>
              <w:t>June 30,</w:t>
            </w:r>
          </w:p>
        </w:tc>
        <w:tc>
          <w:tcPr>
            <w:tcW w:w="70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w w:val="99"/>
              </w:rPr>
              <w:t>June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6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2022</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80"/>
              <w:spacing w:after="0" w:line="124" w:lineRule="exact"/>
              <w:rPr>
                <w:sz w:val="20"/>
                <w:szCs w:val="20"/>
                <w:color w:val="auto"/>
              </w:rPr>
            </w:pPr>
            <w:r>
              <w:rPr>
                <w:rFonts w:ascii="Arial" w:cs="Arial" w:eastAsia="Arial" w:hAnsi="Arial"/>
                <w:sz w:val="12"/>
                <w:szCs w:val="12"/>
                <w:b w:val="1"/>
                <w:bCs w:val="1"/>
                <w:color w:val="auto"/>
              </w:rPr>
              <w:t>(US$’000)</w:t>
            </w: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4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Current tax:</w:t>
            </w: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Current year</w:t>
            </w: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3,324</w:t>
            </w:r>
          </w:p>
        </w:tc>
        <w:tc>
          <w:tcPr>
            <w:tcW w:w="20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3,876</w:t>
            </w:r>
          </w:p>
        </w:tc>
        <w:tc>
          <w:tcPr>
            <w:tcW w:w="18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1,850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Change in estimates related to prior year</w:t>
            </w:r>
          </w:p>
        </w:tc>
        <w:tc>
          <w:tcPr>
            <w:tcW w:w="900" w:type="dxa"/>
            <w:vAlign w:val="bottom"/>
            <w:gridSpan w:val="2"/>
            <w:shd w:val="clear" w:color="auto" w:fill="CCEEFF"/>
          </w:tcPr>
          <w:p>
            <w:pPr>
              <w:jc w:val="right"/>
              <w:ind w:right="180"/>
              <w:spacing w:after="0" w:line="166" w:lineRule="exact"/>
              <w:rPr>
                <w:sz w:val="20"/>
                <w:szCs w:val="20"/>
                <w:color w:val="auto"/>
              </w:rPr>
            </w:pPr>
            <w:r>
              <w:rPr>
                <w:rFonts w:ascii="Arial" w:cs="Arial" w:eastAsia="Arial" w:hAnsi="Arial"/>
                <w:sz w:val="15"/>
                <w:szCs w:val="15"/>
                <w:color w:val="auto"/>
              </w:rPr>
              <w:t>(102)</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80</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3,222</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3,956</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2,051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Deferred tax:</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Origination and reversal of temporary differences</w:t>
            </w:r>
          </w:p>
        </w:tc>
        <w:tc>
          <w:tcPr>
            <w:tcW w:w="90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(825)</w:t>
            </w:r>
          </w:p>
        </w:tc>
        <w:tc>
          <w:tcPr>
            <w:tcW w:w="88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(2,062)</w:t>
            </w: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1,923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Changes in tax rates</w:t>
            </w:r>
          </w:p>
        </w:tc>
        <w:tc>
          <w:tcPr>
            <w:tcW w:w="900" w:type="dxa"/>
            <w:vAlign w:val="bottom"/>
            <w:gridSpan w:val="2"/>
            <w:shd w:val="clear" w:color="auto" w:fill="CCEEFF"/>
          </w:tcPr>
          <w:p>
            <w:pPr>
              <w:jc w:val="right"/>
              <w:ind w:right="180"/>
              <w:spacing w:after="0" w:line="166" w:lineRule="exact"/>
              <w:rPr>
                <w:sz w:val="20"/>
                <w:szCs w:val="20"/>
                <w:color w:val="auto"/>
              </w:rPr>
            </w:pPr>
            <w:r>
              <w:rPr>
                <w:rFonts w:ascii="Arial" w:cs="Arial" w:eastAsia="Arial" w:hAnsi="Arial"/>
                <w:sz w:val="15"/>
                <w:szCs w:val="15"/>
                <w:color w:val="auto"/>
              </w:rPr>
              <w:t>(52)</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24</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Recognition of previously unrecognized tax losses</w:t>
            </w:r>
          </w:p>
        </w:tc>
        <w:tc>
          <w:tcPr>
            <w:tcW w:w="90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(4,332)</w:t>
            </w: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(1,907)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Recognition of previously unrecognized net deductible temporary differences</w:t>
            </w:r>
          </w:p>
        </w:tc>
        <w:tc>
          <w:tcPr>
            <w:tcW w:w="90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(5,209)</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(2,038)</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264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60" w:type="dxa"/>
            <w:vAlign w:val="bottom"/>
            <w:gridSpan w:val="2"/>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6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Income tax (benefit) / expense charged to profit or loss</w:t>
            </w: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(1,987)</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1,918</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color w:val="auto"/>
              </w:rPr>
              <w:t>2,315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60" w:type="dxa"/>
            <w:vAlign w:val="bottom"/>
            <w:gridSpan w:val="2"/>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880" w:type="dxa"/>
            <w:vAlign w:val="bottom"/>
            <w:gridSpan w:val="2"/>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Income tax recognized in other comprehensive income related to hedging</w:t>
            </w:r>
          </w:p>
        </w:tc>
        <w:tc>
          <w:tcPr>
            <w:tcW w:w="90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(218)</w:t>
            </w:r>
          </w:p>
        </w:tc>
        <w:tc>
          <w:tcPr>
            <w:tcW w:w="88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2"/>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60" w:type="dxa"/>
            <w:vAlign w:val="bottom"/>
            <w:tcBorders>
              <w:bottom w:val="single" w:sz="8" w:color="CCEEFF"/>
            </w:tcBorders>
            <w:gridSpan w:val="2"/>
          </w:tcPr>
          <w:p>
            <w:pPr>
              <w:ind w:left="20"/>
              <w:spacing w:after="0" w:line="157" w:lineRule="exact"/>
              <w:rPr>
                <w:sz w:val="20"/>
                <w:szCs w:val="20"/>
                <w:color w:val="auto"/>
              </w:rPr>
            </w:pPr>
            <w:r>
              <w:rPr>
                <w:rFonts w:ascii="Arial" w:cs="Arial" w:eastAsia="Arial" w:hAnsi="Arial"/>
                <w:sz w:val="15"/>
                <w:szCs w:val="15"/>
                <w:b w:val="1"/>
                <w:bCs w:val="1"/>
                <w:color w:val="auto"/>
              </w:rPr>
              <w:t>Total income tax (benefit) / expense</w:t>
            </w: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(2,205)</w:t>
            </w:r>
          </w:p>
        </w:tc>
        <w:tc>
          <w:tcPr>
            <w:tcW w:w="2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1,918</w:t>
            </w:r>
          </w:p>
        </w:tc>
        <w:tc>
          <w:tcPr>
            <w:tcW w:w="1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2,315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60" w:type="dxa"/>
            <w:vAlign w:val="bottom"/>
            <w:shd w:val="clear" w:color="auto" w:fill="CCEEFF"/>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60" w:type="dxa"/>
            <w:vAlign w:val="bottom"/>
            <w:tcBorders>
              <w:bottom w:val="single" w:sz="8" w:color="auto"/>
            </w:tcBorders>
          </w:tcPr>
          <w:p>
            <w:pPr>
              <w:spacing w:after="0"/>
              <w:rPr>
                <w:sz w:val="14"/>
                <w:szCs w:val="14"/>
                <w:color w:val="auto"/>
              </w:rPr>
            </w:pPr>
          </w:p>
        </w:tc>
        <w:tc>
          <w:tcPr>
            <w:tcW w:w="60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Group’s U.S. tax provision includes Ibex Global Solutions, Inc. and Ibex Receivable Solutions, Inc., which file separate income tax returns in the U.S. The Group’s tax provision also includes various foreign subsidiaries based in the UK, EU, Canada, Jamaica, Nicaragua, Pakistan, Senegal, Honduras, and the Philippines. These entities file income tax returns in their respective jurisdictions. No income tax provision has been calculated for Bermuda-based companies as there is no corporate income tax in Bermuda.</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On February 28, 2021, Digital Globe Services, Inc. and TelSatOnline, Inc. were converted into single -member U.S. LLCs and placed under Ibex Global Solutions, Inc. Similarly, iSky, Inc. was converted into a single-member U.S. LLC on July 31, 2021 and placed under Ibex Global Solutions, Inc. Ibex Global Solutions, Inc. includes the results of these entities on its U.S. tax return.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71" w:name="page172"/>
    <w:bookmarkEnd w:id="17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Deferred tax expense for the year ended June 30, 2020 includes a non-recurring benefit of $0.6 million related to change in revenue and related costs recognition under IFRS15 - Revenue from contracts with customers.</w:t>
      </w:r>
    </w:p>
    <w:p>
      <w:pPr>
        <w:spacing w:after="0" w:line="135"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as well as net operating losses and tax credit carry forwards. Deferred tax assets and liabilities are measured using the enacted tax rates that will apply to taxable income in the periods the deferred tax item is expected to be settled or realized. The tax effects of the Group’s temporary differences and carry forwards are as follows: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Tax effect of deductible / (taxable) temporary differences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20" w:type="dxa"/>
            <w:vAlign w:val="bottom"/>
            <w:tcBorders>
              <w:top w:val="single" w:sz="8" w:color="auto"/>
            </w:tcBorders>
          </w:tcPr>
          <w:p>
            <w:pPr>
              <w:spacing w:after="0"/>
              <w:rPr>
                <w:sz w:val="11"/>
                <w:szCs w:val="11"/>
                <w:color w:val="auto"/>
              </w:rPr>
            </w:pPr>
          </w:p>
        </w:tc>
        <w:tc>
          <w:tcPr>
            <w:tcW w:w="3980" w:type="dxa"/>
            <w:vAlign w:val="bottom"/>
            <w:tcBorders>
              <w:top w:val="single" w:sz="8" w:color="auto"/>
            </w:tcBorders>
          </w:tcPr>
          <w:p>
            <w:pPr>
              <w:spacing w:after="0"/>
              <w:rPr>
                <w:sz w:val="11"/>
                <w:szCs w:val="11"/>
                <w:color w:val="auto"/>
              </w:rPr>
            </w:pPr>
          </w:p>
        </w:tc>
        <w:tc>
          <w:tcPr>
            <w:tcW w:w="3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240"/>
              <w:spacing w:after="0" w:line="13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3980" w:type="dxa"/>
            <w:vAlign w:val="bottom"/>
            <w:tcBorders>
              <w:bottom w:val="single" w:sz="8" w:color="auto"/>
            </w:tcBorders>
          </w:tcPr>
          <w:p>
            <w:pPr>
              <w:spacing w:after="0"/>
              <w:rPr>
                <w:sz w:val="12"/>
                <w:szCs w:val="12"/>
                <w:color w:val="auto"/>
              </w:rPr>
            </w:pPr>
          </w:p>
        </w:tc>
        <w:tc>
          <w:tcPr>
            <w:tcW w:w="3960" w:type="dxa"/>
            <w:vAlign w:val="bottom"/>
            <w:tcBorders>
              <w:bottom w:val="single" w:sz="8" w:color="auto"/>
            </w:tcBorders>
            <w:gridSpan w:val="3"/>
          </w:tcPr>
          <w:p>
            <w:pPr>
              <w:jc w:val="center"/>
              <w:ind w:left="3108"/>
              <w:spacing w:after="0"/>
              <w:rPr>
                <w:sz w:val="20"/>
                <w:szCs w:val="20"/>
                <w:color w:val="auto"/>
              </w:rPr>
            </w:pPr>
            <w:r>
              <w:rPr>
                <w:rFonts w:ascii="Arial" w:cs="Arial" w:eastAsia="Arial" w:hAnsi="Arial"/>
                <w:sz w:val="12"/>
                <w:szCs w:val="12"/>
                <w:b w:val="1"/>
                <w:bCs w:val="1"/>
                <w:color w:val="auto"/>
                <w:w w:val="97"/>
              </w:rPr>
              <w:t>2022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5"/>
          </w:tcPr>
          <w:p>
            <w:pPr>
              <w:jc w:val="center"/>
              <w:spacing w:after="0" w:line="124" w:lineRule="exact"/>
              <w:rPr>
                <w:sz w:val="20"/>
                <w:szCs w:val="20"/>
                <w:color w:val="auto"/>
              </w:rPr>
            </w:pPr>
            <w:r>
              <w:rPr>
                <w:rFonts w:ascii="Arial" w:cs="Arial" w:eastAsia="Arial" w:hAnsi="Arial"/>
                <w:sz w:val="12"/>
                <w:szCs w:val="12"/>
                <w:b w:val="1"/>
                <w:bCs w:val="1"/>
                <w:color w:val="auto"/>
                <w:w w:val="98"/>
              </w:rPr>
              <w:t>(US$’000)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0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Deductible temporary differences:</w:t>
            </w:r>
          </w:p>
        </w:tc>
        <w:tc>
          <w:tcPr>
            <w:tcW w:w="3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0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 Provisions and write-offs against accounts receivable</w:t>
            </w:r>
          </w:p>
        </w:tc>
        <w:tc>
          <w:tcPr>
            <w:tcW w:w="396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74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 Unpaid accrued expenses / compensation</w:t>
            </w:r>
          </w:p>
        </w:tc>
        <w:tc>
          <w:tcPr>
            <w:tcW w:w="396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1,319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2,446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 Tax credits carry-forward</w:t>
            </w:r>
          </w:p>
        </w:tc>
        <w:tc>
          <w:tcPr>
            <w:tcW w:w="396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2,454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967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 Net operating losses</w:t>
            </w:r>
          </w:p>
        </w:tc>
        <w:tc>
          <w:tcPr>
            <w:tcW w:w="396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5,732</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834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 Property and equipment</w:t>
            </w:r>
          </w:p>
        </w:tc>
        <w:tc>
          <w:tcPr>
            <w:tcW w:w="396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264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 Lease liability (right of use assets)</w:t>
            </w:r>
          </w:p>
        </w:tc>
        <w:tc>
          <w:tcPr>
            <w:tcW w:w="396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7,406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5,692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 Net unrealized loss on hedging</w:t>
            </w:r>
          </w:p>
        </w:tc>
        <w:tc>
          <w:tcPr>
            <w:tcW w:w="396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218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3980" w:type="dxa"/>
            <w:vAlign w:val="bottom"/>
            <w:tcBorders>
              <w:top w:val="single" w:sz="8" w:color="CCEEFF"/>
              <w:bottom w:val="single" w:sz="8" w:color="CCEEFF"/>
            </w:tcBorders>
            <w:shd w:val="clear" w:color="auto" w:fill="CCEEFF"/>
          </w:tcPr>
          <w:p>
            <w:pPr>
              <w:spacing w:after="0"/>
              <w:rPr>
                <w:sz w:val="13"/>
                <w:szCs w:val="13"/>
                <w:color w:val="auto"/>
              </w:rPr>
            </w:pPr>
          </w:p>
        </w:tc>
        <w:tc>
          <w:tcPr>
            <w:tcW w:w="31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17,467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10,354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Taxable temporary differences:</w:t>
            </w:r>
          </w:p>
        </w:tc>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gridSpan w:val="2"/>
            <w:vMerge w:val="continue"/>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 Property and equipment</w:t>
            </w:r>
          </w:p>
        </w:tc>
        <w:tc>
          <w:tcPr>
            <w:tcW w:w="3980" w:type="dxa"/>
            <w:vAlign w:val="bottom"/>
            <w:gridSpan w:val="4"/>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(506)</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 Right of use assets</w:t>
            </w:r>
          </w:p>
        </w:tc>
        <w:tc>
          <w:tcPr>
            <w:tcW w:w="398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auto"/>
              </w:rPr>
              <w:t>(6,297)</w:t>
            </w:r>
          </w:p>
        </w:tc>
        <w:tc>
          <w:tcPr>
            <w:tcW w:w="180" w:type="dxa"/>
            <w:vAlign w:val="bottom"/>
          </w:tcPr>
          <w:p>
            <w:pPr>
              <w:spacing w:after="0"/>
              <w:rPr>
                <w:sz w:val="14"/>
                <w:szCs w:val="14"/>
                <w:color w:val="auto"/>
              </w:rPr>
            </w:pPr>
          </w:p>
        </w:tc>
        <w:tc>
          <w:tcPr>
            <w:tcW w:w="7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(5,097)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 Intangible assets</w:t>
            </w:r>
          </w:p>
        </w:tc>
        <w:tc>
          <w:tcPr>
            <w:tcW w:w="3980" w:type="dxa"/>
            <w:vAlign w:val="bottom"/>
            <w:gridSpan w:val="4"/>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(1,199)</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(958)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98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(8,002)</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(6,188)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00" w:type="dxa"/>
            <w:vAlign w:val="bottom"/>
            <w:tcBorders>
              <w:bottom w:val="single" w:sz="8" w:color="CCEEFF"/>
            </w:tcBorders>
            <w:gridSpan w:val="2"/>
            <w:shd w:val="clear" w:color="auto" w:fill="CCEEFF"/>
          </w:tcPr>
          <w:p>
            <w:pPr>
              <w:ind w:left="20"/>
              <w:spacing w:after="0" w:line="139" w:lineRule="exact"/>
              <w:rPr>
                <w:sz w:val="20"/>
                <w:szCs w:val="20"/>
                <w:color w:val="auto"/>
              </w:rPr>
            </w:pPr>
            <w:r>
              <w:rPr>
                <w:rFonts w:ascii="Arial" w:cs="Arial" w:eastAsia="Arial" w:hAnsi="Arial"/>
                <w:sz w:val="15"/>
                <w:szCs w:val="15"/>
                <w:b w:val="1"/>
                <w:bCs w:val="1"/>
                <w:color w:val="auto"/>
              </w:rPr>
              <w:t>Net deferred tax assets</w:t>
            </w:r>
          </w:p>
        </w:tc>
        <w:tc>
          <w:tcPr>
            <w:tcW w:w="3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5"/>
                <w:szCs w:val="15"/>
                <w:b w:val="1"/>
                <w:bCs w:val="1"/>
                <w:color w:val="auto"/>
              </w:rPr>
              <w:t>9,465</w:t>
            </w: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5"/>
                <w:szCs w:val="15"/>
                <w:b w:val="1"/>
                <w:bCs w:val="1"/>
                <w:color w:val="auto"/>
              </w:rPr>
              <w:t>4,166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center"/>
              <w:ind w:right="220"/>
              <w:spacing w:after="0" w:line="133" w:lineRule="exact"/>
              <w:rPr>
                <w:sz w:val="20"/>
                <w:szCs w:val="20"/>
                <w:color w:val="auto"/>
              </w:rPr>
            </w:pPr>
            <w:r>
              <w:rPr>
                <w:rFonts w:ascii="Arial" w:cs="Arial" w:eastAsia="Arial" w:hAnsi="Arial"/>
                <w:sz w:val="12"/>
                <w:szCs w:val="12"/>
                <w:b w:val="1"/>
                <w:bCs w:val="1"/>
                <w:color w:val="auto"/>
                <w:w w:val="99"/>
              </w:rPr>
              <w:t>June 30,</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b w:val="1"/>
                <w:bCs w:val="1"/>
                <w:color w:val="auto"/>
                <w:w w:val="99"/>
              </w:rPr>
              <w:t>June 30,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3960" w:type="dxa"/>
            <w:vAlign w:val="bottom"/>
            <w:tcBorders>
              <w:bottom w:val="single" w:sz="8" w:color="auto"/>
            </w:tcBorders>
            <w:gridSpan w:val="3"/>
          </w:tcPr>
          <w:p>
            <w:pPr>
              <w:jc w:val="center"/>
              <w:ind w:left="3108"/>
              <w:spacing w:after="0" w:line="133" w:lineRule="exact"/>
              <w:rPr>
                <w:sz w:val="20"/>
                <w:szCs w:val="20"/>
                <w:color w:val="auto"/>
              </w:rPr>
            </w:pPr>
            <w:r>
              <w:rPr>
                <w:rFonts w:ascii="Arial" w:cs="Arial" w:eastAsia="Arial" w:hAnsi="Arial"/>
                <w:sz w:val="12"/>
                <w:szCs w:val="12"/>
                <w:b w:val="1"/>
                <w:bCs w:val="1"/>
                <w:color w:val="auto"/>
                <w:w w:val="97"/>
              </w:rPr>
              <w:t>2022</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center"/>
              <w:spacing w:after="0" w:line="133" w:lineRule="exact"/>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shd w:val="clear" w:color="auto" w:fill="CCEEFF"/>
          </w:tcPr>
          <w:p>
            <w:pPr>
              <w:spacing w:after="0"/>
              <w:rPr>
                <w:sz w:val="10"/>
                <w:szCs w:val="10"/>
                <w:color w:val="auto"/>
              </w:rPr>
            </w:pPr>
          </w:p>
        </w:tc>
        <w:tc>
          <w:tcPr>
            <w:tcW w:w="3980" w:type="dxa"/>
            <w:vAlign w:val="bottom"/>
            <w:tcBorders>
              <w:bottom w:val="single" w:sz="8" w:color="auto"/>
            </w:tcBorders>
            <w:shd w:val="clear" w:color="auto" w:fill="CCEEFF"/>
          </w:tcPr>
          <w:p>
            <w:pPr>
              <w:spacing w:after="0"/>
              <w:rPr>
                <w:sz w:val="10"/>
                <w:szCs w:val="10"/>
                <w:color w:val="auto"/>
              </w:rPr>
            </w:pPr>
          </w:p>
        </w:tc>
        <w:tc>
          <w:tcPr>
            <w:tcW w:w="316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760" w:type="dxa"/>
            <w:vAlign w:val="bottom"/>
            <w:tcBorders>
              <w:bottom w:val="single" w:sz="8" w:color="auto"/>
            </w:tcBorders>
            <w:gridSpan w:val="5"/>
            <w:shd w:val="clear" w:color="auto" w:fill="CCEEFF"/>
          </w:tcPr>
          <w:p>
            <w:pPr>
              <w:jc w:val="center"/>
              <w:spacing w:after="0" w:line="124" w:lineRule="exact"/>
              <w:rPr>
                <w:sz w:val="20"/>
                <w:szCs w:val="20"/>
                <w:color w:val="auto"/>
              </w:rPr>
            </w:pPr>
            <w:r>
              <w:rPr>
                <w:rFonts w:ascii="Arial" w:cs="Arial" w:eastAsia="Arial" w:hAnsi="Arial"/>
                <w:sz w:val="12"/>
                <w:szCs w:val="12"/>
                <w:b w:val="1"/>
                <w:bCs w:val="1"/>
                <w:color w:val="auto"/>
                <w:w w:val="98"/>
              </w:rPr>
              <w:t>(US$’000)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00" w:type="dxa"/>
            <w:vAlign w:val="bottom"/>
            <w:gridSpan w:val="2"/>
          </w:tcPr>
          <w:p>
            <w:pPr>
              <w:ind w:left="20"/>
              <w:spacing w:after="0"/>
              <w:rPr>
                <w:sz w:val="20"/>
                <w:szCs w:val="20"/>
                <w:color w:val="auto"/>
              </w:rPr>
            </w:pPr>
            <w:r>
              <w:rPr>
                <w:rFonts w:ascii="Arial" w:cs="Arial" w:eastAsia="Arial" w:hAnsi="Arial"/>
                <w:sz w:val="15"/>
                <w:szCs w:val="15"/>
                <w:color w:val="auto"/>
              </w:rPr>
              <w:t>Deferred tax asset</w:t>
            </w:r>
          </w:p>
        </w:tc>
        <w:tc>
          <w:tcPr>
            <w:tcW w:w="3960" w:type="dxa"/>
            <w:vAlign w:val="bottom"/>
            <w:gridSpan w:val="3"/>
          </w:tcPr>
          <w:p>
            <w:pPr>
              <w:jc w:val="right"/>
              <w:spacing w:after="0"/>
              <w:rPr>
                <w:sz w:val="20"/>
                <w:szCs w:val="20"/>
                <w:color w:val="auto"/>
              </w:rPr>
            </w:pPr>
            <w:r>
              <w:rPr>
                <w:rFonts w:ascii="Arial" w:cs="Arial" w:eastAsia="Arial" w:hAnsi="Arial"/>
                <w:sz w:val="15"/>
                <w:szCs w:val="15"/>
                <w:color w:val="auto"/>
              </w:rPr>
              <w:t>9,465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4,252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liability</w:t>
            </w:r>
          </w:p>
        </w:tc>
        <w:tc>
          <w:tcPr>
            <w:tcW w:w="3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line="168" w:lineRule="exact"/>
              <w:rPr>
                <w:sz w:val="20"/>
                <w:szCs w:val="20"/>
                <w:color w:val="auto"/>
              </w:rPr>
            </w:pPr>
            <w:r>
              <w:rPr>
                <w:rFonts w:ascii="Arial" w:cs="Arial" w:eastAsia="Arial" w:hAnsi="Arial"/>
                <w:sz w:val="15"/>
                <w:szCs w:val="15"/>
                <w:b w:val="1"/>
                <w:bCs w:val="1"/>
                <w:color w:val="auto"/>
              </w:rPr>
              <w:t>9,465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168" w:lineRule="exact"/>
              <w:rPr>
                <w:sz w:val="20"/>
                <w:szCs w:val="20"/>
                <w:color w:val="auto"/>
              </w:rPr>
            </w:pPr>
            <w:r>
              <w:rPr>
                <w:rFonts w:ascii="Arial" w:cs="Arial" w:eastAsia="Arial" w:hAnsi="Arial"/>
                <w:sz w:val="15"/>
                <w:szCs w:val="15"/>
                <w:b w:val="1"/>
                <w:bCs w:val="1"/>
                <w:color w:val="auto"/>
              </w:rPr>
              <w:t>4,166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auto"/>
            </w:tcBorders>
            <w:shd w:val="clear" w:color="auto" w:fill="CCEEFF"/>
          </w:tcPr>
          <w:p>
            <w:pPr>
              <w:spacing w:after="0"/>
              <w:rPr>
                <w:sz w:val="14"/>
                <w:szCs w:val="14"/>
                <w:color w:val="auto"/>
              </w:rPr>
            </w:pPr>
          </w:p>
        </w:tc>
        <w:tc>
          <w:tcPr>
            <w:tcW w:w="3980" w:type="dxa"/>
            <w:vAlign w:val="bottom"/>
            <w:tcBorders>
              <w:bottom w:val="single" w:sz="8" w:color="auto"/>
            </w:tcBorders>
            <w:shd w:val="clear" w:color="auto" w:fill="CCEEFF"/>
          </w:tcPr>
          <w:p>
            <w:pPr>
              <w:spacing w:after="0"/>
              <w:rPr>
                <w:sz w:val="14"/>
                <w:szCs w:val="14"/>
                <w:color w:val="auto"/>
              </w:rPr>
            </w:pPr>
          </w:p>
        </w:tc>
        <w:tc>
          <w:tcPr>
            <w:tcW w:w="31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4000" w:type="dxa"/>
            <w:vAlign w:val="bottom"/>
            <w:gridSpan w:val="2"/>
          </w:tcPr>
          <w:p>
            <w:pPr>
              <w:ind w:left="20"/>
              <w:spacing w:after="0"/>
              <w:rPr>
                <w:sz w:val="20"/>
                <w:szCs w:val="20"/>
                <w:color w:val="auto"/>
              </w:rPr>
            </w:pPr>
            <w:r>
              <w:rPr>
                <w:rFonts w:ascii="Arial" w:cs="Arial" w:eastAsia="Arial" w:hAnsi="Arial"/>
                <w:sz w:val="15"/>
                <w:szCs w:val="15"/>
                <w:color w:val="auto"/>
              </w:rPr>
              <w:t>Movement in deferred tax assets:</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jc w:val="center"/>
              <w:ind w:right="240"/>
              <w:spacing w:after="0" w:line="11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0"/>
                <w:szCs w:val="10"/>
                <w:color w:val="auto"/>
              </w:rPr>
            </w:pPr>
          </w:p>
        </w:tc>
        <w:tc>
          <w:tcPr>
            <w:tcW w:w="780" w:type="dxa"/>
            <w:vAlign w:val="bottom"/>
            <w:gridSpan w:val="2"/>
          </w:tcPr>
          <w:p>
            <w:pPr>
              <w:jc w:val="center"/>
              <w:ind w:right="60"/>
              <w:spacing w:after="0" w:line="116" w:lineRule="exact"/>
              <w:rPr>
                <w:sz w:val="20"/>
                <w:szCs w:val="20"/>
                <w:color w:val="auto"/>
              </w:rPr>
            </w:pPr>
            <w:r>
              <w:rPr>
                <w:rFonts w:ascii="Arial" w:cs="Arial" w:eastAsia="Arial" w:hAnsi="Arial"/>
                <w:sz w:val="12"/>
                <w:szCs w:val="12"/>
                <w:b w:val="1"/>
                <w:bCs w:val="1"/>
                <w:color w:val="auto"/>
                <w:w w:val="99"/>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80" w:type="dxa"/>
            <w:vAlign w:val="bottom"/>
            <w:tcBorders>
              <w:bottom w:val="single" w:sz="8" w:color="auto"/>
            </w:tcBorders>
          </w:tcPr>
          <w:p>
            <w:pPr>
              <w:spacing w:after="0"/>
              <w:rPr>
                <w:sz w:val="12"/>
                <w:szCs w:val="12"/>
                <w:color w:val="auto"/>
              </w:rPr>
            </w:pPr>
          </w:p>
        </w:tc>
        <w:tc>
          <w:tcPr>
            <w:tcW w:w="3960" w:type="dxa"/>
            <w:vAlign w:val="bottom"/>
            <w:tcBorders>
              <w:bottom w:val="single" w:sz="8" w:color="auto"/>
            </w:tcBorders>
            <w:gridSpan w:val="3"/>
          </w:tcPr>
          <w:p>
            <w:pPr>
              <w:jc w:val="center"/>
              <w:ind w:left="3108"/>
              <w:spacing w:after="0"/>
              <w:rPr>
                <w:sz w:val="20"/>
                <w:szCs w:val="20"/>
                <w:color w:val="auto"/>
              </w:rPr>
            </w:pPr>
            <w:r>
              <w:rPr>
                <w:rFonts w:ascii="Arial" w:cs="Arial" w:eastAsia="Arial" w:hAnsi="Arial"/>
                <w:sz w:val="12"/>
                <w:szCs w:val="12"/>
                <w:b w:val="1"/>
                <w:bCs w:val="1"/>
                <w:color w:val="auto"/>
                <w:w w:val="97"/>
              </w:rPr>
              <w:t>2022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8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center"/>
              <w:ind w:right="20"/>
              <w:spacing w:after="0" w:line="157" w:lineRule="exact"/>
              <w:rPr>
                <w:sz w:val="20"/>
                <w:szCs w:val="20"/>
                <w:color w:val="auto"/>
              </w:rPr>
            </w:pPr>
            <w:r>
              <w:rPr>
                <w:rFonts w:ascii="Arial" w:cs="Arial" w:eastAsia="Arial" w:hAnsi="Arial"/>
                <w:sz w:val="15"/>
                <w:szCs w:val="15"/>
                <w:b w:val="1"/>
                <w:bCs w:val="1"/>
                <w:color w:val="auto"/>
                <w:w w:val="99"/>
              </w:rPr>
              <w:t>(US$’000)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Opening deferred tax assets</w:t>
            </w:r>
          </w:p>
        </w:tc>
        <w:tc>
          <w:tcPr>
            <w:tcW w:w="396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5"/>
                <w:szCs w:val="15"/>
                <w:color w:val="auto"/>
              </w:rPr>
              <w:t>4,166</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2,106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80" w:type="dxa"/>
            <w:vAlign w:val="bottom"/>
          </w:tcPr>
          <w:p>
            <w:pPr>
              <w:spacing w:after="0" w:line="166" w:lineRule="exact"/>
              <w:rPr>
                <w:sz w:val="20"/>
                <w:szCs w:val="20"/>
                <w:color w:val="auto"/>
              </w:rPr>
            </w:pPr>
            <w:r>
              <w:rPr>
                <w:rFonts w:ascii="Arial" w:cs="Arial" w:eastAsia="Arial" w:hAnsi="Arial"/>
                <w:sz w:val="15"/>
                <w:szCs w:val="15"/>
                <w:color w:val="auto"/>
              </w:rPr>
              <w:t>Deferred tax benefit for the year</w:t>
            </w:r>
          </w:p>
        </w:tc>
        <w:tc>
          <w:tcPr>
            <w:tcW w:w="396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5,209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2,038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Foreign exchange and other rate differences</w:t>
            </w:r>
          </w:p>
        </w:tc>
        <w:tc>
          <w:tcPr>
            <w:tcW w:w="3980" w:type="dxa"/>
            <w:vAlign w:val="bottom"/>
            <w:gridSpan w:val="4"/>
            <w:shd w:val="clear" w:color="auto" w:fill="CCEEFF"/>
          </w:tcPr>
          <w:p>
            <w:pPr>
              <w:jc w:val="right"/>
              <w:ind w:right="20"/>
              <w:spacing w:after="0" w:line="166" w:lineRule="exact"/>
              <w:rPr>
                <w:sz w:val="20"/>
                <w:szCs w:val="20"/>
                <w:color w:val="auto"/>
              </w:rPr>
            </w:pPr>
            <w:r>
              <w:rPr>
                <w:rFonts w:ascii="Arial" w:cs="Arial" w:eastAsia="Arial" w:hAnsi="Arial"/>
                <w:sz w:val="15"/>
                <w:szCs w:val="15"/>
                <w:color w:val="auto"/>
              </w:rPr>
              <w:t>(128)</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80" w:type="dxa"/>
            <w:vAlign w:val="bottom"/>
          </w:tcPr>
          <w:p>
            <w:pPr>
              <w:spacing w:after="0" w:line="166" w:lineRule="exact"/>
              <w:rPr>
                <w:sz w:val="20"/>
                <w:szCs w:val="20"/>
                <w:color w:val="auto"/>
              </w:rPr>
            </w:pPr>
            <w:r>
              <w:rPr>
                <w:rFonts w:ascii="Arial" w:cs="Arial" w:eastAsia="Arial" w:hAnsi="Arial"/>
                <w:sz w:val="15"/>
                <w:szCs w:val="15"/>
                <w:color w:val="auto"/>
              </w:rPr>
              <w:t>Deferred tax recognized in other comprehensive income</w:t>
            </w:r>
          </w:p>
        </w:tc>
        <w:tc>
          <w:tcPr>
            <w:tcW w:w="396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218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8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Net deferred tax assets</w:t>
            </w:r>
          </w:p>
        </w:tc>
        <w:tc>
          <w:tcPr>
            <w:tcW w:w="31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9,465</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4,166</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398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160" w:type="dxa"/>
            <w:vAlign w:val="bottom"/>
            <w:gridSpan w:val="5"/>
          </w:tcPr>
          <w:p>
            <w:pPr>
              <w:ind w:left="340"/>
              <w:spacing w:after="0"/>
              <w:rPr>
                <w:sz w:val="20"/>
                <w:szCs w:val="20"/>
                <w:color w:val="auto"/>
              </w:rPr>
            </w:pPr>
            <w:r>
              <w:rPr>
                <w:rFonts w:ascii="Arial" w:cs="Arial" w:eastAsia="Arial" w:hAnsi="Arial"/>
                <w:sz w:val="15"/>
                <w:szCs w:val="15"/>
                <w:color w:val="auto"/>
              </w:rPr>
              <w:t>F-48</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6" w:right="1440" w:bottom="1440" w:gutter="0" w:footer="0" w:header="0"/>
        </w:sectPr>
      </w:pPr>
    </w:p>
    <w:bookmarkStart w:id="172" w:name="page173"/>
    <w:bookmarkEnd w:id="17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 deferred tax asset has not been recognized for the following gross amounts: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7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60"/>
              <w:spacing w:after="0" w:line="136" w:lineRule="exact"/>
              <w:rPr>
                <w:sz w:val="20"/>
                <w:szCs w:val="20"/>
                <w:color w:val="auto"/>
              </w:rPr>
            </w:pPr>
            <w:r>
              <w:rPr>
                <w:rFonts w:ascii="Arial" w:cs="Arial" w:eastAsia="Arial" w:hAnsi="Arial"/>
                <w:sz w:val="12"/>
                <w:szCs w:val="12"/>
                <w:b w:val="1"/>
                <w:bCs w:val="1"/>
                <w:color w:val="auto"/>
              </w:rPr>
              <w:t>June 30,</w:t>
            </w:r>
          </w:p>
        </w:tc>
        <w:tc>
          <w:tcPr>
            <w:tcW w:w="780" w:type="dxa"/>
            <w:vAlign w:val="bottom"/>
            <w:tcBorders>
              <w:top w:val="single" w:sz="8" w:color="auto"/>
            </w:tcBorders>
          </w:tcPr>
          <w:p>
            <w:pPr>
              <w:jc w:val="right"/>
              <w:ind w:right="92"/>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7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rPr>
              <w:t>2021</w:t>
            </w:r>
          </w:p>
        </w:tc>
      </w:tr>
      <w:tr>
        <w:trPr>
          <w:trHeight w:val="124"/>
        </w:trPr>
        <w:tc>
          <w:tcPr>
            <w:tcW w:w="7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3"/>
          </w:tcPr>
          <w:p>
            <w:pPr>
              <w:jc w:val="right"/>
              <w:ind w:right="532"/>
              <w:spacing w:after="0" w:line="124" w:lineRule="exact"/>
              <w:rPr>
                <w:sz w:val="20"/>
                <w:szCs w:val="20"/>
                <w:color w:val="auto"/>
              </w:rPr>
            </w:pPr>
            <w:r>
              <w:rPr>
                <w:rFonts w:ascii="Arial" w:cs="Arial" w:eastAsia="Arial" w:hAnsi="Arial"/>
                <w:sz w:val="12"/>
                <w:szCs w:val="12"/>
                <w:b w:val="1"/>
                <w:bCs w:val="1"/>
                <w:color w:val="auto"/>
              </w:rPr>
              <w:t>(US$’000)</w:t>
            </w:r>
          </w:p>
        </w:tc>
      </w:tr>
      <w:tr>
        <w:trPr>
          <w:trHeight w:val="157"/>
        </w:trPr>
        <w:tc>
          <w:tcPr>
            <w:tcW w:w="71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Unused tax losses</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11,553</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26,575</w:t>
            </w:r>
          </w:p>
        </w:tc>
      </w:tr>
      <w:tr>
        <w:trPr>
          <w:trHeight w:val="166"/>
        </w:trPr>
        <w:tc>
          <w:tcPr>
            <w:tcW w:w="7160" w:type="dxa"/>
            <w:vAlign w:val="bottom"/>
          </w:tcPr>
          <w:p>
            <w:pPr>
              <w:ind w:left="20"/>
              <w:spacing w:after="0" w:line="166" w:lineRule="exact"/>
              <w:rPr>
                <w:sz w:val="20"/>
                <w:szCs w:val="20"/>
                <w:color w:val="auto"/>
              </w:rPr>
            </w:pPr>
            <w:r>
              <w:rPr>
                <w:rFonts w:ascii="Arial" w:cs="Arial" w:eastAsia="Arial" w:hAnsi="Arial"/>
                <w:sz w:val="15"/>
                <w:szCs w:val="15"/>
                <w:color w:val="auto"/>
              </w:rPr>
              <w:t>Deductible temporary differences</w:t>
            </w:r>
          </w:p>
        </w:tc>
        <w:tc>
          <w:tcPr>
            <w:tcW w:w="1000" w:type="dxa"/>
            <w:vAlign w:val="bottom"/>
            <w:gridSpan w:val="2"/>
          </w:tcPr>
          <w:p>
            <w:pPr>
              <w:jc w:val="right"/>
              <w:ind w:right="260"/>
              <w:spacing w:after="0" w:line="166"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81</w:t>
            </w:r>
          </w:p>
        </w:tc>
      </w:tr>
      <w:tr>
        <w:trPr>
          <w:trHeight w:val="157"/>
        </w:trPr>
        <w:tc>
          <w:tcPr>
            <w:tcW w:w="7160" w:type="dxa"/>
            <w:vAlign w:val="bottom"/>
            <w:tcBorders>
              <w:top w:val="single" w:sz="8" w:color="CCEEFF"/>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Unused tax losses and deductible differences - unrecognized</w:t>
            </w:r>
          </w:p>
        </w:tc>
        <w:tc>
          <w:tcPr>
            <w:tcW w:w="8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11,553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26,656</w:t>
            </w:r>
          </w:p>
        </w:tc>
      </w:tr>
      <w:tr>
        <w:trPr>
          <w:trHeight w:val="20"/>
        </w:trPr>
        <w:tc>
          <w:tcPr>
            <w:tcW w:w="7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9"/>
        </w:trPr>
        <w:tc>
          <w:tcPr>
            <w:tcW w:w="7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bl>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Deferred tax asset arising on the above amounts has not been recognized in these consolidated financial statements, as the management is of the prudent view that it is not probable that sufficient taxable profit will be available in the foreseeable future against which these temporary differences and unused tax losses can be utilized. Other factors considered include cumulative losses in recent years and non-existence of future reversals of existing taxable temporary differences. The unused tax losses will begin to expire in 2023.</w:t>
      </w:r>
    </w:p>
    <w:p>
      <w:pPr>
        <w:spacing w:after="0" w:line="151"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At June 30, 2022, the Group’s US federal and state net operating loss carry forward for income tax purposes are $18.9 million (June 30, 2021: $15.9. million) and $32.2 million (June 30, 2021: $36.7 million) respectively which will begin to expire in 2029. At June 30, 2022, the Group’s U.S. federal tax credits carry forward for income tax purposes are $2.5 million (June 30, 2021: $1.0 million), which will begin to expire in 2039. The Group’s Canadian subsidiary has net operating loss carry forward of $2.2 million (June 30, 2021: $2.3 million), which will begin to expire in 2028. The Group’s UK and European subsidiaries have net operating loss carry forward of $6.5 million (June 30, 2021: $4.3 million), which can be carried forward indefinitely. The Group’s Luxembourg subsidiary has net operating loss carry forwards of $1.1 million (June 30, 2021: $1.2 million) which will begin to expire in 2037. The Group’s subsidiary in Senegal has net operating loss carry forward of $1.8 million (June 30, 2021: $2.7 million), which will begin to expire in 2023. These amounts are based on the income tax returns filed for the year ended June 30, 2021 and estimated amounts for the year ended June 30, 2022.</w:t>
      </w:r>
    </w:p>
    <w:p>
      <w:pPr>
        <w:spacing w:after="0" w:line="15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Group is subject to income tax in several jurisdictions and significant judgment is required in determining the provision for income taxes. During the ordinary course of business, there are transactions and calculations for which the ultimate tax determination is uncertain. As a result, the Group recognizes tax liabilities based on estimates of whether additional taxes and interest will be due. There are no material uncertain tax treatments that would require adjustment to the income tax expense.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There are no income tax consequences attached to the payment of dividends by the Group to its shareholders.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Reconciliation of effective tax rate</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Below is a reconciliation of tax expense and the accounting profit. As the Group’s key income generating operations are based in the US, United States federal income tax rate of 21% is used for the purpose of this reconciliation:</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3160" w:type="dxa"/>
            <w:vAlign w:val="bottom"/>
            <w:tcBorders>
              <w:top w:val="single" w:sz="8" w:color="auto"/>
            </w:tcBorders>
          </w:tcPr>
          <w:p>
            <w:pPr>
              <w:spacing w:after="0"/>
              <w:rPr>
                <w:sz w:val="11"/>
                <w:szCs w:val="11"/>
                <w:color w:val="auto"/>
              </w:rPr>
            </w:pPr>
          </w:p>
        </w:tc>
        <w:tc>
          <w:tcPr>
            <w:tcW w:w="3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rPr>
              <w:t>June 30,</w:t>
            </w:r>
          </w:p>
        </w:tc>
        <w:tc>
          <w:tcPr>
            <w:tcW w:w="880" w:type="dxa"/>
            <w:vAlign w:val="bottom"/>
            <w:tcBorders>
              <w:top w:val="single" w:sz="8" w:color="auto"/>
            </w:tcBorders>
            <w:gridSpan w:val="2"/>
          </w:tcPr>
          <w:p>
            <w:pPr>
              <w:ind w:left="100"/>
              <w:spacing w:after="0" w:line="136" w:lineRule="exact"/>
              <w:rPr>
                <w:sz w:val="20"/>
                <w:szCs w:val="20"/>
                <w:color w:val="auto"/>
              </w:rPr>
            </w:pPr>
            <w:r>
              <w:rPr>
                <w:rFonts w:ascii="Arial" w:cs="Arial" w:eastAsia="Arial" w:hAnsi="Arial"/>
                <w:sz w:val="12"/>
                <w:szCs w:val="12"/>
                <w:b w:val="1"/>
                <w:bCs w:val="1"/>
                <w:color w:val="auto"/>
              </w:rPr>
              <w:t>June 30,</w:t>
            </w:r>
          </w:p>
        </w:tc>
        <w:tc>
          <w:tcPr>
            <w:tcW w:w="700" w:type="dxa"/>
            <w:vAlign w:val="bottom"/>
            <w:tcBorders>
              <w:top w:val="single" w:sz="8" w:color="auto"/>
            </w:tcBorders>
          </w:tcPr>
          <w:p>
            <w:pPr>
              <w:jc w:val="right"/>
              <w:ind w:right="52"/>
              <w:spacing w:after="0" w:line="136" w:lineRule="exact"/>
              <w:rPr>
                <w:sz w:val="20"/>
                <w:szCs w:val="20"/>
                <w:color w:val="auto"/>
              </w:rPr>
            </w:pPr>
            <w:r>
              <w:rPr>
                <w:rFonts w:ascii="Arial" w:cs="Arial" w:eastAsia="Arial" w:hAnsi="Arial"/>
                <w:sz w:val="12"/>
                <w:szCs w:val="12"/>
                <w:b w:val="1"/>
                <w:bCs w:val="1"/>
                <w:color w:val="auto"/>
              </w:rPr>
              <w:t>June 30,</w:t>
            </w:r>
          </w:p>
        </w:tc>
        <w:tc>
          <w:tcPr>
            <w:tcW w:w="20" w:type="dxa"/>
            <w:vAlign w:val="bottom"/>
          </w:tcPr>
          <w:p>
            <w:pPr>
              <w:spacing w:after="0"/>
              <w:rPr>
                <w:sz w:val="11"/>
                <w:szCs w:val="11"/>
                <w:color w:val="auto"/>
              </w:rPr>
            </w:pPr>
          </w:p>
        </w:tc>
      </w:tr>
      <w:tr>
        <w:trPr>
          <w:trHeight w:val="141"/>
        </w:trPr>
        <w:tc>
          <w:tcPr>
            <w:tcW w:w="316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2"/>
                <w:szCs w:val="12"/>
                <w:color w:val="auto"/>
              </w:rPr>
            </w:pPr>
          </w:p>
        </w:tc>
      </w:tr>
      <w:tr>
        <w:trPr>
          <w:trHeight w:val="124"/>
        </w:trPr>
        <w:tc>
          <w:tcPr>
            <w:tcW w:w="316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80"/>
              <w:spacing w:after="0" w:line="124" w:lineRule="exact"/>
              <w:rPr>
                <w:sz w:val="20"/>
                <w:szCs w:val="20"/>
                <w:color w:val="auto"/>
              </w:rPr>
            </w:pPr>
            <w:r>
              <w:rPr>
                <w:rFonts w:ascii="Arial" w:cs="Arial" w:eastAsia="Arial" w:hAnsi="Arial"/>
                <w:sz w:val="12"/>
                <w:szCs w:val="12"/>
                <w:b w:val="1"/>
                <w:bCs w:val="1"/>
                <w:color w:val="auto"/>
              </w:rPr>
              <w:t>(US$’000)</w:t>
            </w: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31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Profit for the year</w:t>
            </w:r>
          </w:p>
        </w:tc>
        <w:tc>
          <w:tcPr>
            <w:tcW w:w="40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22,990</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2,847</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7,770</w:t>
            </w:r>
          </w:p>
        </w:tc>
        <w:tc>
          <w:tcPr>
            <w:tcW w:w="20" w:type="dxa"/>
            <w:vAlign w:val="bottom"/>
          </w:tcPr>
          <w:p>
            <w:pPr>
              <w:spacing w:after="0"/>
              <w:rPr>
                <w:sz w:val="13"/>
                <w:szCs w:val="13"/>
                <w:color w:val="auto"/>
              </w:rPr>
            </w:pPr>
          </w:p>
        </w:tc>
      </w:tr>
      <w:tr>
        <w:trPr>
          <w:trHeight w:val="166"/>
        </w:trPr>
        <w:tc>
          <w:tcPr>
            <w:tcW w:w="3160" w:type="dxa"/>
            <w:vAlign w:val="bottom"/>
          </w:tcPr>
          <w:p>
            <w:pPr>
              <w:ind w:left="20"/>
              <w:spacing w:after="0" w:line="166" w:lineRule="exact"/>
              <w:rPr>
                <w:sz w:val="20"/>
                <w:szCs w:val="20"/>
                <w:color w:val="auto"/>
              </w:rPr>
            </w:pPr>
            <w:r>
              <w:rPr>
                <w:rFonts w:ascii="Arial" w:cs="Arial" w:eastAsia="Arial" w:hAnsi="Arial"/>
                <w:sz w:val="15"/>
                <w:szCs w:val="15"/>
                <w:color w:val="auto"/>
              </w:rPr>
              <w:t>Income tax (benefit) / expense</w:t>
            </w:r>
          </w:p>
        </w:tc>
        <w:tc>
          <w:tcPr>
            <w:tcW w:w="4200" w:type="dxa"/>
            <w:vAlign w:val="bottom"/>
            <w:gridSpan w:val="3"/>
          </w:tcPr>
          <w:p>
            <w:pPr>
              <w:jc w:val="right"/>
              <w:ind w:right="180"/>
              <w:spacing w:after="0" w:line="166" w:lineRule="exact"/>
              <w:rPr>
                <w:sz w:val="20"/>
                <w:szCs w:val="20"/>
                <w:color w:val="auto"/>
              </w:rPr>
            </w:pPr>
            <w:r>
              <w:rPr>
                <w:rFonts w:ascii="Arial" w:cs="Arial" w:eastAsia="Arial" w:hAnsi="Arial"/>
                <w:sz w:val="15"/>
                <w:szCs w:val="15"/>
                <w:color w:val="auto"/>
              </w:rPr>
              <w:t>(1,987)</w:t>
            </w: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1,918</w:t>
            </w:r>
          </w:p>
        </w:tc>
        <w:tc>
          <w:tcPr>
            <w:tcW w:w="18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2,315</w:t>
            </w:r>
          </w:p>
        </w:tc>
        <w:tc>
          <w:tcPr>
            <w:tcW w:w="20" w:type="dxa"/>
            <w:vAlign w:val="bottom"/>
          </w:tcPr>
          <w:p>
            <w:pPr>
              <w:spacing w:after="0"/>
              <w:rPr>
                <w:sz w:val="14"/>
                <w:szCs w:val="14"/>
                <w:color w:val="auto"/>
              </w:rPr>
            </w:pPr>
          </w:p>
        </w:tc>
      </w:tr>
      <w:tr>
        <w:trPr>
          <w:trHeight w:val="157"/>
        </w:trPr>
        <w:tc>
          <w:tcPr>
            <w:tcW w:w="3160" w:type="dxa"/>
            <w:vAlign w:val="bottom"/>
            <w:tcBorders>
              <w:top w:val="single" w:sz="8" w:color="CCEEFF"/>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Net profit before income tax</w:t>
            </w:r>
          </w:p>
        </w:tc>
        <w:tc>
          <w:tcPr>
            <w:tcW w:w="33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21,003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4,765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10,085</w:t>
            </w:r>
          </w:p>
        </w:tc>
        <w:tc>
          <w:tcPr>
            <w:tcW w:w="20" w:type="dxa"/>
            <w:vAlign w:val="bottom"/>
          </w:tcPr>
          <w:p>
            <w:pPr>
              <w:spacing w:after="0"/>
              <w:rPr>
                <w:sz w:val="13"/>
                <w:szCs w:val="13"/>
                <w:color w:val="auto"/>
              </w:rPr>
            </w:pPr>
          </w:p>
        </w:tc>
      </w:tr>
      <w:tr>
        <w:trPr>
          <w:trHeight w:val="20"/>
        </w:trPr>
        <w:tc>
          <w:tcPr>
            <w:tcW w:w="3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316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690"/>
        </w:trPr>
        <w:tc>
          <w:tcPr>
            <w:tcW w:w="3160" w:type="dxa"/>
            <w:vAlign w:val="bottom"/>
          </w:tcPr>
          <w:p>
            <w:pPr>
              <w:spacing w:after="0"/>
              <w:rPr>
                <w:sz w:val="24"/>
                <w:szCs w:val="24"/>
                <w:color w:val="auto"/>
              </w:rPr>
            </w:pPr>
          </w:p>
        </w:tc>
        <w:tc>
          <w:tcPr>
            <w:tcW w:w="4200" w:type="dxa"/>
            <w:vAlign w:val="bottom"/>
            <w:gridSpan w:val="3"/>
          </w:tcPr>
          <w:p>
            <w:pPr>
              <w:jc w:val="right"/>
              <w:ind w:right="2720"/>
              <w:spacing w:after="0"/>
              <w:rPr>
                <w:sz w:val="20"/>
                <w:szCs w:val="20"/>
                <w:color w:val="auto"/>
              </w:rPr>
            </w:pPr>
            <w:r>
              <w:rPr>
                <w:rFonts w:ascii="Arial" w:cs="Arial" w:eastAsia="Arial" w:hAnsi="Arial"/>
                <w:sz w:val="15"/>
                <w:szCs w:val="15"/>
                <w:color w:val="auto"/>
              </w:rPr>
              <w:t>F-49</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6" w:right="1440" w:bottom="1440" w:gutter="0" w:footer="0" w:header="0"/>
        </w:sectPr>
      </w:pPr>
    </w:p>
    <w:bookmarkStart w:id="173" w:name="page174"/>
    <w:bookmarkEnd w:id="17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35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241"/>
              <w:spacing w:after="0" w:line="136" w:lineRule="exact"/>
              <w:rPr>
                <w:sz w:val="20"/>
                <w:szCs w:val="20"/>
                <w:color w:val="auto"/>
              </w:rPr>
            </w:pPr>
            <w:r>
              <w:rPr>
                <w:rFonts w:ascii="Arial" w:cs="Arial" w:eastAsia="Arial" w:hAnsi="Arial"/>
                <w:sz w:val="12"/>
                <w:szCs w:val="12"/>
                <w:b w:val="1"/>
                <w:bCs w:val="1"/>
                <w:color w:val="auto"/>
              </w:rPr>
              <w:t>June 30,</w:t>
            </w:r>
          </w:p>
        </w:tc>
        <w:tc>
          <w:tcPr>
            <w:tcW w:w="780" w:type="dxa"/>
            <w:vAlign w:val="bottom"/>
            <w:tcBorders>
              <w:top w:val="single" w:sz="8" w:color="auto"/>
            </w:tcBorders>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5"/>
              </w:rPr>
              <w:t>June 30,</w:t>
            </w:r>
          </w:p>
        </w:tc>
        <w:tc>
          <w:tcPr>
            <w:tcW w:w="880" w:type="dxa"/>
            <w:vAlign w:val="bottom"/>
            <w:tcBorders>
              <w:top w:val="single" w:sz="8" w:color="auto"/>
            </w:tcBorders>
          </w:tcPr>
          <w:p>
            <w:pPr>
              <w:jc w:val="right"/>
              <w:ind w:right="241"/>
              <w:spacing w:after="0" w:line="136" w:lineRule="exact"/>
              <w:rPr>
                <w:sz w:val="20"/>
                <w:szCs w:val="20"/>
                <w:color w:val="auto"/>
              </w:rPr>
            </w:pPr>
            <w:r>
              <w:rPr>
                <w:rFonts w:ascii="Arial" w:cs="Arial" w:eastAsia="Arial" w:hAnsi="Arial"/>
                <w:sz w:val="12"/>
                <w:szCs w:val="12"/>
                <w:b w:val="1"/>
                <w:bCs w:val="1"/>
                <w:color w:val="auto"/>
              </w:rPr>
              <w:t>June 30,</w:t>
            </w:r>
          </w:p>
        </w:tc>
        <w:tc>
          <w:tcPr>
            <w:tcW w:w="780" w:type="dxa"/>
            <w:vAlign w:val="bottom"/>
            <w:tcBorders>
              <w:top w:val="single" w:sz="8" w:color="auto"/>
            </w:tcBorders>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5"/>
              </w:rPr>
              <w:t>June 30,</w:t>
            </w:r>
          </w:p>
        </w:tc>
        <w:tc>
          <w:tcPr>
            <w:tcW w:w="900" w:type="dxa"/>
            <w:vAlign w:val="bottom"/>
            <w:tcBorders>
              <w:top w:val="single" w:sz="8" w:color="auto"/>
            </w:tcBorders>
          </w:tcPr>
          <w:p>
            <w:pPr>
              <w:jc w:val="right"/>
              <w:ind w:right="261"/>
              <w:spacing w:after="0" w:line="136" w:lineRule="exact"/>
              <w:rPr>
                <w:sz w:val="20"/>
                <w:szCs w:val="20"/>
                <w:color w:val="auto"/>
              </w:rPr>
            </w:pPr>
            <w:r>
              <w:rPr>
                <w:rFonts w:ascii="Arial" w:cs="Arial" w:eastAsia="Arial" w:hAnsi="Arial"/>
                <w:sz w:val="12"/>
                <w:szCs w:val="12"/>
                <w:b w:val="1"/>
                <w:bCs w:val="1"/>
                <w:color w:val="auto"/>
              </w:rPr>
              <w:t>June 30,</w:t>
            </w: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1"/>
                <w:szCs w:val="11"/>
                <w:color w:val="auto"/>
              </w:rPr>
            </w:pPr>
          </w:p>
        </w:tc>
      </w:tr>
      <w:tr>
        <w:trPr>
          <w:trHeight w:val="141"/>
        </w:trPr>
        <w:tc>
          <w:tcPr>
            <w:tcW w:w="35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2022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2022</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2021</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2020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c>
          <w:tcPr>
            <w:tcW w:w="20" w:type="dxa"/>
            <w:vAlign w:val="bottom"/>
          </w:tcPr>
          <w:p>
            <w:pPr>
              <w:spacing w:after="0"/>
              <w:rPr>
                <w:sz w:val="12"/>
                <w:szCs w:val="12"/>
                <w:color w:val="auto"/>
              </w:rPr>
            </w:pPr>
          </w:p>
        </w:tc>
      </w:tr>
      <w:tr>
        <w:trPr>
          <w:trHeight w:val="124"/>
        </w:trPr>
        <w:tc>
          <w:tcPr>
            <w:tcW w:w="35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361"/>
              <w:spacing w:after="0" w:line="124" w:lineRule="exact"/>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auto"/>
            </w:tcBorders>
            <w:gridSpan w:val="2"/>
          </w:tcPr>
          <w:p>
            <w:pPr>
              <w:jc w:val="center"/>
              <w:ind w:right="80"/>
              <w:spacing w:after="0" w:line="124" w:lineRule="exact"/>
              <w:rPr>
                <w:sz w:val="20"/>
                <w:szCs w:val="20"/>
                <w:color w:val="auto"/>
              </w:rPr>
            </w:pPr>
            <w:r>
              <w:rPr>
                <w:rFonts w:ascii="Arial" w:cs="Arial" w:eastAsia="Arial" w:hAnsi="Arial"/>
                <w:sz w:val="12"/>
                <w:szCs w:val="12"/>
                <w:b w:val="1"/>
                <w:bCs w:val="1"/>
                <w:color w:val="auto"/>
                <w:w w:val="98"/>
              </w:rPr>
              <w:t>(US$’000)</w:t>
            </w:r>
          </w:p>
        </w:tc>
        <w:tc>
          <w:tcPr>
            <w:tcW w:w="880" w:type="dxa"/>
            <w:vAlign w:val="bottom"/>
            <w:tcBorders>
              <w:bottom w:val="single" w:sz="8" w:color="auto"/>
            </w:tcBorders>
          </w:tcPr>
          <w:p>
            <w:pPr>
              <w:jc w:val="right"/>
              <w:ind w:right="361"/>
              <w:spacing w:after="0" w:line="124" w:lineRule="exact"/>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auto"/>
            </w:tcBorders>
            <w:gridSpan w:val="2"/>
          </w:tcPr>
          <w:p>
            <w:pPr>
              <w:jc w:val="center"/>
              <w:ind w:right="80"/>
              <w:spacing w:after="0" w:line="124" w:lineRule="exact"/>
              <w:rPr>
                <w:sz w:val="20"/>
                <w:szCs w:val="20"/>
                <w:color w:val="auto"/>
              </w:rPr>
            </w:pPr>
            <w:r>
              <w:rPr>
                <w:rFonts w:ascii="Arial" w:cs="Arial" w:eastAsia="Arial" w:hAnsi="Arial"/>
                <w:sz w:val="12"/>
                <w:szCs w:val="12"/>
                <w:b w:val="1"/>
                <w:bCs w:val="1"/>
                <w:color w:val="auto"/>
                <w:w w:val="98"/>
              </w:rPr>
              <w:t>(US$’000)</w:t>
            </w:r>
          </w:p>
        </w:tc>
        <w:tc>
          <w:tcPr>
            <w:tcW w:w="900" w:type="dxa"/>
            <w:vAlign w:val="bottom"/>
            <w:tcBorders>
              <w:bottom w:val="single" w:sz="8" w:color="auto"/>
            </w:tcBorders>
          </w:tcPr>
          <w:p>
            <w:pPr>
              <w:jc w:val="right"/>
              <w:ind w:right="381"/>
              <w:spacing w:after="0" w:line="124" w:lineRule="exact"/>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w w:val="98"/>
              </w:rPr>
              <w:t>(US$’000)</w:t>
            </w:r>
          </w:p>
        </w:tc>
        <w:tc>
          <w:tcPr>
            <w:tcW w:w="20" w:type="dxa"/>
            <w:vAlign w:val="bottom"/>
          </w:tcPr>
          <w:p>
            <w:pPr>
              <w:spacing w:after="0"/>
              <w:rPr>
                <w:sz w:val="10"/>
                <w:szCs w:val="10"/>
                <w:color w:val="auto"/>
              </w:rPr>
            </w:pPr>
          </w:p>
        </w:tc>
      </w:tr>
      <w:tr>
        <w:trPr>
          <w:trHeight w:val="124"/>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3"/>
        </w:trPr>
        <w:tc>
          <w:tcPr>
            <w:tcW w:w="35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Income tax expense using the applicable tax rate</w:t>
            </w:r>
          </w:p>
        </w:tc>
        <w:tc>
          <w:tcPr>
            <w:tcW w:w="14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21.0 %</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4,411</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21.0 %</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21.0 %</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2,118</w:t>
            </w:r>
          </w:p>
        </w:tc>
        <w:tc>
          <w:tcPr>
            <w:tcW w:w="20" w:type="dxa"/>
            <w:vAlign w:val="bottom"/>
          </w:tcPr>
          <w:p>
            <w:pPr>
              <w:spacing w:after="0"/>
              <w:rPr>
                <w:sz w:val="11"/>
                <w:szCs w:val="11"/>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2"/>
                <w:szCs w:val="12"/>
                <w:color w:val="auto"/>
              </w:rPr>
              <w:t>State taxes (net of federal tax effect)</w:t>
            </w:r>
          </w:p>
        </w:tc>
        <w:tc>
          <w:tcPr>
            <w:tcW w:w="1400" w:type="dxa"/>
            <w:vAlign w:val="bottom"/>
          </w:tcPr>
          <w:p>
            <w:pPr>
              <w:jc w:val="right"/>
              <w:ind w:right="41"/>
              <w:spacing w:after="0" w:line="133" w:lineRule="exact"/>
              <w:rPr>
                <w:sz w:val="20"/>
                <w:szCs w:val="20"/>
                <w:color w:val="auto"/>
              </w:rPr>
            </w:pPr>
            <w:r>
              <w:rPr>
                <w:rFonts w:ascii="Arial" w:cs="Arial" w:eastAsia="Arial" w:hAnsi="Arial"/>
                <w:sz w:val="12"/>
                <w:szCs w:val="12"/>
                <w:color w:val="auto"/>
              </w:rPr>
              <w:t>3.0 %</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637</w:t>
            </w:r>
          </w:p>
        </w:tc>
        <w:tc>
          <w:tcPr>
            <w:tcW w:w="100" w:type="dxa"/>
            <w:vAlign w:val="bottom"/>
          </w:tcPr>
          <w:p>
            <w:pPr>
              <w:spacing w:after="0"/>
              <w:rPr>
                <w:sz w:val="11"/>
                <w:szCs w:val="11"/>
                <w:color w:val="auto"/>
              </w:rPr>
            </w:pPr>
          </w:p>
        </w:tc>
        <w:tc>
          <w:tcPr>
            <w:tcW w:w="880" w:type="dxa"/>
            <w:vAlign w:val="bottom"/>
          </w:tcPr>
          <w:p>
            <w:pPr>
              <w:jc w:val="right"/>
              <w:ind w:right="41"/>
              <w:spacing w:after="0" w:line="133" w:lineRule="exact"/>
              <w:rPr>
                <w:sz w:val="20"/>
                <w:szCs w:val="20"/>
                <w:color w:val="auto"/>
              </w:rPr>
            </w:pPr>
            <w:r>
              <w:rPr>
                <w:rFonts w:ascii="Arial" w:cs="Arial" w:eastAsia="Arial" w:hAnsi="Arial"/>
                <w:sz w:val="12"/>
                <w:szCs w:val="12"/>
                <w:color w:val="auto"/>
              </w:rPr>
              <w:t>7.3 %</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349</w:t>
            </w:r>
          </w:p>
        </w:tc>
        <w:tc>
          <w:tcPr>
            <w:tcW w:w="100" w:type="dxa"/>
            <w:vAlign w:val="bottom"/>
          </w:tcPr>
          <w:p>
            <w:pPr>
              <w:spacing w:after="0"/>
              <w:rPr>
                <w:sz w:val="11"/>
                <w:szCs w:val="11"/>
                <w:color w:val="auto"/>
              </w:rPr>
            </w:pPr>
          </w:p>
        </w:tc>
        <w:tc>
          <w:tcPr>
            <w:tcW w:w="900" w:type="dxa"/>
            <w:vAlign w:val="bottom"/>
          </w:tcPr>
          <w:p>
            <w:pPr>
              <w:jc w:val="right"/>
              <w:ind w:right="41"/>
              <w:spacing w:after="0" w:line="133" w:lineRule="exact"/>
              <w:rPr>
                <w:sz w:val="20"/>
                <w:szCs w:val="20"/>
                <w:color w:val="auto"/>
              </w:rPr>
            </w:pPr>
            <w:r>
              <w:rPr>
                <w:rFonts w:ascii="Arial" w:cs="Arial" w:eastAsia="Arial" w:hAnsi="Arial"/>
                <w:sz w:val="12"/>
                <w:szCs w:val="12"/>
                <w:color w:val="auto"/>
              </w:rPr>
              <w:t>12.9 %</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1,303</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Effect of tax and exchange rates in foreign jurisdictions</w:t>
            </w:r>
          </w:p>
        </w:tc>
        <w:tc>
          <w:tcPr>
            <w:tcW w:w="14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(0.2)%</w:t>
            </w:r>
          </w:p>
        </w:tc>
        <w:tc>
          <w:tcPr>
            <w:tcW w:w="7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(52)</w:t>
            </w:r>
          </w:p>
        </w:tc>
        <w:tc>
          <w:tcPr>
            <w:tcW w:w="88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3.7 %</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(7.7)%</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(776)</w:t>
            </w:r>
          </w:p>
        </w:tc>
        <w:tc>
          <w:tcPr>
            <w:tcW w:w="20" w:type="dxa"/>
            <w:vAlign w:val="bottom"/>
          </w:tcPr>
          <w:p>
            <w:pPr>
              <w:spacing w:after="0"/>
              <w:rPr>
                <w:sz w:val="11"/>
                <w:szCs w:val="11"/>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2"/>
                <w:szCs w:val="12"/>
                <w:color w:val="auto"/>
              </w:rPr>
              <w:t>Foreign subsidiaries taxed at lower rate or tax exempt</w:t>
            </w:r>
          </w:p>
        </w:tc>
        <w:tc>
          <w:tcPr>
            <w:tcW w:w="1400" w:type="dxa"/>
            <w:vAlign w:val="bottom"/>
          </w:tcPr>
          <w:p>
            <w:pPr>
              <w:jc w:val="right"/>
              <w:ind w:right="41"/>
              <w:spacing w:after="0" w:line="133" w:lineRule="exact"/>
              <w:rPr>
                <w:sz w:val="20"/>
                <w:szCs w:val="20"/>
                <w:color w:val="auto"/>
              </w:rPr>
            </w:pPr>
            <w:r>
              <w:rPr>
                <w:rFonts w:ascii="Arial" w:cs="Arial" w:eastAsia="Arial" w:hAnsi="Arial"/>
                <w:sz w:val="12"/>
                <w:szCs w:val="12"/>
                <w:color w:val="auto"/>
              </w:rPr>
              <w:t>(8.3)%</w:t>
            </w:r>
          </w:p>
        </w:tc>
        <w:tc>
          <w:tcPr>
            <w:tcW w:w="78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(1,734)</w:t>
            </w:r>
          </w:p>
        </w:tc>
        <w:tc>
          <w:tcPr>
            <w:tcW w:w="880" w:type="dxa"/>
            <w:vAlign w:val="bottom"/>
          </w:tcPr>
          <w:p>
            <w:pPr>
              <w:jc w:val="right"/>
              <w:ind w:right="41"/>
              <w:spacing w:after="0" w:line="133" w:lineRule="exact"/>
              <w:rPr>
                <w:sz w:val="20"/>
                <w:szCs w:val="20"/>
                <w:color w:val="auto"/>
              </w:rPr>
            </w:pPr>
            <w:r>
              <w:rPr>
                <w:rFonts w:ascii="Arial" w:cs="Arial" w:eastAsia="Arial" w:hAnsi="Arial"/>
                <w:sz w:val="12"/>
                <w:szCs w:val="12"/>
                <w:color w:val="auto"/>
              </w:rPr>
              <w:t>22.3 %</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1,064</w:t>
            </w:r>
          </w:p>
        </w:tc>
        <w:tc>
          <w:tcPr>
            <w:tcW w:w="100" w:type="dxa"/>
            <w:vAlign w:val="bottom"/>
          </w:tcPr>
          <w:p>
            <w:pPr>
              <w:spacing w:after="0"/>
              <w:rPr>
                <w:sz w:val="11"/>
                <w:szCs w:val="11"/>
                <w:color w:val="auto"/>
              </w:rPr>
            </w:pPr>
          </w:p>
        </w:tc>
        <w:tc>
          <w:tcPr>
            <w:tcW w:w="900" w:type="dxa"/>
            <w:vAlign w:val="bottom"/>
          </w:tcPr>
          <w:p>
            <w:pPr>
              <w:jc w:val="right"/>
              <w:ind w:right="41"/>
              <w:spacing w:after="0" w:line="133" w:lineRule="exact"/>
              <w:rPr>
                <w:sz w:val="20"/>
                <w:szCs w:val="20"/>
                <w:color w:val="auto"/>
              </w:rPr>
            </w:pPr>
            <w:r>
              <w:rPr>
                <w:rFonts w:ascii="Arial" w:cs="Arial" w:eastAsia="Arial" w:hAnsi="Arial"/>
                <w:sz w:val="12"/>
                <w:szCs w:val="12"/>
                <w:color w:val="auto"/>
              </w:rPr>
              <w:t>1.9 %</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191</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Non-deductible expenses / exempt income</w:t>
            </w:r>
          </w:p>
        </w:tc>
        <w:tc>
          <w:tcPr>
            <w:tcW w:w="14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1.4 %</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5.4 %</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256</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3.3 %</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328</w:t>
            </w:r>
          </w:p>
        </w:tc>
        <w:tc>
          <w:tcPr>
            <w:tcW w:w="20" w:type="dxa"/>
            <w:vAlign w:val="bottom"/>
          </w:tcPr>
          <w:p>
            <w:pPr>
              <w:spacing w:after="0"/>
              <w:rPr>
                <w:sz w:val="11"/>
                <w:szCs w:val="11"/>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2"/>
                <w:szCs w:val="12"/>
                <w:color w:val="auto"/>
              </w:rPr>
              <w:t>Employment and other tax credits</w:t>
            </w:r>
          </w:p>
        </w:tc>
        <w:tc>
          <w:tcPr>
            <w:tcW w:w="1400" w:type="dxa"/>
            <w:vAlign w:val="bottom"/>
          </w:tcPr>
          <w:p>
            <w:pPr>
              <w:jc w:val="right"/>
              <w:ind w:right="41"/>
              <w:spacing w:after="0" w:line="133" w:lineRule="exact"/>
              <w:rPr>
                <w:sz w:val="20"/>
                <w:szCs w:val="20"/>
                <w:color w:val="auto"/>
              </w:rPr>
            </w:pPr>
            <w:r>
              <w:rPr>
                <w:rFonts w:ascii="Arial" w:cs="Arial" w:eastAsia="Arial" w:hAnsi="Arial"/>
                <w:sz w:val="12"/>
                <w:szCs w:val="12"/>
                <w:color w:val="auto"/>
              </w:rPr>
              <w:t>(7.1)%</w:t>
            </w:r>
          </w:p>
        </w:tc>
        <w:tc>
          <w:tcPr>
            <w:tcW w:w="78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(1,487)</w:t>
            </w:r>
          </w:p>
        </w:tc>
        <w:tc>
          <w:tcPr>
            <w:tcW w:w="880" w:type="dxa"/>
            <w:vAlign w:val="bottom"/>
          </w:tcPr>
          <w:p>
            <w:pPr>
              <w:jc w:val="right"/>
              <w:ind w:right="41"/>
              <w:spacing w:after="0" w:line="133" w:lineRule="exact"/>
              <w:rPr>
                <w:sz w:val="20"/>
                <w:szCs w:val="20"/>
                <w:color w:val="auto"/>
              </w:rPr>
            </w:pPr>
            <w:r>
              <w:rPr>
                <w:rFonts w:ascii="Arial" w:cs="Arial" w:eastAsia="Arial" w:hAnsi="Arial"/>
                <w:sz w:val="12"/>
                <w:szCs w:val="12"/>
                <w:color w:val="auto"/>
              </w:rPr>
              <w:t>(20.3)%</w:t>
            </w:r>
          </w:p>
        </w:tc>
        <w:tc>
          <w:tcPr>
            <w:tcW w:w="78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(967)</w:t>
            </w:r>
          </w:p>
        </w:tc>
        <w:tc>
          <w:tcPr>
            <w:tcW w:w="900" w:type="dxa"/>
            <w:vAlign w:val="bottom"/>
          </w:tcPr>
          <w:p>
            <w:pPr>
              <w:jc w:val="right"/>
              <w:ind w:right="41"/>
              <w:spacing w:after="0" w:line="133" w:lineRule="exact"/>
              <w:rPr>
                <w:sz w:val="20"/>
                <w:szCs w:val="20"/>
                <w:color w:val="auto"/>
              </w:rPr>
            </w:pPr>
            <w:r>
              <w:rPr>
                <w:rFonts w:ascii="Arial" w:cs="Arial" w:eastAsia="Arial" w:hAnsi="Arial"/>
                <w:sz w:val="12"/>
                <w:szCs w:val="12"/>
                <w:color w:val="auto"/>
              </w:rPr>
              <w:t>— %</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Prior year provision / other items</w:t>
            </w:r>
          </w:p>
        </w:tc>
        <w:tc>
          <w:tcPr>
            <w:tcW w:w="14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(0.6)%</w:t>
            </w:r>
          </w:p>
        </w:tc>
        <w:tc>
          <w:tcPr>
            <w:tcW w:w="7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(117)</w:t>
            </w:r>
          </w:p>
        </w:tc>
        <w:tc>
          <w:tcPr>
            <w:tcW w:w="88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(3.8)%</w:t>
            </w:r>
          </w:p>
        </w:tc>
        <w:tc>
          <w:tcPr>
            <w:tcW w:w="7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(180)</w:t>
            </w:r>
          </w:p>
        </w:tc>
        <w:tc>
          <w:tcPr>
            <w:tcW w:w="9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(3.2)%</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(320)</w:t>
            </w:r>
          </w:p>
        </w:tc>
        <w:tc>
          <w:tcPr>
            <w:tcW w:w="20" w:type="dxa"/>
            <w:vAlign w:val="bottom"/>
          </w:tcPr>
          <w:p>
            <w:pPr>
              <w:spacing w:after="0"/>
              <w:rPr>
                <w:sz w:val="11"/>
                <w:szCs w:val="11"/>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2"/>
                <w:szCs w:val="12"/>
                <w:color w:val="auto"/>
              </w:rPr>
              <w:t>Unrecognized losses utilized during the year</w:t>
            </w:r>
          </w:p>
        </w:tc>
        <w:tc>
          <w:tcPr>
            <w:tcW w:w="1400" w:type="dxa"/>
            <w:vAlign w:val="bottom"/>
          </w:tcPr>
          <w:p>
            <w:pPr>
              <w:jc w:val="right"/>
              <w:ind w:right="41"/>
              <w:spacing w:after="0" w:line="133" w:lineRule="exact"/>
              <w:rPr>
                <w:sz w:val="20"/>
                <w:szCs w:val="20"/>
                <w:color w:val="auto"/>
              </w:rPr>
            </w:pPr>
            <w:r>
              <w:rPr>
                <w:rFonts w:ascii="Arial" w:cs="Arial" w:eastAsia="Arial" w:hAnsi="Arial"/>
                <w:sz w:val="12"/>
                <w:szCs w:val="12"/>
                <w:color w:val="auto"/>
              </w:rPr>
              <w:t>(0.6)%</w:t>
            </w:r>
          </w:p>
        </w:tc>
        <w:tc>
          <w:tcPr>
            <w:tcW w:w="78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(136)</w:t>
            </w:r>
          </w:p>
        </w:tc>
        <w:tc>
          <w:tcPr>
            <w:tcW w:w="880" w:type="dxa"/>
            <w:vAlign w:val="bottom"/>
          </w:tcPr>
          <w:p>
            <w:pPr>
              <w:jc w:val="right"/>
              <w:ind w:right="41"/>
              <w:spacing w:after="0" w:line="133" w:lineRule="exact"/>
              <w:rPr>
                <w:sz w:val="20"/>
                <w:szCs w:val="20"/>
                <w:color w:val="auto"/>
              </w:rPr>
            </w:pPr>
            <w:r>
              <w:rPr>
                <w:rFonts w:ascii="Arial" w:cs="Arial" w:eastAsia="Arial" w:hAnsi="Arial"/>
                <w:sz w:val="12"/>
                <w:szCs w:val="12"/>
                <w:color w:val="auto"/>
              </w:rPr>
              <w:t>— %</w:t>
            </w:r>
          </w:p>
        </w:tc>
        <w:tc>
          <w:tcPr>
            <w:tcW w:w="78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41"/>
              <w:spacing w:after="0" w:line="133" w:lineRule="exact"/>
              <w:rPr>
                <w:sz w:val="20"/>
                <w:szCs w:val="20"/>
                <w:color w:val="auto"/>
              </w:rPr>
            </w:pPr>
            <w:r>
              <w:rPr>
                <w:rFonts w:ascii="Arial" w:cs="Arial" w:eastAsia="Arial" w:hAnsi="Arial"/>
                <w:sz w:val="12"/>
                <w:szCs w:val="12"/>
                <w:color w:val="auto"/>
              </w:rPr>
              <w:t>10.1 %</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1,018</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Change in unrecognized temporary differences</w:t>
            </w:r>
          </w:p>
        </w:tc>
        <w:tc>
          <w:tcPr>
            <w:tcW w:w="14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(18.1)%</w:t>
            </w:r>
          </w:p>
        </w:tc>
        <w:tc>
          <w:tcPr>
            <w:tcW w:w="7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(3,793)</w:t>
            </w:r>
          </w:p>
        </w:tc>
        <w:tc>
          <w:tcPr>
            <w:tcW w:w="88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4.6 %</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(15.3)%</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(1,547)</w:t>
            </w:r>
          </w:p>
        </w:tc>
        <w:tc>
          <w:tcPr>
            <w:tcW w:w="20" w:type="dxa"/>
            <w:vAlign w:val="bottom"/>
          </w:tcPr>
          <w:p>
            <w:pPr>
              <w:spacing w:after="0"/>
              <w:rPr>
                <w:sz w:val="11"/>
                <w:szCs w:val="11"/>
                <w:color w:val="auto"/>
              </w:rPr>
            </w:pPr>
          </w:p>
        </w:tc>
      </w:tr>
      <w:tr>
        <w:trPr>
          <w:trHeight w:val="164"/>
        </w:trPr>
        <w:tc>
          <w:tcPr>
            <w:tcW w:w="35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jc w:val="right"/>
              <w:ind w:right="41"/>
              <w:spacing w:after="0" w:line="124" w:lineRule="exact"/>
              <w:rPr>
                <w:sz w:val="20"/>
                <w:szCs w:val="20"/>
                <w:color w:val="auto"/>
              </w:rPr>
            </w:pPr>
            <w:r>
              <w:rPr>
                <w:rFonts w:ascii="Arial" w:cs="Arial" w:eastAsia="Arial" w:hAnsi="Arial"/>
                <w:sz w:val="12"/>
                <w:szCs w:val="12"/>
                <w:color w:val="auto"/>
              </w:rPr>
              <w:t>(9.5)%</w:t>
            </w: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(1,987)</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ind w:right="41"/>
              <w:spacing w:after="0" w:line="124" w:lineRule="exact"/>
              <w:rPr>
                <w:sz w:val="20"/>
                <w:szCs w:val="20"/>
                <w:color w:val="auto"/>
              </w:rPr>
            </w:pPr>
            <w:r>
              <w:rPr>
                <w:rFonts w:ascii="Arial" w:cs="Arial" w:eastAsia="Arial" w:hAnsi="Arial"/>
                <w:sz w:val="12"/>
                <w:szCs w:val="12"/>
                <w:color w:val="auto"/>
              </w:rPr>
              <w:t>40.2 %</w:t>
            </w: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1,918</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ind w:right="41"/>
              <w:spacing w:after="0" w:line="124" w:lineRule="exact"/>
              <w:rPr>
                <w:sz w:val="20"/>
                <w:szCs w:val="20"/>
                <w:color w:val="auto"/>
              </w:rPr>
            </w:pPr>
            <w:r>
              <w:rPr>
                <w:rFonts w:ascii="Arial" w:cs="Arial" w:eastAsia="Arial" w:hAnsi="Arial"/>
                <w:sz w:val="12"/>
                <w:szCs w:val="12"/>
                <w:color w:val="auto"/>
              </w:rPr>
              <w:t>23.0 %</w:t>
            </w: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2,315</w:t>
            </w:r>
          </w:p>
        </w:tc>
        <w:tc>
          <w:tcPr>
            <w:tcW w:w="20" w:type="dxa"/>
            <w:vAlign w:val="bottom"/>
          </w:tcPr>
          <w:p>
            <w:pPr>
              <w:spacing w:after="0"/>
              <w:rPr>
                <w:sz w:val="14"/>
                <w:szCs w:val="14"/>
                <w:color w:val="auto"/>
              </w:rPr>
            </w:pPr>
          </w:p>
        </w:tc>
      </w:tr>
      <w:tr>
        <w:trPr>
          <w:trHeight w:val="106"/>
        </w:trPr>
        <w:tc>
          <w:tcPr>
            <w:tcW w:w="3520" w:type="dxa"/>
            <w:vAlign w:val="bottom"/>
            <w:tcBorders>
              <w:bottom w:val="single" w:sz="8" w:color="auto"/>
            </w:tcBorders>
            <w:shd w:val="clear" w:color="auto" w:fill="CCEEFF"/>
          </w:tcPr>
          <w:p>
            <w:pPr>
              <w:spacing w:after="0"/>
              <w:rPr>
                <w:sz w:val="9"/>
                <w:szCs w:val="9"/>
                <w:color w:val="auto"/>
              </w:rPr>
            </w:pPr>
          </w:p>
        </w:tc>
        <w:tc>
          <w:tcPr>
            <w:tcW w:w="140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bl>
    <w:p>
      <w:pPr>
        <w:spacing w:after="0" w:line="151" w:lineRule="exact"/>
        <w:rPr>
          <w:sz w:val="20"/>
          <w:szCs w:val="20"/>
          <w:color w:val="auto"/>
        </w:rPr>
      </w:pPr>
    </w:p>
    <w:p>
      <w:pPr>
        <w:ind w:left="560" w:hanging="525"/>
        <w:spacing w:after="0"/>
        <w:tabs>
          <w:tab w:leader="none" w:pos="560"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SHARE BASED COMPENSATION PLANS</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share-based payments expenses in the consolidated statements of profit or loss and other comprehensive income consist of the following:</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100"/>
              <w:spacing w:after="0" w:line="136" w:lineRule="exact"/>
              <w:rPr>
                <w:sz w:val="20"/>
                <w:szCs w:val="20"/>
                <w:color w:val="auto"/>
              </w:rPr>
            </w:pPr>
            <w:r>
              <w:rPr>
                <w:rFonts w:ascii="Arial" w:cs="Arial" w:eastAsia="Arial" w:hAnsi="Arial"/>
                <w:sz w:val="12"/>
                <w:szCs w:val="12"/>
                <w:b w:val="1"/>
                <w:bCs w:val="1"/>
                <w:color w:val="auto"/>
              </w:rPr>
              <w:t>June 30,</w:t>
            </w:r>
          </w:p>
        </w:tc>
        <w:tc>
          <w:tcPr>
            <w:tcW w:w="900" w:type="dxa"/>
            <w:vAlign w:val="bottom"/>
            <w:tcBorders>
              <w:top w:val="single" w:sz="8" w:color="auto"/>
            </w:tcBorders>
            <w:gridSpan w:val="2"/>
          </w:tcPr>
          <w:p>
            <w:pPr>
              <w:ind w:left="100"/>
              <w:spacing w:after="0" w:line="136" w:lineRule="exact"/>
              <w:rPr>
                <w:sz w:val="20"/>
                <w:szCs w:val="20"/>
                <w:color w:val="auto"/>
              </w:rPr>
            </w:pPr>
            <w:r>
              <w:rPr>
                <w:rFonts w:ascii="Arial" w:cs="Arial" w:eastAsia="Arial" w:hAnsi="Arial"/>
                <w:sz w:val="12"/>
                <w:szCs w:val="12"/>
                <w:b w:val="1"/>
                <w:bCs w:val="1"/>
                <w:color w:val="auto"/>
              </w:rPr>
              <w:t>June 30,</w:t>
            </w:r>
          </w:p>
        </w:tc>
        <w:tc>
          <w:tcPr>
            <w:tcW w:w="700" w:type="dxa"/>
            <w:vAlign w:val="bottom"/>
            <w:tcBorders>
              <w:top w:val="single" w:sz="8" w:color="auto"/>
            </w:tcBorders>
          </w:tcPr>
          <w:p>
            <w:pPr>
              <w:jc w:val="right"/>
              <w:ind w:right="70"/>
              <w:spacing w:after="0" w:line="136" w:lineRule="exact"/>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2022</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ind w:left="80"/>
              <w:spacing w:after="0" w:line="124" w:lineRule="exact"/>
              <w:rPr>
                <w:sz w:val="20"/>
                <w:szCs w:val="20"/>
                <w:color w:val="auto"/>
              </w:rPr>
            </w:pPr>
            <w:r>
              <w:rPr>
                <w:rFonts w:ascii="Arial" w:cs="Arial" w:eastAsia="Arial" w:hAnsi="Arial"/>
                <w:sz w:val="12"/>
                <w:szCs w:val="12"/>
                <w:b w:val="1"/>
                <w:bCs w:val="1"/>
                <w:color w:val="auto"/>
              </w:rPr>
              <w:t>(US$’000)</w:t>
            </w: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40" w:type="dxa"/>
            <w:vAlign w:val="bottom"/>
            <w:gridSpan w:val="2"/>
          </w:tcPr>
          <w:p>
            <w:pPr>
              <w:spacing w:after="0" w:line="157" w:lineRule="exact"/>
              <w:rPr>
                <w:sz w:val="20"/>
                <w:szCs w:val="20"/>
                <w:color w:val="auto"/>
              </w:rPr>
            </w:pPr>
            <w:r>
              <w:rPr>
                <w:rFonts w:ascii="Arial" w:cs="Arial" w:eastAsia="Arial" w:hAnsi="Arial"/>
                <w:sz w:val="15"/>
                <w:szCs w:val="15"/>
                <w:b w:val="1"/>
                <w:bCs w:val="1"/>
                <w:color w:val="auto"/>
              </w:rPr>
              <w:t>Cash settled:</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Phantom Stock Plan</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33</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851</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44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4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Equity settled:</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tcPr>
          <w:p>
            <w:pPr>
              <w:spacing w:after="0" w:line="166" w:lineRule="exact"/>
              <w:rPr>
                <w:sz w:val="20"/>
                <w:szCs w:val="20"/>
                <w:color w:val="auto"/>
              </w:rPr>
            </w:pPr>
            <w:r>
              <w:rPr>
                <w:rFonts w:ascii="Arial" w:cs="Arial" w:eastAsia="Arial" w:hAnsi="Arial"/>
                <w:sz w:val="15"/>
                <w:szCs w:val="15"/>
                <w:color w:val="auto"/>
                <w:w w:val="95"/>
              </w:rPr>
              <w:t>2018</w:t>
            </w:r>
          </w:p>
        </w:tc>
        <w:tc>
          <w:tcPr>
            <w:tcW w:w="6100" w:type="dxa"/>
            <w:vAlign w:val="bottom"/>
          </w:tcPr>
          <w:p>
            <w:pPr>
              <w:spacing w:after="0" w:line="166" w:lineRule="exact"/>
              <w:rPr>
                <w:sz w:val="20"/>
                <w:szCs w:val="20"/>
                <w:color w:val="auto"/>
              </w:rPr>
            </w:pPr>
            <w:r>
              <w:rPr>
                <w:rFonts w:ascii="Arial" w:cs="Arial" w:eastAsia="Arial" w:hAnsi="Arial"/>
                <w:sz w:val="15"/>
                <w:szCs w:val="15"/>
                <w:color w:val="auto"/>
              </w:rPr>
              <w:t>Restricted Stock Awards (RSA)</w:t>
            </w: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6</w:t>
            </w:r>
          </w:p>
        </w:tc>
        <w:tc>
          <w:tcPr>
            <w:tcW w:w="18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45</w:t>
            </w:r>
          </w:p>
        </w:tc>
        <w:tc>
          <w:tcPr>
            <w:tcW w:w="20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w w:val="95"/>
              </w:rPr>
              <w:t>2020</w:t>
            </w:r>
          </w:p>
        </w:tc>
        <w:tc>
          <w:tcPr>
            <w:tcW w:w="61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Long term Incentive Plan</w:t>
            </w:r>
          </w:p>
        </w:tc>
        <w:tc>
          <w:tcPr>
            <w:tcW w:w="7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1,812</w:t>
            </w:r>
          </w:p>
        </w:tc>
        <w:tc>
          <w:tcPr>
            <w:tcW w:w="1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3,625</w:t>
            </w:r>
          </w:p>
        </w:tc>
        <w:tc>
          <w:tcPr>
            <w:tcW w:w="2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1,818</w:t>
            </w:r>
          </w:p>
        </w:tc>
        <w:tc>
          <w:tcPr>
            <w:tcW w:w="1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3,670</w:t>
            </w: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390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60" w:type="dxa"/>
            <w:vAlign w:val="bottom"/>
            <w:gridSpan w:val="2"/>
          </w:tcPr>
          <w:p>
            <w:pPr>
              <w:spacing w:after="0" w:line="157" w:lineRule="exact"/>
              <w:rPr>
                <w:sz w:val="20"/>
                <w:szCs w:val="20"/>
                <w:color w:val="auto"/>
              </w:rPr>
            </w:pPr>
            <w:r>
              <w:rPr>
                <w:rFonts w:ascii="Arial" w:cs="Arial" w:eastAsia="Arial" w:hAnsi="Arial"/>
                <w:sz w:val="15"/>
                <w:szCs w:val="15"/>
                <w:b w:val="1"/>
                <w:bCs w:val="1"/>
                <w:color w:val="auto"/>
                <w:w w:val="94"/>
              </w:rPr>
              <w:t>Total</w:t>
            </w:r>
          </w:p>
        </w:tc>
        <w:tc>
          <w:tcPr>
            <w:tcW w:w="610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1,851</w:t>
            </w:r>
          </w:p>
        </w:tc>
        <w:tc>
          <w:tcPr>
            <w:tcW w:w="18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4,521</w:t>
            </w:r>
          </w:p>
        </w:tc>
        <w:tc>
          <w:tcPr>
            <w:tcW w:w="20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359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 w:type="dxa"/>
            <w:vAlign w:val="bottom"/>
            <w:tcBorders>
              <w:top w:val="single" w:sz="8" w:color="CCEEFF"/>
              <w:bottom w:val="single" w:sz="8" w:color="auto"/>
            </w:tcBorders>
            <w:shd w:val="clear" w:color="auto" w:fill="CCEEFF"/>
          </w:tcPr>
          <w:p>
            <w:pPr>
              <w:spacing w:after="0"/>
              <w:rPr>
                <w:sz w:val="12"/>
                <w:szCs w:val="12"/>
                <w:color w:val="auto"/>
              </w:rPr>
            </w:pPr>
          </w:p>
        </w:tc>
        <w:tc>
          <w:tcPr>
            <w:tcW w:w="6100" w:type="dxa"/>
            <w:vAlign w:val="bottom"/>
            <w:tcBorders>
              <w:top w:val="single" w:sz="8" w:color="CCEEFF"/>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360" w:type="dxa"/>
            <w:vAlign w:val="bottom"/>
            <w:gridSpan w:val="2"/>
          </w:tcPr>
          <w:p>
            <w:pPr>
              <w:spacing w:after="0"/>
              <w:rPr>
                <w:sz w:val="20"/>
                <w:szCs w:val="20"/>
                <w:color w:val="auto"/>
              </w:rPr>
            </w:pPr>
            <w:r>
              <w:rPr>
                <w:rFonts w:ascii="Arial" w:cs="Arial" w:eastAsia="Arial" w:hAnsi="Arial"/>
                <w:sz w:val="15"/>
                <w:szCs w:val="15"/>
                <w:b w:val="1"/>
                <w:bCs w:val="1"/>
                <w:color w:val="auto"/>
              </w:rPr>
              <w:t>19.1.</w:t>
            </w:r>
          </w:p>
        </w:tc>
        <w:tc>
          <w:tcPr>
            <w:tcW w:w="6100" w:type="dxa"/>
            <w:vAlign w:val="bottom"/>
          </w:tcPr>
          <w:p>
            <w:pPr>
              <w:ind w:left="160"/>
              <w:spacing w:after="0"/>
              <w:rPr>
                <w:sz w:val="20"/>
                <w:szCs w:val="20"/>
                <w:color w:val="auto"/>
              </w:rPr>
            </w:pPr>
            <w:r>
              <w:rPr>
                <w:rFonts w:ascii="Arial" w:cs="Arial" w:eastAsia="Arial" w:hAnsi="Arial"/>
                <w:sz w:val="15"/>
                <w:szCs w:val="15"/>
                <w:b w:val="1"/>
                <w:bCs w:val="1"/>
                <w:color w:val="auto"/>
              </w:rPr>
              <w:t>Phantom Stock Plans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In February of 2018, IBEX Global Solutions (Philippines) Inc., IBEX Global ROHQ, and in March of 2018, IBEX Global Jamaica Limited, each adopted a phantom stock plan (“Phantom Stock Plan”), which provide for grants of “phantom stock options” to certain of their executive officers and employees. Each Phantom stock option provides the participant with a contractual right to receive an amount equal to the difference between the fair market value of a vested common share of the Holding Company at the time of exercise and the exercise price of the option per share.</w:t>
      </w:r>
    </w:p>
    <w:p>
      <w:pPr>
        <w:spacing w:after="0" w:line="151"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On February 1, 2021, we terminated the Phantom Stock Plan for IBEX Global ROHQ. All IBEX Global ROHQ plan participants and phantom stock options were transferred to the IBEX Global Solutions (Philippines) Inc. Phantom Stock Plan. The Phantom Stock Plans for IBEX Global Solutions (Philippines) Inc. and IBEX Global Jamaica Limited were amended and restated as of February 16, 2021. The maximum number of phantom stock options available for issuance under the IBEX Global Solutions (Philippines) Inc. and IBEX Global Jamaica Limited plans are 400,000 and 200,000, respectively. These Phantom Stock Plans shall continue until the earlier of June 30, 2025 or termination by the Ibex Limited board of directors pursuant to the terms of the plan.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74" w:name="page175"/>
    <w:bookmarkEnd w:id="17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On February 2021, 167,935 options were issued under phantom stock plan with an exercise price of $20.86, 5,335 of the total options vested immediately and the remaining options vest 25% initially and the remainder vesting equally on monthly basis over 36 months. No options were issued under the plan in fiscal year 2022.</w:t>
      </w:r>
    </w:p>
    <w:p>
      <w:pPr>
        <w:spacing w:after="0" w:line="146" w:lineRule="exact"/>
        <w:rPr>
          <w:sz w:val="20"/>
          <w:szCs w:val="20"/>
          <w:color w:val="auto"/>
        </w:rPr>
      </w:pPr>
    </w:p>
    <w:p>
      <w:pPr>
        <w:jc w:val="both"/>
        <w:ind w:left="40" w:right="39"/>
        <w:spacing w:after="0" w:line="271" w:lineRule="auto"/>
        <w:rPr>
          <w:sz w:val="20"/>
          <w:szCs w:val="20"/>
          <w:color w:val="auto"/>
        </w:rPr>
      </w:pPr>
      <w:r>
        <w:rPr>
          <w:rFonts w:ascii="Arial" w:cs="Arial" w:eastAsia="Arial" w:hAnsi="Arial"/>
          <w:sz w:val="14"/>
          <w:szCs w:val="14"/>
          <w:color w:val="auto"/>
        </w:rPr>
        <w:t>The Company has elected to use the Black-Scholes valuation to calculate the fair value of Phantom stock options. The Black-Scholes valuation model requires the use of certain estimates and assumptions that affect the fair value of options in the consolidated statement of profit or loss. These include the price per share, expected term, expected volatility, expected dividends and the risk-free interest rate.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Fair value of common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fair value of the common shares is $16.87 per share as of June 30, 2022.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Expected term</w:t>
      </w:r>
    </w:p>
    <w:p>
      <w:pPr>
        <w:spacing w:after="0" w:line="170" w:lineRule="exact"/>
        <w:rPr>
          <w:sz w:val="20"/>
          <w:szCs w:val="20"/>
          <w:color w:val="auto"/>
        </w:rPr>
      </w:pPr>
    </w:p>
    <w:p>
      <w:pPr>
        <w:jc w:val="both"/>
        <w:ind w:left="40" w:right="59"/>
        <w:spacing w:after="0" w:line="239" w:lineRule="auto"/>
        <w:rPr>
          <w:sz w:val="20"/>
          <w:szCs w:val="20"/>
          <w:color w:val="auto"/>
        </w:rPr>
      </w:pPr>
      <w:r>
        <w:rPr>
          <w:rFonts w:ascii="Arial" w:cs="Arial" w:eastAsia="Arial" w:hAnsi="Arial"/>
          <w:sz w:val="15"/>
          <w:szCs w:val="15"/>
          <w:color w:val="auto"/>
        </w:rPr>
        <w:t xml:space="preserve">The expected term of options granted is 0.65 - 1.75 years. </w:t>
      </w:r>
      <w:r>
        <w:rPr>
          <w:rFonts w:ascii="Arial" w:cs="Arial" w:eastAsia="Arial" w:hAnsi="Arial"/>
          <w:sz w:val="13"/>
          <w:szCs w:val="13"/>
          <w:color w:val="auto"/>
        </w:rPr>
        <w:t>In estimating the expected term, the Subsidiaries assume all options will be exercised</w:t>
      </w:r>
      <w:r>
        <w:rPr>
          <w:rFonts w:ascii="Arial" w:cs="Arial" w:eastAsia="Arial" w:hAnsi="Arial"/>
          <w:sz w:val="15"/>
          <w:szCs w:val="15"/>
          <w:color w:val="auto"/>
        </w:rPr>
        <w:t xml:space="preserve"> </w:t>
      </w:r>
      <w:r>
        <w:rPr>
          <w:rFonts w:ascii="Arial" w:cs="Arial" w:eastAsia="Arial" w:hAnsi="Arial"/>
          <w:sz w:val="13"/>
          <w:szCs w:val="13"/>
          <w:color w:val="auto"/>
        </w:rPr>
        <w:t>at the contractual term of the option.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Volatility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Management used an average volatility of comparable listed companies of 32.64% - 37.19%.</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Expected dividends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Holding Company does not expect to pay any dividends in the future.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Risk-free rate</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risk free rate is the continuously compounded United States nominal treasury rate corresponding to the term of the option. The risk free rate used for computation of fair value of options as of June 30, 2022 was 3.01% - 3.03%.</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fair value of options issued ranges from $4.68 - $10.20 per option as of June 30, 2022. A roll forward of the phantom options are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9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2022</w:t>
            </w: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6"/>
        </w:trPr>
        <w:tc>
          <w:tcPr>
            <w:tcW w:w="3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Borders>
              <w:top w:val="single" w:sz="8" w:color="auto"/>
            </w:tcBorders>
          </w:tcPr>
          <w:p>
            <w:pPr>
              <w:jc w:val="right"/>
              <w:ind w:right="258"/>
              <w:spacing w:after="0" w:line="116" w:lineRule="exact"/>
              <w:rPr>
                <w:sz w:val="20"/>
                <w:szCs w:val="20"/>
                <w:color w:val="auto"/>
              </w:rPr>
            </w:pPr>
            <w:r>
              <w:rPr>
                <w:rFonts w:ascii="Arial" w:cs="Arial" w:eastAsia="Arial" w:hAnsi="Arial"/>
                <w:sz w:val="12"/>
                <w:szCs w:val="12"/>
                <w:b w:val="1"/>
                <w:bCs w:val="1"/>
                <w:color w:val="auto"/>
              </w:rPr>
              <w:t>Weighted</w:t>
            </w:r>
          </w:p>
        </w:tc>
        <w:tc>
          <w:tcPr>
            <w:tcW w:w="800" w:type="dxa"/>
            <w:vAlign w:val="bottom"/>
            <w:tcBorders>
              <w:top w:val="single" w:sz="8" w:color="auto"/>
            </w:tcBorders>
          </w:tcPr>
          <w:p>
            <w:pPr>
              <w:jc w:val="right"/>
              <w:ind w:right="171"/>
              <w:spacing w:after="0" w:line="116" w:lineRule="exact"/>
              <w:rPr>
                <w:sz w:val="20"/>
                <w:szCs w:val="20"/>
                <w:color w:val="auto"/>
              </w:rPr>
            </w:pPr>
            <w:r>
              <w:rPr>
                <w:rFonts w:ascii="Arial" w:cs="Arial" w:eastAsia="Arial" w:hAnsi="Arial"/>
                <w:sz w:val="12"/>
                <w:szCs w:val="12"/>
                <w:b w:val="1"/>
                <w:bCs w:val="1"/>
                <w:color w:val="auto"/>
              </w:rPr>
              <w:t>Share</w:t>
            </w:r>
          </w:p>
        </w:tc>
        <w:tc>
          <w:tcPr>
            <w:tcW w:w="160" w:type="dxa"/>
            <w:vAlign w:val="bottom"/>
          </w:tcPr>
          <w:p>
            <w:pPr>
              <w:spacing w:after="0"/>
              <w:rPr>
                <w:sz w:val="10"/>
                <w:szCs w:val="10"/>
                <w:color w:val="auto"/>
              </w:rPr>
            </w:pPr>
          </w:p>
        </w:tc>
        <w:tc>
          <w:tcPr>
            <w:tcW w:w="1140" w:type="dxa"/>
            <w:vAlign w:val="bottom"/>
            <w:tcBorders>
              <w:top w:val="single" w:sz="8" w:color="auto"/>
            </w:tcBorders>
          </w:tcPr>
          <w:p>
            <w:pPr>
              <w:jc w:val="center"/>
              <w:ind w:right="113"/>
              <w:spacing w:after="0" w:line="116" w:lineRule="exact"/>
              <w:rPr>
                <w:sz w:val="20"/>
                <w:szCs w:val="20"/>
                <w:color w:val="auto"/>
              </w:rPr>
            </w:pPr>
            <w:r>
              <w:rPr>
                <w:rFonts w:ascii="Arial" w:cs="Arial" w:eastAsia="Arial" w:hAnsi="Arial"/>
                <w:sz w:val="12"/>
                <w:szCs w:val="12"/>
                <w:b w:val="1"/>
                <w:bCs w:val="1"/>
                <w:color w:val="auto"/>
                <w:w w:val="96"/>
              </w:rPr>
              <w:t>Weighted</w:t>
            </w:r>
          </w:p>
        </w:tc>
        <w:tc>
          <w:tcPr>
            <w:tcW w:w="80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Share</w:t>
            </w:r>
          </w:p>
        </w:tc>
        <w:tc>
          <w:tcPr>
            <w:tcW w:w="20" w:type="dxa"/>
            <w:vAlign w:val="bottom"/>
          </w:tcPr>
          <w:p>
            <w:pPr>
              <w:spacing w:after="0"/>
              <w:rPr>
                <w:sz w:val="10"/>
                <w:szCs w:val="10"/>
                <w:color w:val="auto"/>
              </w:rPr>
            </w:pPr>
          </w:p>
        </w:tc>
      </w:tr>
      <w:tr>
        <w:trPr>
          <w:trHeight w:val="133"/>
        </w:trPr>
        <w:tc>
          <w:tcPr>
            <w:tcW w:w="3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jc w:val="right"/>
              <w:ind w:right="298"/>
              <w:spacing w:after="0" w:line="133" w:lineRule="exact"/>
              <w:rPr>
                <w:sz w:val="20"/>
                <w:szCs w:val="20"/>
                <w:color w:val="auto"/>
              </w:rPr>
            </w:pPr>
            <w:r>
              <w:rPr>
                <w:rFonts w:ascii="Arial" w:cs="Arial" w:eastAsia="Arial" w:hAnsi="Arial"/>
                <w:sz w:val="12"/>
                <w:szCs w:val="12"/>
                <w:b w:val="1"/>
                <w:bCs w:val="1"/>
                <w:color w:val="auto"/>
              </w:rPr>
              <w:t>average</w:t>
            </w:r>
          </w:p>
        </w:tc>
        <w:tc>
          <w:tcPr>
            <w:tcW w:w="960" w:type="dxa"/>
            <w:vAlign w:val="bottom"/>
            <w:gridSpan w:val="2"/>
          </w:tcPr>
          <w:p>
            <w:pPr>
              <w:jc w:val="right"/>
              <w:ind w:right="260"/>
              <w:spacing w:after="0" w:line="133" w:lineRule="exact"/>
              <w:rPr>
                <w:sz w:val="20"/>
                <w:szCs w:val="20"/>
                <w:color w:val="auto"/>
              </w:rPr>
            </w:pPr>
            <w:r>
              <w:rPr>
                <w:rFonts w:ascii="Arial" w:cs="Arial" w:eastAsia="Arial" w:hAnsi="Arial"/>
                <w:sz w:val="12"/>
                <w:szCs w:val="12"/>
                <w:b w:val="1"/>
                <w:bCs w:val="1"/>
                <w:color w:val="auto"/>
              </w:rPr>
              <w:t>Options</w:t>
            </w:r>
          </w:p>
        </w:tc>
        <w:tc>
          <w:tcPr>
            <w:tcW w:w="1140" w:type="dxa"/>
            <w:vAlign w:val="bottom"/>
          </w:tcPr>
          <w:p>
            <w:pPr>
              <w:jc w:val="right"/>
              <w:ind w:right="293"/>
              <w:spacing w:after="0" w:line="133" w:lineRule="exact"/>
              <w:rPr>
                <w:sz w:val="20"/>
                <w:szCs w:val="20"/>
                <w:color w:val="auto"/>
              </w:rPr>
            </w:pPr>
            <w:r>
              <w:rPr>
                <w:rFonts w:ascii="Arial" w:cs="Arial" w:eastAsia="Arial" w:hAnsi="Arial"/>
                <w:sz w:val="12"/>
                <w:szCs w:val="12"/>
                <w:b w:val="1"/>
                <w:bCs w:val="1"/>
                <w:color w:val="auto"/>
              </w:rPr>
              <w:t>average</w:t>
            </w:r>
          </w:p>
        </w:tc>
        <w:tc>
          <w:tcPr>
            <w:tcW w:w="820" w:type="dxa"/>
            <w:vAlign w:val="bottom"/>
            <w:gridSpan w:val="2"/>
          </w:tcPr>
          <w:p>
            <w:pPr>
              <w:jc w:val="center"/>
              <w:ind w:right="40"/>
              <w:spacing w:after="0" w:line="133" w:lineRule="exact"/>
              <w:rPr>
                <w:sz w:val="20"/>
                <w:szCs w:val="20"/>
                <w:color w:val="auto"/>
              </w:rPr>
            </w:pPr>
            <w:r>
              <w:rPr>
                <w:rFonts w:ascii="Arial" w:cs="Arial" w:eastAsia="Arial" w:hAnsi="Arial"/>
                <w:sz w:val="12"/>
                <w:szCs w:val="12"/>
                <w:b w:val="1"/>
                <w:bCs w:val="1"/>
                <w:color w:val="auto"/>
              </w:rPr>
              <w:t>Options</w:t>
            </w:r>
          </w:p>
        </w:tc>
      </w:tr>
      <w:tr>
        <w:trPr>
          <w:trHeight w:val="141"/>
        </w:trPr>
        <w:tc>
          <w:tcPr>
            <w:tcW w:w="3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jc w:val="right"/>
              <w:ind w:right="178"/>
              <w:spacing w:after="0"/>
              <w:rPr>
                <w:sz w:val="20"/>
                <w:szCs w:val="20"/>
                <w:color w:val="auto"/>
              </w:rPr>
            </w:pPr>
            <w:r>
              <w:rPr>
                <w:rFonts w:ascii="Arial" w:cs="Arial" w:eastAsia="Arial" w:hAnsi="Arial"/>
                <w:sz w:val="12"/>
                <w:szCs w:val="12"/>
                <w:b w:val="1"/>
                <w:bCs w:val="1"/>
                <w:color w:val="auto"/>
              </w:rPr>
              <w:t>exercise price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(Number)</w:t>
            </w:r>
          </w:p>
        </w:tc>
        <w:tc>
          <w:tcPr>
            <w:tcW w:w="1140" w:type="dxa"/>
            <w:vAlign w:val="bottom"/>
          </w:tcPr>
          <w:p>
            <w:pPr>
              <w:jc w:val="center"/>
              <w:ind w:right="73"/>
              <w:spacing w:after="0"/>
              <w:rPr>
                <w:sz w:val="20"/>
                <w:szCs w:val="20"/>
                <w:color w:val="auto"/>
              </w:rPr>
            </w:pPr>
            <w:r>
              <w:rPr>
                <w:rFonts w:ascii="Arial" w:cs="Arial" w:eastAsia="Arial" w:hAnsi="Arial"/>
                <w:sz w:val="12"/>
                <w:szCs w:val="12"/>
                <w:b w:val="1"/>
                <w:bCs w:val="1"/>
                <w:color w:val="auto"/>
                <w:w w:val="99"/>
              </w:rPr>
              <w:t>exercise price</w:t>
            </w: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w:t>
            </w:r>
          </w:p>
        </w:tc>
      </w:tr>
      <w:tr>
        <w:trPr>
          <w:trHeight w:val="124"/>
        </w:trPr>
        <w:tc>
          <w:tcPr>
            <w:tcW w:w="39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418"/>
              <w:spacing w:after="0" w:line="124" w:lineRule="exact"/>
              <w:rPr>
                <w:sz w:val="20"/>
                <w:szCs w:val="20"/>
                <w:color w:val="auto"/>
              </w:rPr>
            </w:pPr>
            <w:r>
              <w:rPr>
                <w:rFonts w:ascii="Arial" w:cs="Arial" w:eastAsia="Arial" w:hAnsi="Arial"/>
                <w:sz w:val="12"/>
                <w:szCs w:val="12"/>
                <w:b w:val="1"/>
                <w:bCs w:val="1"/>
                <w:color w:val="auto"/>
              </w:rPr>
              <w:t>(US$)</w:t>
            </w:r>
          </w:p>
        </w:tc>
        <w:tc>
          <w:tcPr>
            <w:tcW w:w="80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center"/>
              <w:ind w:right="73"/>
              <w:spacing w:after="0" w:line="124" w:lineRule="exact"/>
              <w:rPr>
                <w:sz w:val="20"/>
                <w:szCs w:val="20"/>
                <w:color w:val="auto"/>
              </w:rPr>
            </w:pPr>
            <w:r>
              <w:rPr>
                <w:rFonts w:ascii="Arial" w:cs="Arial" w:eastAsia="Arial" w:hAnsi="Arial"/>
                <w:sz w:val="12"/>
                <w:szCs w:val="12"/>
                <w:b w:val="1"/>
                <w:bCs w:val="1"/>
                <w:color w:val="auto"/>
              </w:rPr>
              <w:t>(US$)</w:t>
            </w:r>
          </w:p>
        </w:tc>
        <w:tc>
          <w:tcPr>
            <w:tcW w:w="80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39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Options outstanding as of beginning of the period</w:t>
            </w:r>
          </w:p>
        </w:tc>
        <w:tc>
          <w:tcPr>
            <w:tcW w:w="2080" w:type="dxa"/>
            <w:vAlign w:val="bottom"/>
            <w:gridSpan w:val="2"/>
            <w:shd w:val="clear" w:color="auto" w:fill="CCEEFF"/>
          </w:tcPr>
          <w:p>
            <w:pPr>
              <w:jc w:val="right"/>
              <w:ind w:right="138"/>
              <w:spacing w:after="0" w:line="157" w:lineRule="exact"/>
              <w:rPr>
                <w:sz w:val="20"/>
                <w:szCs w:val="20"/>
                <w:color w:val="auto"/>
              </w:rPr>
            </w:pPr>
            <w:r>
              <w:rPr>
                <w:rFonts w:ascii="Arial" w:cs="Arial" w:eastAsia="Arial" w:hAnsi="Arial"/>
                <w:sz w:val="15"/>
                <w:szCs w:val="15"/>
                <w:color w:val="auto"/>
              </w:rPr>
              <w:t>18.01</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210,740</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33"/>
              <w:spacing w:after="0" w:line="157" w:lineRule="exact"/>
              <w:rPr>
                <w:sz w:val="20"/>
                <w:szCs w:val="20"/>
                <w:color w:val="auto"/>
              </w:rPr>
            </w:pPr>
            <w:r>
              <w:rPr>
                <w:rFonts w:ascii="Arial" w:cs="Arial" w:eastAsia="Arial" w:hAnsi="Arial"/>
                <w:sz w:val="15"/>
                <w:szCs w:val="15"/>
                <w:color w:val="auto"/>
              </w:rPr>
              <w:t>6.81</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54,575</w:t>
            </w:r>
          </w:p>
        </w:tc>
        <w:tc>
          <w:tcPr>
            <w:tcW w:w="20" w:type="dxa"/>
            <w:vAlign w:val="bottom"/>
          </w:tcPr>
          <w:p>
            <w:pPr>
              <w:spacing w:after="0"/>
              <w:rPr>
                <w:sz w:val="13"/>
                <w:szCs w:val="13"/>
                <w:color w:val="auto"/>
              </w:rPr>
            </w:pPr>
          </w:p>
        </w:tc>
      </w:tr>
      <w:tr>
        <w:trPr>
          <w:trHeight w:val="166"/>
        </w:trPr>
        <w:tc>
          <w:tcPr>
            <w:tcW w:w="3960" w:type="dxa"/>
            <w:vAlign w:val="bottom"/>
          </w:tcPr>
          <w:p>
            <w:pPr>
              <w:ind w:left="20"/>
              <w:spacing w:after="0" w:line="166" w:lineRule="exact"/>
              <w:rPr>
                <w:sz w:val="20"/>
                <w:szCs w:val="20"/>
                <w:color w:val="auto"/>
              </w:rPr>
            </w:pPr>
            <w:r>
              <w:rPr>
                <w:rFonts w:ascii="Arial" w:cs="Arial" w:eastAsia="Arial" w:hAnsi="Arial"/>
                <w:sz w:val="15"/>
                <w:szCs w:val="15"/>
                <w:color w:val="auto"/>
              </w:rPr>
              <w:t>Options granted during the period</w:t>
            </w:r>
          </w:p>
        </w:tc>
        <w:tc>
          <w:tcPr>
            <w:tcW w:w="940" w:type="dxa"/>
            <w:vAlign w:val="bottom"/>
          </w:tcPr>
          <w:p>
            <w:pPr>
              <w:spacing w:after="0"/>
              <w:rPr>
                <w:sz w:val="14"/>
                <w:szCs w:val="14"/>
                <w:color w:val="auto"/>
              </w:rPr>
            </w:pPr>
          </w:p>
        </w:tc>
        <w:tc>
          <w:tcPr>
            <w:tcW w:w="1140" w:type="dxa"/>
            <w:vAlign w:val="bottom"/>
          </w:tcPr>
          <w:p>
            <w:pPr>
              <w:jc w:val="right"/>
              <w:ind w:right="138"/>
              <w:spacing w:after="0" w:line="166"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33"/>
              <w:spacing w:after="0" w:line="166" w:lineRule="exact"/>
              <w:rPr>
                <w:sz w:val="20"/>
                <w:szCs w:val="20"/>
                <w:color w:val="auto"/>
              </w:rPr>
            </w:pPr>
            <w:r>
              <w:rPr>
                <w:rFonts w:ascii="Arial" w:cs="Arial" w:eastAsia="Arial" w:hAnsi="Arial"/>
                <w:sz w:val="15"/>
                <w:szCs w:val="15"/>
                <w:color w:val="auto"/>
              </w:rPr>
              <w:t>20.86</w:t>
            </w:r>
          </w:p>
        </w:tc>
        <w:tc>
          <w:tcPr>
            <w:tcW w:w="800" w:type="dxa"/>
            <w:vAlign w:val="bottom"/>
          </w:tcPr>
          <w:p>
            <w:pPr>
              <w:jc w:val="right"/>
              <w:spacing w:after="0" w:line="166" w:lineRule="exact"/>
              <w:rPr>
                <w:sz w:val="20"/>
                <w:szCs w:val="20"/>
                <w:color w:val="auto"/>
              </w:rPr>
            </w:pPr>
            <w:r>
              <w:rPr>
                <w:rFonts w:ascii="Arial" w:cs="Arial" w:eastAsia="Arial" w:hAnsi="Arial"/>
                <w:sz w:val="15"/>
                <w:szCs w:val="15"/>
                <w:color w:val="auto"/>
              </w:rPr>
              <w:t>167,935</w:t>
            </w:r>
          </w:p>
        </w:tc>
        <w:tc>
          <w:tcPr>
            <w:tcW w:w="20" w:type="dxa"/>
            <w:vAlign w:val="bottom"/>
          </w:tcPr>
          <w:p>
            <w:pPr>
              <w:spacing w:after="0"/>
              <w:rPr>
                <w:sz w:val="14"/>
                <w:szCs w:val="14"/>
                <w:color w:val="auto"/>
              </w:rPr>
            </w:pPr>
          </w:p>
        </w:tc>
      </w:tr>
      <w:tr>
        <w:trPr>
          <w:trHeight w:val="166"/>
        </w:trPr>
        <w:tc>
          <w:tcPr>
            <w:tcW w:w="39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Options exercised during the period</w:t>
            </w:r>
          </w:p>
        </w:tc>
        <w:tc>
          <w:tcPr>
            <w:tcW w:w="2080" w:type="dxa"/>
            <w:vAlign w:val="bottom"/>
            <w:gridSpan w:val="2"/>
            <w:shd w:val="clear" w:color="auto" w:fill="CCEEFF"/>
          </w:tcPr>
          <w:p>
            <w:pPr>
              <w:jc w:val="right"/>
              <w:ind w:right="138"/>
              <w:spacing w:after="0" w:line="166" w:lineRule="exact"/>
              <w:rPr>
                <w:sz w:val="20"/>
                <w:szCs w:val="20"/>
                <w:color w:val="auto"/>
              </w:rPr>
            </w:pPr>
            <w:r>
              <w:rPr>
                <w:rFonts w:ascii="Arial" w:cs="Arial" w:eastAsia="Arial" w:hAnsi="Arial"/>
                <w:sz w:val="15"/>
                <w:szCs w:val="15"/>
                <w:color w:val="auto"/>
              </w:rPr>
              <w:t>6.81</w:t>
            </w:r>
          </w:p>
        </w:tc>
        <w:tc>
          <w:tcPr>
            <w:tcW w:w="9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(16,743)</w:t>
            </w:r>
          </w:p>
        </w:tc>
        <w:tc>
          <w:tcPr>
            <w:tcW w:w="1140" w:type="dxa"/>
            <w:vAlign w:val="bottom"/>
            <w:shd w:val="clear" w:color="auto" w:fill="CCEEFF"/>
          </w:tcPr>
          <w:p>
            <w:pPr>
              <w:jc w:val="right"/>
              <w:ind w:right="133"/>
              <w:spacing w:after="0" w:line="166" w:lineRule="exact"/>
              <w:rPr>
                <w:sz w:val="20"/>
                <w:szCs w:val="20"/>
                <w:color w:val="auto"/>
              </w:rPr>
            </w:pPr>
            <w:r>
              <w:rPr>
                <w:rFonts w:ascii="Arial" w:cs="Arial" w:eastAsia="Arial" w:hAnsi="Arial"/>
                <w:sz w:val="15"/>
                <w:szCs w:val="15"/>
                <w:color w:val="auto"/>
              </w:rPr>
              <w:t>6.81</w:t>
            </w:r>
          </w:p>
        </w:tc>
        <w:tc>
          <w:tcPr>
            <w:tcW w:w="8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(11,770)</w:t>
            </w:r>
          </w:p>
        </w:tc>
        <w:tc>
          <w:tcPr>
            <w:tcW w:w="20" w:type="dxa"/>
            <w:vAlign w:val="bottom"/>
          </w:tcPr>
          <w:p>
            <w:pPr>
              <w:spacing w:after="0"/>
              <w:rPr>
                <w:sz w:val="14"/>
                <w:szCs w:val="14"/>
                <w:color w:val="auto"/>
              </w:rPr>
            </w:pPr>
          </w:p>
        </w:tc>
      </w:tr>
      <w:tr>
        <w:trPr>
          <w:trHeight w:val="166"/>
        </w:trPr>
        <w:tc>
          <w:tcPr>
            <w:tcW w:w="3960" w:type="dxa"/>
            <w:vAlign w:val="bottom"/>
          </w:tcPr>
          <w:p>
            <w:pPr>
              <w:ind w:left="20"/>
              <w:spacing w:after="0" w:line="166" w:lineRule="exact"/>
              <w:rPr>
                <w:sz w:val="20"/>
                <w:szCs w:val="20"/>
                <w:color w:val="auto"/>
              </w:rPr>
            </w:pPr>
            <w:r>
              <w:rPr>
                <w:rFonts w:ascii="Arial" w:cs="Arial" w:eastAsia="Arial" w:hAnsi="Arial"/>
                <w:sz w:val="15"/>
                <w:szCs w:val="15"/>
                <w:color w:val="auto"/>
              </w:rPr>
              <w:t>Options forfeited / cancelled / expired during the period</w:t>
            </w:r>
          </w:p>
        </w:tc>
        <w:tc>
          <w:tcPr>
            <w:tcW w:w="2080" w:type="dxa"/>
            <w:vAlign w:val="bottom"/>
            <w:gridSpan w:val="2"/>
          </w:tcPr>
          <w:p>
            <w:pPr>
              <w:jc w:val="right"/>
              <w:ind w:right="138"/>
              <w:spacing w:after="0" w:line="166" w:lineRule="exact"/>
              <w:rPr>
                <w:sz w:val="20"/>
                <w:szCs w:val="20"/>
                <w:color w:val="auto"/>
              </w:rPr>
            </w:pPr>
            <w:r>
              <w:rPr>
                <w:rFonts w:ascii="Arial" w:cs="Arial" w:eastAsia="Arial" w:hAnsi="Arial"/>
                <w:sz w:val="15"/>
                <w:szCs w:val="15"/>
                <w:color w:val="auto"/>
              </w:rPr>
              <w:t>20.86</w:t>
            </w:r>
          </w:p>
        </w:tc>
        <w:tc>
          <w:tcPr>
            <w:tcW w:w="9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(6,324)</w:t>
            </w:r>
          </w:p>
        </w:tc>
        <w:tc>
          <w:tcPr>
            <w:tcW w:w="1140" w:type="dxa"/>
            <w:vAlign w:val="bottom"/>
          </w:tcPr>
          <w:p>
            <w:pPr>
              <w:jc w:val="right"/>
              <w:ind w:right="133"/>
              <w:spacing w:after="0" w:line="166"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7"/>
        </w:trPr>
        <w:tc>
          <w:tcPr>
            <w:tcW w:w="3960" w:type="dxa"/>
            <w:vAlign w:val="bottom"/>
            <w:tcBorders>
              <w:top w:val="single" w:sz="8" w:color="CCEEFF"/>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color w:val="auto"/>
              </w:rPr>
              <w:t>Options outstanding as of end of the period</w:t>
            </w:r>
          </w:p>
        </w:tc>
        <w:tc>
          <w:tcPr>
            <w:tcW w:w="2080" w:type="dxa"/>
            <w:vAlign w:val="bottom"/>
            <w:tcBorders>
              <w:top w:val="single" w:sz="8" w:color="CCEEFF"/>
              <w:bottom w:val="single" w:sz="8" w:color="CCEEFF"/>
            </w:tcBorders>
            <w:gridSpan w:val="2"/>
            <w:shd w:val="clear" w:color="auto" w:fill="CCEEFF"/>
          </w:tcPr>
          <w:p>
            <w:pPr>
              <w:jc w:val="right"/>
              <w:ind w:right="138"/>
              <w:spacing w:after="0" w:line="157" w:lineRule="exact"/>
              <w:rPr>
                <w:sz w:val="20"/>
                <w:szCs w:val="20"/>
                <w:color w:val="auto"/>
              </w:rPr>
            </w:pPr>
            <w:r>
              <w:rPr>
                <w:rFonts w:ascii="Arial" w:cs="Arial" w:eastAsia="Arial" w:hAnsi="Arial"/>
                <w:sz w:val="15"/>
                <w:szCs w:val="15"/>
                <w:color w:val="auto"/>
              </w:rPr>
              <w:t>18.91</w:t>
            </w:r>
          </w:p>
        </w:tc>
        <w:tc>
          <w:tcPr>
            <w:tcW w:w="8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187,673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jc w:val="right"/>
              <w:ind w:right="133"/>
              <w:spacing w:after="0" w:line="157" w:lineRule="exact"/>
              <w:rPr>
                <w:sz w:val="20"/>
                <w:szCs w:val="20"/>
                <w:color w:val="auto"/>
              </w:rPr>
            </w:pPr>
            <w:r>
              <w:rPr>
                <w:rFonts w:ascii="Arial" w:cs="Arial" w:eastAsia="Arial" w:hAnsi="Arial"/>
                <w:sz w:val="15"/>
                <w:szCs w:val="15"/>
                <w:color w:val="auto"/>
              </w:rPr>
              <w:t>18.01</w:t>
            </w:r>
          </w:p>
        </w:tc>
        <w:tc>
          <w:tcPr>
            <w:tcW w:w="8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210,740</w:t>
            </w:r>
          </w:p>
        </w:tc>
        <w:tc>
          <w:tcPr>
            <w:tcW w:w="20" w:type="dxa"/>
            <w:vAlign w:val="bottom"/>
          </w:tcPr>
          <w:p>
            <w:pPr>
              <w:spacing w:after="0"/>
              <w:rPr>
                <w:sz w:val="13"/>
                <w:szCs w:val="13"/>
                <w:color w:val="auto"/>
              </w:rPr>
            </w:pPr>
          </w:p>
        </w:tc>
      </w:tr>
      <w:tr>
        <w:trPr>
          <w:trHeight w:val="20"/>
        </w:trPr>
        <w:tc>
          <w:tcPr>
            <w:tcW w:w="3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3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3960" w:type="dxa"/>
            <w:vAlign w:val="bottom"/>
            <w:tcBorders>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Options exercisable as of end of the period</w:t>
            </w:r>
          </w:p>
        </w:tc>
        <w:tc>
          <w:tcPr>
            <w:tcW w:w="2080" w:type="dxa"/>
            <w:vAlign w:val="bottom"/>
            <w:tcBorders>
              <w:bottom w:val="single" w:sz="8" w:color="CCEEFF"/>
            </w:tcBorders>
            <w:gridSpan w:val="2"/>
            <w:shd w:val="clear" w:color="auto" w:fill="CCEEFF"/>
          </w:tcPr>
          <w:p>
            <w:pPr>
              <w:jc w:val="right"/>
              <w:ind w:right="138"/>
              <w:spacing w:after="0" w:line="166" w:lineRule="exact"/>
              <w:rPr>
                <w:sz w:val="20"/>
                <w:szCs w:val="20"/>
                <w:color w:val="auto"/>
              </w:rPr>
            </w:pPr>
            <w:r>
              <w:rPr>
                <w:rFonts w:ascii="Arial" w:cs="Arial" w:eastAsia="Arial" w:hAnsi="Arial"/>
                <w:sz w:val="15"/>
                <w:szCs w:val="15"/>
                <w:color w:val="auto"/>
              </w:rPr>
              <w:t>17.92</w:t>
            </w:r>
          </w:p>
        </w:tc>
        <w:tc>
          <w:tcPr>
            <w:tcW w:w="8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124,353</w:t>
            </w: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133"/>
              <w:spacing w:after="0" w:line="166" w:lineRule="exact"/>
              <w:rPr>
                <w:sz w:val="20"/>
                <w:szCs w:val="20"/>
                <w:color w:val="auto"/>
              </w:rPr>
            </w:pPr>
            <w:r>
              <w:rPr>
                <w:rFonts w:ascii="Arial" w:cs="Arial" w:eastAsia="Arial" w:hAnsi="Arial"/>
                <w:sz w:val="15"/>
                <w:szCs w:val="15"/>
                <w:color w:val="auto"/>
              </w:rPr>
              <w:t>12.90</w:t>
            </w:r>
          </w:p>
        </w:tc>
        <w:tc>
          <w:tcPr>
            <w:tcW w:w="8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95,660</w:t>
            </w:r>
          </w:p>
        </w:tc>
        <w:tc>
          <w:tcPr>
            <w:tcW w:w="2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39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690"/>
        </w:trPr>
        <w:tc>
          <w:tcPr>
            <w:tcW w:w="3960" w:type="dxa"/>
            <w:vAlign w:val="bottom"/>
          </w:tcPr>
          <w:p>
            <w:pPr>
              <w:spacing w:after="0"/>
              <w:rPr>
                <w:sz w:val="24"/>
                <w:szCs w:val="24"/>
                <w:color w:val="auto"/>
              </w:rPr>
            </w:pPr>
          </w:p>
        </w:tc>
        <w:tc>
          <w:tcPr>
            <w:tcW w:w="2080" w:type="dxa"/>
            <w:vAlign w:val="bottom"/>
            <w:gridSpan w:val="2"/>
          </w:tcPr>
          <w:p>
            <w:pPr>
              <w:jc w:val="right"/>
              <w:ind w:right="1338"/>
              <w:spacing w:after="0"/>
              <w:rPr>
                <w:sz w:val="20"/>
                <w:szCs w:val="20"/>
                <w:color w:val="auto"/>
              </w:rPr>
            </w:pPr>
            <w:r>
              <w:rPr>
                <w:rFonts w:ascii="Arial" w:cs="Arial" w:eastAsia="Arial" w:hAnsi="Arial"/>
                <w:sz w:val="15"/>
                <w:szCs w:val="15"/>
                <w:color w:val="auto"/>
              </w:rPr>
              <w:t>F-51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6" w:right="1440" w:bottom="1440" w:gutter="0" w:footer="0" w:header="0"/>
        </w:sectPr>
      </w:pPr>
    </w:p>
    <w:bookmarkStart w:id="175" w:name="page176"/>
    <w:bookmarkEnd w:id="17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weighted average fair value of the Phantom stock options as of June 30, 2022 is $5.59 (June 30, 2021: $13.84). For the year ended June 30, 2022, the Subsidiaries recognized an expense of share-based payment amounting to $0.03 million (June 30, 2021: $0.9 million). There were no Phantom Stock options with intrinsic value as of June 30, 2022. The liability under the Phantom stock option plan as of June 30, 2022 was $0.7 million and $0.3 million included as other non-current liabilities in Note 14 and payables in Note 15 respectively.</w:t>
      </w:r>
    </w:p>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As of June 30, 2022, the unrecognized compensation expense associated with the phantom stock plan is $0.3 million and it will be recognized over 21 months from the end of June 30, 2022.</w:t>
      </w:r>
    </w:p>
    <w:p>
      <w:pPr>
        <w:spacing w:after="0" w:line="135"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19.2.</w:t>
      </w:r>
      <w:r>
        <w:rPr>
          <w:sz w:val="20"/>
          <w:szCs w:val="20"/>
          <w:color w:val="auto"/>
        </w:rPr>
        <w:tab/>
      </w:r>
      <w:r>
        <w:rPr>
          <w:rFonts w:ascii="Arial" w:cs="Arial" w:eastAsia="Arial" w:hAnsi="Arial"/>
          <w:sz w:val="14"/>
          <w:szCs w:val="14"/>
          <w:b w:val="1"/>
          <w:bCs w:val="1"/>
          <w:color w:val="auto"/>
        </w:rPr>
        <w:t>2018 Restricted Stock Award Program</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On December 21, 2018, our board of directors and shareholders approved and adopted the Holding Company’s 2018 Restricted Share Plan (the “2018 RSA Plan”). The following description of the 2018 RSA Plan is as follows.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Purpose</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We believe that the 2018 RSA Plan will enable us to attract and retain the best available personnel for positions of substantial responsibility, to provide additional incentive to our employees, consultants and directors, and to promote the success of our business.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Types of Awards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2018 RSA Plan provides for grants of Restricted Share awards entitling recipients to acquire Class B Common Shares (“Restricted Shares”), subject to the right of the Holding Company to repurchase all or part of such Restricted Shares at their issue price or other stated or formula price (or to require forfeiture of such shares if issued at no cost) from the recipient in the event that conditions specified by our board of directors in the applicable Restricted Share award are not satisfied prior to the end of the applicable restriction period or periods established by our board of directors for such Restricted Share award.</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Eligibility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Selected employees, consultants or directors of our company or our affiliates will be eligible to receive non-statutory Restricted Share awards under the 2018 RSA Plan, but only employees of our company will be eligible to receive incentive stock awards.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Administration</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The 2018 RSA Plan is administered by our board of directors, a committee (or subcommittee) appointed by our board of directors, or any combination, as determined by our board of directors. Subject to the provisions of the 2018 RSA Plan and, in the case of a committee (or subcommittee), the specific duties delegated by our board of directors to such committee (or subcommittee), the administrator has the authority to, among other things, determine the per share fair market value of our common shares, select the individuals to whom awards may be granted; determine the number of shares covered by each award, approve the form(s) of agreement(s) and other related documents used under the 2018 RSA Plan, determine the terms and conditions of awards, amend outstanding awards, establish the terms of and implement an option exchange program, and construe and interpret the terms of the 2018 RSA Plan and any agreements related to awards granted under the 2018 RSA Plan. Our board of directors may also delegate authority to one of more of our officers to make awards under the 2018 RSA Plan.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76" w:name="page177"/>
    <w:bookmarkEnd w:id="17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Available Shares</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Subject to adjustment, Restricted Share awards may be granted under the Plan for up to 2,559,323.13 Class B common shares, $0.000111650536 par value per Class B common share, of the Group (the “Class B Common Shares”). Restricted Shares issued under the 2018 RSA Plan may consist in whole or in part of authorized but unissued shares or treasury shares.</w:t>
      </w:r>
    </w:p>
    <w:p>
      <w:pPr>
        <w:spacing w:after="0" w:line="14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This limit may be adjusted to reflect certain changes in our capitalization, such as share splits, reverse share splits, share dividends, recapitalizations, rights offerings, reorganizations, mergers, consolidations, spin-offs, split-ups and similar transactions.</w:t>
      </w:r>
    </w:p>
    <w:p>
      <w:pPr>
        <w:spacing w:after="0" w:line="135"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If any Restricted Share award expires or is forfeited in whole or in part (including as the result of Class B Common Shares subject to such Restricted Share award being repurchased by the Company pursuant to a contractual repurchase right or being forfeited back to the Company), the unused Class B Common Shares covered by such Restricted Share award shall again be available for the grant of Restricted Shares. Additionally, any Class B Common Shares delivered to the Company by a participant to either used to purchase additional Restricted Shares or to satisfy the applicable tax withholding obligations with respect to Restricted Shares (including shares retained from the Restricted Share award creating the tax obligation) shall be added back to the number of shares available for the future grant of Restricted Shares.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Restricted Shares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board of directors may grant Restricted Share awards entitling recipients to acquire Class B Common Shares (“Restricted Shares”), subject to the right of the Company to repurchase all or part of such Restricted Shares at their issue price or other stated or formula price (or to require forfeiture of such shares if issued at no cost) from the recipient in the event that conditions specified by the board of directors in the applicable Restricted Share award are not satisfied prior to the end of the applicable restriction period or periods established by the board of directors for such Restricted Share award.</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board of directors shall determine the terms and conditions of a Restricted Share award, including the conditions for vesting and repurchase (or forfeiture) and the issue price, if any.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Stockholder Rights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board of directors may, at any time, amend or terminate the 2018 RSA Plan but no amendment or termination may be made that would materially and adversely affect the rights of any participant under any outstanding award, without his or her consent.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Transferability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Subject to certain limited exceptions, awards granted under the 2018 RSA Plan may not be sold, pledged, assigned, hypothecated, transferred or disposed of in any manner other than by will or by the laws of descent or distribution.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77" w:name="page178"/>
    <w:bookmarkEnd w:id="17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Effective Date; Term</w:t>
      </w:r>
    </w:p>
    <w:p>
      <w:pPr>
        <w:spacing w:after="0" w:line="170"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The 2018 RSA Plan in December 2018 granted 2,373,374 shares, of which 721,596 shares vested on December 31, 2018. The remaining awards will vest between 13 months to 4 years, depending on the individual.</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Fair value of common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fair market value per share at the time of issuance was $0.61 which was derived from using the Monte Carlo simulation.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Expected term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expected term of shares granted is 3.84 years.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Volatility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Management used an average volatility of comparable companies of 26.0%.</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Expected dividends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Holding Company does not expect to pay any dividends in the future.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Risk-free rate</w:t>
      </w:r>
    </w:p>
    <w:p>
      <w:pPr>
        <w:spacing w:after="0" w:line="170"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The risk free rate is the continuously compounded United States nominal treasury rate corresponding to the term of the grant. The risk free rate used for computation of fair value of shares as of June 30, 2020 was 2.87%.</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has bifurcated the 2018 RSA Plan into three categories based on the vesting conditions and vesting period of the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Restricted Share awards:</w:t>
      </w:r>
    </w:p>
    <w:p>
      <w:pPr>
        <w:spacing w:after="0" w:line="156" w:lineRule="exact"/>
        <w:rPr>
          <w:sz w:val="20"/>
          <w:szCs w:val="20"/>
          <w:color w:val="auto"/>
        </w:rPr>
      </w:pPr>
    </w:p>
    <w:p>
      <w:pPr>
        <w:ind w:left="560" w:hanging="525"/>
        <w:spacing w:after="0"/>
        <w:tabs>
          <w:tab w:leader="none" w:pos="560" w:val="left"/>
        </w:tabs>
        <w:numPr>
          <w:ilvl w:val="0"/>
          <w:numId w:val="112"/>
        </w:numPr>
        <w:rPr>
          <w:rFonts w:ascii="Times New Roman" w:cs="Times New Roman" w:eastAsia="Times New Roman" w:hAnsi="Times New Roman"/>
          <w:sz w:val="15"/>
          <w:szCs w:val="15"/>
          <w:color w:val="auto"/>
        </w:rPr>
      </w:pPr>
      <w:r>
        <w:rPr>
          <w:rFonts w:ascii="Arial" w:cs="Arial" w:eastAsia="Arial" w:hAnsi="Arial"/>
          <w:sz w:val="15"/>
          <w:szCs w:val="15"/>
          <w:color w:val="auto"/>
        </w:rPr>
        <w:t>2018 RSA Plan – Non-Executive Management</w:t>
      </w:r>
    </w:p>
    <w:p>
      <w:pPr>
        <w:spacing w:after="0" w:line="17" w:lineRule="exact"/>
        <w:rPr>
          <w:rFonts w:ascii="Times New Roman" w:cs="Times New Roman" w:eastAsia="Times New Roman" w:hAnsi="Times New Roman"/>
          <w:sz w:val="15"/>
          <w:szCs w:val="15"/>
          <w:color w:val="auto"/>
        </w:rPr>
      </w:pPr>
    </w:p>
    <w:p>
      <w:pPr>
        <w:ind w:left="560" w:hanging="525"/>
        <w:spacing w:after="0"/>
        <w:tabs>
          <w:tab w:leader="none" w:pos="560" w:val="left"/>
        </w:tabs>
        <w:numPr>
          <w:ilvl w:val="0"/>
          <w:numId w:val="112"/>
        </w:numPr>
        <w:rPr>
          <w:rFonts w:ascii="Times New Roman" w:cs="Times New Roman" w:eastAsia="Times New Roman" w:hAnsi="Times New Roman"/>
          <w:sz w:val="15"/>
          <w:szCs w:val="15"/>
          <w:color w:val="auto"/>
        </w:rPr>
      </w:pPr>
      <w:r>
        <w:rPr>
          <w:rFonts w:ascii="Arial" w:cs="Arial" w:eastAsia="Arial" w:hAnsi="Arial"/>
          <w:sz w:val="15"/>
          <w:szCs w:val="15"/>
          <w:color w:val="auto"/>
        </w:rPr>
        <w:t>2018 RSA Plan Non-Performance – Executive Leadership Team</w:t>
      </w:r>
    </w:p>
    <w:p>
      <w:pPr>
        <w:spacing w:after="0" w:line="3" w:lineRule="exact"/>
        <w:rPr>
          <w:rFonts w:ascii="Times New Roman" w:cs="Times New Roman" w:eastAsia="Times New Roman" w:hAnsi="Times New Roman"/>
          <w:sz w:val="15"/>
          <w:szCs w:val="15"/>
          <w:color w:val="auto"/>
        </w:rPr>
      </w:pPr>
    </w:p>
    <w:p>
      <w:pPr>
        <w:ind w:left="560" w:hanging="525"/>
        <w:spacing w:after="0"/>
        <w:tabs>
          <w:tab w:leader="none" w:pos="560" w:val="left"/>
        </w:tabs>
        <w:numPr>
          <w:ilvl w:val="0"/>
          <w:numId w:val="112"/>
        </w:numPr>
        <w:rPr>
          <w:rFonts w:ascii="Times New Roman" w:cs="Times New Roman" w:eastAsia="Times New Roman" w:hAnsi="Times New Roman"/>
          <w:sz w:val="15"/>
          <w:szCs w:val="15"/>
          <w:color w:val="auto"/>
        </w:rPr>
      </w:pPr>
      <w:r>
        <w:rPr>
          <w:rFonts w:ascii="Arial" w:cs="Arial" w:eastAsia="Arial" w:hAnsi="Arial"/>
          <w:sz w:val="15"/>
          <w:szCs w:val="15"/>
          <w:color w:val="auto"/>
        </w:rPr>
        <w:t>2018 RSA Plan Performance – Executive Leadership Team</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78" w:name="page179"/>
    <w:bookmarkEnd w:id="17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2018 RSA Plan – Non-Executive Management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summary of the Restricted Share awards (“RSAs”) outstanding and exercisable as of June 30, 2022 and June 30, 2021 are as follows: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9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752"/>
              <w:spacing w:after="0"/>
              <w:rPr>
                <w:sz w:val="20"/>
                <w:szCs w:val="20"/>
                <w:color w:val="auto"/>
              </w:rPr>
            </w:pPr>
            <w:r>
              <w:rPr>
                <w:rFonts w:ascii="Arial" w:cs="Arial" w:eastAsia="Arial" w:hAnsi="Arial"/>
                <w:sz w:val="12"/>
                <w:szCs w:val="12"/>
                <w:b w:val="1"/>
                <w:bCs w:val="1"/>
                <w:color w:val="auto"/>
                <w:w w:val="89"/>
              </w:rPr>
              <w:t>2022</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754"/>
              <w:spacing w:after="0"/>
              <w:rPr>
                <w:sz w:val="20"/>
                <w:szCs w:val="20"/>
                <w:color w:val="auto"/>
              </w:rPr>
            </w:pPr>
            <w:r>
              <w:rPr>
                <w:rFonts w:ascii="Arial" w:cs="Arial" w:eastAsia="Arial" w:hAnsi="Arial"/>
                <w:sz w:val="12"/>
                <w:szCs w:val="12"/>
                <w:b w:val="1"/>
                <w:bCs w:val="1"/>
                <w:color w:val="auto"/>
                <w:w w:val="89"/>
              </w:rPr>
              <w:t>2021</w:t>
            </w:r>
          </w:p>
        </w:tc>
        <w:tc>
          <w:tcPr>
            <w:tcW w:w="20" w:type="dxa"/>
            <w:vAlign w:val="bottom"/>
          </w:tcPr>
          <w:p>
            <w:pPr>
              <w:spacing w:after="0"/>
              <w:rPr>
                <w:sz w:val="12"/>
                <w:szCs w:val="12"/>
                <w:color w:val="auto"/>
              </w:rPr>
            </w:pPr>
          </w:p>
        </w:tc>
      </w:tr>
      <w:tr>
        <w:trPr>
          <w:trHeight w:val="116"/>
        </w:trPr>
        <w:tc>
          <w:tcPr>
            <w:tcW w:w="498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7"/>
              </w:rPr>
              <w:t>Grant Date</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7"/>
              </w:rPr>
              <w:t>Grant Date</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3"/>
        </w:trPr>
        <w:tc>
          <w:tcPr>
            <w:tcW w:w="49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Fair Market</w:t>
            </w:r>
          </w:p>
        </w:tc>
        <w:tc>
          <w:tcPr>
            <w:tcW w:w="200" w:type="dxa"/>
            <w:vAlign w:val="bottom"/>
          </w:tcPr>
          <w:p>
            <w:pPr>
              <w:spacing w:after="0"/>
              <w:rPr>
                <w:sz w:val="11"/>
                <w:szCs w:val="11"/>
                <w:color w:val="auto"/>
              </w:rPr>
            </w:pPr>
          </w:p>
        </w:tc>
        <w:tc>
          <w:tcPr>
            <w:tcW w:w="1040" w:type="dxa"/>
            <w:vAlign w:val="bottom"/>
            <w:gridSpan w:val="2"/>
          </w:tcPr>
          <w:p>
            <w:pPr>
              <w:jc w:val="right"/>
              <w:ind w:right="480"/>
              <w:spacing w:after="0" w:line="133" w:lineRule="exact"/>
              <w:rPr>
                <w:sz w:val="20"/>
                <w:szCs w:val="20"/>
                <w:color w:val="auto"/>
              </w:rPr>
            </w:pPr>
            <w:r>
              <w:rPr>
                <w:rFonts w:ascii="Arial" w:cs="Arial" w:eastAsia="Arial" w:hAnsi="Arial"/>
                <w:sz w:val="12"/>
                <w:szCs w:val="12"/>
                <w:b w:val="1"/>
                <w:bCs w:val="1"/>
                <w:color w:val="auto"/>
              </w:rPr>
              <w:t>RSA</w:t>
            </w: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Fair Market</w:t>
            </w:r>
          </w:p>
        </w:tc>
        <w:tc>
          <w:tcPr>
            <w:tcW w:w="200" w:type="dxa"/>
            <w:vAlign w:val="bottom"/>
          </w:tcPr>
          <w:p>
            <w:pPr>
              <w:spacing w:after="0"/>
              <w:rPr>
                <w:sz w:val="11"/>
                <w:szCs w:val="11"/>
                <w:color w:val="auto"/>
              </w:rPr>
            </w:pPr>
          </w:p>
        </w:tc>
        <w:tc>
          <w:tcPr>
            <w:tcW w:w="900" w:type="dxa"/>
            <w:vAlign w:val="bottom"/>
            <w:gridSpan w:val="2"/>
          </w:tcPr>
          <w:p>
            <w:pPr>
              <w:jc w:val="center"/>
              <w:ind w:right="20"/>
              <w:spacing w:after="0" w:line="133" w:lineRule="exact"/>
              <w:rPr>
                <w:sz w:val="20"/>
                <w:szCs w:val="20"/>
                <w:color w:val="auto"/>
              </w:rPr>
            </w:pPr>
            <w:r>
              <w:rPr>
                <w:rFonts w:ascii="Arial" w:cs="Arial" w:eastAsia="Arial" w:hAnsi="Arial"/>
                <w:sz w:val="12"/>
                <w:szCs w:val="12"/>
                <w:b w:val="1"/>
                <w:bCs w:val="1"/>
                <w:color w:val="auto"/>
                <w:w w:val="94"/>
              </w:rPr>
              <w:t>RSA</w:t>
            </w:r>
          </w:p>
        </w:tc>
      </w:tr>
      <w:tr>
        <w:trPr>
          <w:trHeight w:val="141"/>
        </w:trPr>
        <w:tc>
          <w:tcPr>
            <w:tcW w:w="49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Value</w:t>
            </w:r>
          </w:p>
        </w:tc>
        <w:tc>
          <w:tcPr>
            <w:tcW w:w="200" w:type="dxa"/>
            <w:vAlign w:val="bottom"/>
          </w:tcPr>
          <w:p>
            <w:pPr>
              <w:spacing w:after="0"/>
              <w:rPr>
                <w:sz w:val="12"/>
                <w:szCs w:val="12"/>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(Number)</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3"/>
              </w:rPr>
              <w:t>Value</w:t>
            </w:r>
          </w:p>
        </w:tc>
        <w:tc>
          <w:tcPr>
            <w:tcW w:w="20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w:t>
            </w:r>
          </w:p>
        </w:tc>
      </w:tr>
      <w:tr>
        <w:trPr>
          <w:trHeight w:val="124"/>
        </w:trPr>
        <w:tc>
          <w:tcPr>
            <w:tcW w:w="49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rPr>
              <w:t>(US$)</w:t>
            </w:r>
          </w:p>
        </w:tc>
        <w:tc>
          <w:tcPr>
            <w:tcW w:w="2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w w:val="95"/>
              </w:rPr>
              <w:t>(US$)</w:t>
            </w:r>
          </w:p>
        </w:tc>
        <w:tc>
          <w:tcPr>
            <w:tcW w:w="2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498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RSAs outstanding as of beginning of the period</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0.61</w:t>
            </w:r>
          </w:p>
        </w:tc>
        <w:tc>
          <w:tcPr>
            <w:tcW w:w="10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638,385</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0.61</w:t>
            </w:r>
          </w:p>
        </w:tc>
        <w:tc>
          <w:tcPr>
            <w:tcW w:w="10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650,193</w:t>
            </w:r>
          </w:p>
        </w:tc>
        <w:tc>
          <w:tcPr>
            <w:tcW w:w="20" w:type="dxa"/>
            <w:vAlign w:val="bottom"/>
          </w:tcPr>
          <w:p>
            <w:pPr>
              <w:spacing w:after="0"/>
              <w:rPr>
                <w:sz w:val="13"/>
                <w:szCs w:val="13"/>
                <w:color w:val="auto"/>
              </w:rPr>
            </w:pPr>
          </w:p>
        </w:tc>
      </w:tr>
      <w:tr>
        <w:trPr>
          <w:trHeight w:val="166"/>
        </w:trPr>
        <w:tc>
          <w:tcPr>
            <w:tcW w:w="4980" w:type="dxa"/>
            <w:vAlign w:val="bottom"/>
          </w:tcPr>
          <w:p>
            <w:pPr>
              <w:ind w:left="20"/>
              <w:spacing w:after="0" w:line="166" w:lineRule="exact"/>
              <w:rPr>
                <w:sz w:val="20"/>
                <w:szCs w:val="20"/>
                <w:color w:val="auto"/>
              </w:rPr>
            </w:pPr>
            <w:r>
              <w:rPr>
                <w:rFonts w:ascii="Arial" w:cs="Arial" w:eastAsia="Arial" w:hAnsi="Arial"/>
                <w:sz w:val="15"/>
                <w:szCs w:val="15"/>
                <w:color w:val="auto"/>
              </w:rPr>
              <w:t>RSAs granted during the period</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0.61</w:t>
            </w:r>
          </w:p>
        </w:tc>
        <w:tc>
          <w:tcPr>
            <w:tcW w:w="10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280</w:t>
            </w:r>
          </w:p>
        </w:tc>
        <w:tc>
          <w:tcPr>
            <w:tcW w:w="20" w:type="dxa"/>
            <w:vAlign w:val="bottom"/>
          </w:tcPr>
          <w:p>
            <w:pPr>
              <w:spacing w:after="0"/>
              <w:rPr>
                <w:sz w:val="14"/>
                <w:szCs w:val="14"/>
                <w:color w:val="auto"/>
              </w:rPr>
            </w:pPr>
          </w:p>
        </w:tc>
      </w:tr>
      <w:tr>
        <w:trPr>
          <w:trHeight w:val="166"/>
        </w:trPr>
        <w:tc>
          <w:tcPr>
            <w:tcW w:w="49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RSAs exercised during the period</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77"/>
        </w:trPr>
        <w:tc>
          <w:tcPr>
            <w:tcW w:w="4980" w:type="dxa"/>
            <w:vAlign w:val="bottom"/>
          </w:tcPr>
          <w:p>
            <w:pPr>
              <w:ind w:left="20"/>
              <w:spacing w:after="0"/>
              <w:rPr>
                <w:sz w:val="20"/>
                <w:szCs w:val="20"/>
                <w:color w:val="auto"/>
              </w:rPr>
            </w:pPr>
            <w:r>
              <w:rPr>
                <w:rFonts w:ascii="Arial" w:cs="Arial" w:eastAsia="Arial" w:hAnsi="Arial"/>
                <w:sz w:val="15"/>
                <w:szCs w:val="15"/>
                <w:color w:val="auto"/>
              </w:rPr>
              <w:t>RSAs forfeited / cancelled / expired during the period</w:t>
            </w:r>
          </w:p>
        </w:tc>
        <w:tc>
          <w:tcPr>
            <w:tcW w:w="820" w:type="dxa"/>
            <w:vAlign w:val="bottom"/>
          </w:tcPr>
          <w:p>
            <w:pPr>
              <w:jc w:val="right"/>
              <w:spacing w:after="0"/>
              <w:rPr>
                <w:sz w:val="20"/>
                <w:szCs w:val="20"/>
                <w:color w:val="auto"/>
              </w:rPr>
            </w:pPr>
            <w:r>
              <w:rPr>
                <w:rFonts w:ascii="Arial" w:cs="Arial" w:eastAsia="Arial" w:hAnsi="Arial"/>
                <w:sz w:val="15"/>
                <w:szCs w:val="15"/>
                <w:color w:val="auto"/>
              </w:rPr>
              <w:t>0.61</w:t>
            </w:r>
          </w:p>
        </w:tc>
        <w:tc>
          <w:tcPr>
            <w:tcW w:w="1240" w:type="dxa"/>
            <w:vAlign w:val="bottom"/>
            <w:gridSpan w:val="3"/>
          </w:tcPr>
          <w:p>
            <w:pPr>
              <w:jc w:val="right"/>
              <w:ind w:right="160"/>
              <w:spacing w:after="0"/>
              <w:rPr>
                <w:sz w:val="20"/>
                <w:szCs w:val="20"/>
                <w:color w:val="auto"/>
              </w:rPr>
            </w:pPr>
            <w:r>
              <w:rPr>
                <w:rFonts w:ascii="Arial" w:cs="Arial" w:eastAsia="Arial" w:hAnsi="Arial"/>
                <w:sz w:val="15"/>
                <w:szCs w:val="15"/>
                <w:color w:val="auto"/>
              </w:rPr>
              <w:t>(3,013)</w:t>
            </w:r>
          </w:p>
        </w:tc>
        <w:tc>
          <w:tcPr>
            <w:tcW w:w="820" w:type="dxa"/>
            <w:vAlign w:val="bottom"/>
          </w:tcPr>
          <w:p>
            <w:pPr>
              <w:jc w:val="right"/>
              <w:spacing w:after="0"/>
              <w:rPr>
                <w:sz w:val="20"/>
                <w:szCs w:val="20"/>
                <w:color w:val="auto"/>
              </w:rPr>
            </w:pPr>
            <w:r>
              <w:rPr>
                <w:rFonts w:ascii="Arial" w:cs="Arial" w:eastAsia="Arial" w:hAnsi="Arial"/>
                <w:sz w:val="15"/>
                <w:szCs w:val="15"/>
                <w:color w:val="auto"/>
              </w:rPr>
              <w:t>0.61</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(12,088)</w:t>
            </w:r>
          </w:p>
        </w:tc>
        <w:tc>
          <w:tcPr>
            <w:tcW w:w="20" w:type="dxa"/>
            <w:vAlign w:val="bottom"/>
          </w:tcPr>
          <w:p>
            <w:pPr>
              <w:spacing w:after="0"/>
              <w:rPr>
                <w:sz w:val="15"/>
                <w:szCs w:val="15"/>
                <w:color w:val="auto"/>
              </w:rPr>
            </w:pPr>
          </w:p>
        </w:tc>
      </w:tr>
      <w:tr>
        <w:trPr>
          <w:trHeight w:val="157"/>
        </w:trPr>
        <w:tc>
          <w:tcPr>
            <w:tcW w:w="4980" w:type="dxa"/>
            <w:vAlign w:val="bottom"/>
            <w:tcBorders>
              <w:top w:val="single" w:sz="8" w:color="CCEEFF"/>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color w:val="auto"/>
              </w:rPr>
              <w:t>RSAs outstanding as of end of the period</w:t>
            </w:r>
          </w:p>
        </w:tc>
        <w:tc>
          <w:tcPr>
            <w:tcW w:w="820" w:type="dxa"/>
            <w:vAlign w:val="bottom"/>
            <w:tcBorders>
              <w:top w:val="single" w:sz="8" w:color="CCEEFF"/>
              <w:bottom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0.61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635,372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0.61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638,385</w:t>
            </w:r>
          </w:p>
        </w:tc>
        <w:tc>
          <w:tcPr>
            <w:tcW w:w="20" w:type="dxa"/>
            <w:vAlign w:val="bottom"/>
          </w:tcPr>
          <w:p>
            <w:pPr>
              <w:spacing w:after="0"/>
              <w:rPr>
                <w:sz w:val="13"/>
                <w:szCs w:val="13"/>
                <w:color w:val="auto"/>
              </w:rPr>
            </w:pPr>
          </w:p>
        </w:tc>
      </w:tr>
      <w:tr>
        <w:trPr>
          <w:trHeight w:val="20"/>
        </w:trPr>
        <w:tc>
          <w:tcPr>
            <w:tcW w:w="4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4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49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RSAs vested as of end of the period</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0.61</w:t>
            </w:r>
          </w:p>
        </w:tc>
        <w:tc>
          <w:tcPr>
            <w:tcW w:w="10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626,966</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0.61</w:t>
            </w:r>
          </w:p>
        </w:tc>
        <w:tc>
          <w:tcPr>
            <w:tcW w:w="10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587,756</w:t>
            </w:r>
          </w:p>
        </w:tc>
        <w:tc>
          <w:tcPr>
            <w:tcW w:w="20" w:type="dxa"/>
            <w:vAlign w:val="bottom"/>
          </w:tcPr>
          <w:p>
            <w:pPr>
              <w:spacing w:after="0"/>
              <w:rPr>
                <w:sz w:val="14"/>
                <w:szCs w:val="14"/>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4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928,124 Restricted Share awards were granted under the 2018 RSA Plan in December 31, 2018 that vest over time, with an initial portion vesting at December 31, 2018 and the remainder vesting equally on a monthly basis for a period of 13 months to four years.</w:t>
      </w:r>
    </w:p>
    <w:p>
      <w:pPr>
        <w:spacing w:after="0" w:line="135"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As of June 30, 2022 and June 30, 2021, 626,966, or 98.7% and 587,756, or 92.1% respectively, of the outstanding Restricted Share awards have vested. The Company recognized the amount of stock compensation expense for Restricted Share awards initially vesting on the first vesting date. The total expense recognized during the fiscal year ended June 30, 2022 and June 30, 2021 was $0.01 million and $0.03 million, respectively.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As of June 30, 2022, the compensation expense associated with the Restricted Share Plan award is fully recognized.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2018 RSA Plan Non-Performance – Executive Leadership Team</w:t>
      </w:r>
    </w:p>
    <w:p>
      <w:pPr>
        <w:spacing w:after="0" w:line="170" w:lineRule="exact"/>
        <w:rPr>
          <w:sz w:val="20"/>
          <w:szCs w:val="20"/>
          <w:color w:val="auto"/>
        </w:rPr>
      </w:pPr>
    </w:p>
    <w:p>
      <w:pPr>
        <w:jc w:val="both"/>
        <w:ind w:left="40" w:right="39"/>
        <w:spacing w:after="0" w:line="236" w:lineRule="auto"/>
        <w:rPr>
          <w:sz w:val="20"/>
          <w:szCs w:val="20"/>
          <w:color w:val="auto"/>
        </w:rPr>
      </w:pPr>
      <w:r>
        <w:rPr>
          <w:rFonts w:ascii="Arial" w:cs="Arial" w:eastAsia="Arial" w:hAnsi="Arial"/>
          <w:sz w:val="15"/>
          <w:szCs w:val="15"/>
          <w:color w:val="auto"/>
        </w:rPr>
        <w:t>Members of executive management are primarily based in the United States. All U.S.-based members of executive management have filed an 83(b) election, which provides that such equity be taxed by the Internal Revenue Service (the “IRS”) at the time of grant, rather than at the time of vesting and shall result in such Restricted Share awards being taxed as capital gains rather than ordinary income. All U.S. members of executive leadership team have purchased the Restricted Shares through a promissory note, which is subject to 3% interest (the “Notes”). The Notes are considered to be a related party loan (see Related Party Transactions, Note 23). The Notes are a 50% / 50% split between recourse and non–recourse, with the non-recourse portion being secured by those Restricted Shares issued to the borrower. The Group did not record the expense of the both recourse and non–recourse components.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79" w:name="page180"/>
    <w:bookmarkEnd w:id="17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 summary of the Restricted Share awards outstanding and exercisable as of June 30, 2022 and June 30, 2021 are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0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2022</w:t>
            </w:r>
          </w:p>
        </w:tc>
        <w:tc>
          <w:tcPr>
            <w:tcW w:w="6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2021</w:t>
            </w:r>
          </w:p>
        </w:tc>
        <w:tc>
          <w:tcPr>
            <w:tcW w:w="740" w:type="dxa"/>
            <w:vAlign w:val="bottom"/>
            <w:tcBorders>
              <w:top w:val="single" w:sz="8" w:color="auto"/>
            </w:tcBorders>
          </w:tcPr>
          <w:p>
            <w:pPr>
              <w:spacing w:after="0"/>
              <w:rPr>
                <w:sz w:val="12"/>
                <w:szCs w:val="12"/>
                <w:color w:val="auto"/>
              </w:rPr>
            </w:pPr>
          </w:p>
        </w:tc>
      </w:tr>
      <w:tr>
        <w:trPr>
          <w:trHeight w:val="116"/>
        </w:trPr>
        <w:tc>
          <w:tcPr>
            <w:tcW w:w="500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140"/>
              <w:spacing w:after="0" w:line="116" w:lineRule="exact"/>
              <w:rPr>
                <w:sz w:val="20"/>
                <w:szCs w:val="20"/>
                <w:color w:val="auto"/>
              </w:rPr>
            </w:pPr>
            <w:r>
              <w:rPr>
                <w:rFonts w:ascii="Arial" w:cs="Arial" w:eastAsia="Arial" w:hAnsi="Arial"/>
                <w:sz w:val="12"/>
                <w:szCs w:val="12"/>
                <w:b w:val="1"/>
                <w:bCs w:val="1"/>
                <w:color w:val="auto"/>
                <w:w w:val="97"/>
              </w:rPr>
              <w:t>Grant Date</w:t>
            </w: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7"/>
              </w:rPr>
              <w:t>Grant Date</w:t>
            </w:r>
          </w:p>
        </w:tc>
        <w:tc>
          <w:tcPr>
            <w:tcW w:w="740" w:type="dxa"/>
            <w:vAlign w:val="bottom"/>
            <w:tcBorders>
              <w:top w:val="single" w:sz="8" w:color="auto"/>
            </w:tcBorders>
          </w:tcPr>
          <w:p>
            <w:pPr>
              <w:spacing w:after="0"/>
              <w:rPr>
                <w:sz w:val="10"/>
                <w:szCs w:val="10"/>
                <w:color w:val="auto"/>
              </w:rPr>
            </w:pPr>
          </w:p>
        </w:tc>
      </w:tr>
      <w:tr>
        <w:trPr>
          <w:trHeight w:val="133"/>
        </w:trPr>
        <w:tc>
          <w:tcPr>
            <w:tcW w:w="5000" w:type="dxa"/>
            <w:vAlign w:val="bottom"/>
          </w:tcPr>
          <w:p>
            <w:pPr>
              <w:spacing w:after="0"/>
              <w:rPr>
                <w:sz w:val="11"/>
                <w:szCs w:val="11"/>
                <w:color w:val="auto"/>
              </w:rPr>
            </w:pPr>
          </w:p>
        </w:tc>
        <w:tc>
          <w:tcPr>
            <w:tcW w:w="118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6"/>
              </w:rPr>
              <w:t>Fair Market</w:t>
            </w:r>
          </w:p>
        </w:tc>
        <w:tc>
          <w:tcPr>
            <w:tcW w:w="680" w:type="dxa"/>
            <w:vAlign w:val="bottom"/>
          </w:tcPr>
          <w:p>
            <w:pPr>
              <w:jc w:val="right"/>
              <w:ind w:right="130"/>
              <w:spacing w:after="0" w:line="133" w:lineRule="exact"/>
              <w:rPr>
                <w:sz w:val="20"/>
                <w:szCs w:val="20"/>
                <w:color w:val="auto"/>
              </w:rPr>
            </w:pPr>
            <w:r>
              <w:rPr>
                <w:rFonts w:ascii="Arial" w:cs="Arial" w:eastAsia="Arial" w:hAnsi="Arial"/>
                <w:sz w:val="12"/>
                <w:szCs w:val="12"/>
                <w:b w:val="1"/>
                <w:bCs w:val="1"/>
                <w:color w:val="auto"/>
              </w:rPr>
              <w:t>RSA</w:t>
            </w:r>
          </w:p>
        </w:tc>
        <w:tc>
          <w:tcPr>
            <w:tcW w:w="200" w:type="dxa"/>
            <w:vAlign w:val="bottom"/>
          </w:tcPr>
          <w:p>
            <w:pPr>
              <w:spacing w:after="0"/>
              <w:rPr>
                <w:sz w:val="11"/>
                <w:szCs w:val="11"/>
                <w:color w:val="auto"/>
              </w:rPr>
            </w:pPr>
          </w:p>
        </w:tc>
        <w:tc>
          <w:tcPr>
            <w:tcW w:w="114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Fair Market</w:t>
            </w:r>
          </w:p>
        </w:tc>
        <w:tc>
          <w:tcPr>
            <w:tcW w:w="740" w:type="dxa"/>
            <w:vAlign w:val="bottom"/>
          </w:tcPr>
          <w:p>
            <w:pPr>
              <w:jc w:val="right"/>
              <w:ind w:right="230"/>
              <w:spacing w:after="0" w:line="133" w:lineRule="exact"/>
              <w:rPr>
                <w:sz w:val="20"/>
                <w:szCs w:val="20"/>
                <w:color w:val="auto"/>
              </w:rPr>
            </w:pPr>
            <w:r>
              <w:rPr>
                <w:rFonts w:ascii="Arial" w:cs="Arial" w:eastAsia="Arial" w:hAnsi="Arial"/>
                <w:sz w:val="12"/>
                <w:szCs w:val="12"/>
                <w:b w:val="1"/>
                <w:bCs w:val="1"/>
                <w:color w:val="auto"/>
              </w:rPr>
              <w:t>RSA</w:t>
            </w:r>
          </w:p>
        </w:tc>
      </w:tr>
      <w:tr>
        <w:trPr>
          <w:trHeight w:val="141"/>
        </w:trPr>
        <w:tc>
          <w:tcPr>
            <w:tcW w:w="50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93"/>
              </w:rPr>
              <w:t>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3"/>
              </w:rPr>
              <w:t>Value</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(Number)</w:t>
            </w:r>
          </w:p>
        </w:tc>
      </w:tr>
      <w:tr>
        <w:trPr>
          <w:trHeight w:val="124"/>
        </w:trPr>
        <w:tc>
          <w:tcPr>
            <w:tcW w:w="50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right"/>
              <w:ind w:right="600"/>
              <w:spacing w:after="0" w:line="124" w:lineRule="exact"/>
              <w:rPr>
                <w:sz w:val="20"/>
                <w:szCs w:val="20"/>
                <w:color w:val="auto"/>
              </w:rPr>
            </w:pPr>
            <w:r>
              <w:rPr>
                <w:rFonts w:ascii="Arial" w:cs="Arial" w:eastAsia="Arial" w:hAnsi="Arial"/>
                <w:sz w:val="12"/>
                <w:szCs w:val="12"/>
                <w:b w:val="1"/>
                <w:bCs w:val="1"/>
                <w:color w:val="auto"/>
              </w:rPr>
              <w:t>(US$)</w:t>
            </w: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560"/>
              <w:spacing w:after="0" w:line="124" w:lineRule="exact"/>
              <w:rPr>
                <w:sz w:val="20"/>
                <w:szCs w:val="20"/>
                <w:color w:val="auto"/>
              </w:rPr>
            </w:pPr>
            <w:r>
              <w:rPr>
                <w:rFonts w:ascii="Arial" w:cs="Arial" w:eastAsia="Arial" w:hAnsi="Arial"/>
                <w:sz w:val="12"/>
                <w:szCs w:val="12"/>
                <w:b w:val="1"/>
                <w:bCs w:val="1"/>
                <w:color w:val="auto"/>
              </w:rPr>
              <w:t>(US$)</w:t>
            </w:r>
          </w:p>
        </w:tc>
        <w:tc>
          <w:tcPr>
            <w:tcW w:w="740" w:type="dxa"/>
            <w:vAlign w:val="bottom"/>
            <w:tcBorders>
              <w:bottom w:val="single" w:sz="8" w:color="auto"/>
            </w:tcBorders>
          </w:tcPr>
          <w:p>
            <w:pPr>
              <w:spacing w:after="0"/>
              <w:rPr>
                <w:sz w:val="10"/>
                <w:szCs w:val="10"/>
                <w:color w:val="auto"/>
              </w:rPr>
            </w:pPr>
          </w:p>
        </w:tc>
      </w:tr>
      <w:tr>
        <w:trPr>
          <w:trHeight w:val="157"/>
        </w:trPr>
        <w:tc>
          <w:tcPr>
            <w:tcW w:w="500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RSAs outstanding as of beginning of the period</w:t>
            </w:r>
          </w:p>
        </w:tc>
        <w:tc>
          <w:tcPr>
            <w:tcW w:w="1040" w:type="dxa"/>
            <w:vAlign w:val="bottom"/>
            <w:shd w:val="clear" w:color="auto" w:fill="CCEEFF"/>
          </w:tcPr>
          <w:p>
            <w:pPr>
              <w:jc w:val="right"/>
              <w:ind w:right="173"/>
              <w:spacing w:after="0" w:line="157" w:lineRule="exact"/>
              <w:rPr>
                <w:sz w:val="20"/>
                <w:szCs w:val="20"/>
                <w:color w:val="auto"/>
              </w:rPr>
            </w:pPr>
            <w:r>
              <w:rPr>
                <w:rFonts w:ascii="Arial" w:cs="Arial" w:eastAsia="Arial" w:hAnsi="Arial"/>
                <w:sz w:val="15"/>
                <w:szCs w:val="15"/>
                <w:color w:val="auto"/>
              </w:rPr>
              <w:t>0.61</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918,719</w:t>
            </w:r>
          </w:p>
        </w:tc>
        <w:tc>
          <w:tcPr>
            <w:tcW w:w="1240" w:type="dxa"/>
            <w:vAlign w:val="bottom"/>
            <w:gridSpan w:val="2"/>
            <w:shd w:val="clear" w:color="auto" w:fill="CCEEFF"/>
          </w:tcPr>
          <w:p>
            <w:pPr>
              <w:jc w:val="right"/>
              <w:ind w:right="175"/>
              <w:spacing w:after="0" w:line="157" w:lineRule="exact"/>
              <w:rPr>
                <w:sz w:val="20"/>
                <w:szCs w:val="20"/>
                <w:color w:val="auto"/>
              </w:rPr>
            </w:pPr>
            <w:r>
              <w:rPr>
                <w:rFonts w:ascii="Arial" w:cs="Arial" w:eastAsia="Arial" w:hAnsi="Arial"/>
                <w:sz w:val="15"/>
                <w:szCs w:val="15"/>
                <w:color w:val="auto"/>
              </w:rPr>
              <w:t>0.61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918,719</w:t>
            </w:r>
          </w:p>
        </w:tc>
      </w:tr>
      <w:tr>
        <w:trPr>
          <w:trHeight w:val="166"/>
        </w:trPr>
        <w:tc>
          <w:tcPr>
            <w:tcW w:w="5000" w:type="dxa"/>
            <w:vAlign w:val="bottom"/>
          </w:tcPr>
          <w:p>
            <w:pPr>
              <w:ind w:left="20"/>
              <w:spacing w:after="0" w:line="166" w:lineRule="exact"/>
              <w:rPr>
                <w:sz w:val="20"/>
                <w:szCs w:val="20"/>
                <w:color w:val="auto"/>
              </w:rPr>
            </w:pPr>
            <w:r>
              <w:rPr>
                <w:rFonts w:ascii="Arial" w:cs="Arial" w:eastAsia="Arial" w:hAnsi="Arial"/>
                <w:sz w:val="15"/>
                <w:szCs w:val="15"/>
                <w:color w:val="auto"/>
              </w:rPr>
              <w:t>RSAs granted during the period</w:t>
            </w:r>
          </w:p>
        </w:tc>
        <w:tc>
          <w:tcPr>
            <w:tcW w:w="1180" w:type="dxa"/>
            <w:vAlign w:val="bottom"/>
            <w:gridSpan w:val="2"/>
          </w:tcPr>
          <w:p>
            <w:pPr>
              <w:jc w:val="right"/>
              <w:ind w:right="380"/>
              <w:spacing w:after="0" w:line="166"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340"/>
              <w:spacing w:after="0" w:line="16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500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RSAs exercised during the period</w:t>
            </w:r>
          </w:p>
        </w:tc>
        <w:tc>
          <w:tcPr>
            <w:tcW w:w="1180" w:type="dxa"/>
            <w:vAlign w:val="bottom"/>
            <w:gridSpan w:val="2"/>
            <w:shd w:val="clear" w:color="auto" w:fill="CCEEFF"/>
          </w:tcPr>
          <w:p>
            <w:pPr>
              <w:jc w:val="right"/>
              <w:ind w:right="380"/>
              <w:spacing w:after="0" w:line="166"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6"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r>
      <w:tr>
        <w:trPr>
          <w:trHeight w:val="177"/>
        </w:trPr>
        <w:tc>
          <w:tcPr>
            <w:tcW w:w="5000" w:type="dxa"/>
            <w:vAlign w:val="bottom"/>
          </w:tcPr>
          <w:p>
            <w:pPr>
              <w:ind w:left="20"/>
              <w:spacing w:after="0"/>
              <w:rPr>
                <w:sz w:val="20"/>
                <w:szCs w:val="20"/>
                <w:color w:val="auto"/>
              </w:rPr>
            </w:pPr>
            <w:r>
              <w:rPr>
                <w:rFonts w:ascii="Arial" w:cs="Arial" w:eastAsia="Arial" w:hAnsi="Arial"/>
                <w:sz w:val="15"/>
                <w:szCs w:val="15"/>
                <w:color w:val="auto"/>
              </w:rPr>
              <w:t>RSAs forfeited / cancelled / expired during the period</w:t>
            </w:r>
          </w:p>
        </w:tc>
        <w:tc>
          <w:tcPr>
            <w:tcW w:w="11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57"/>
        </w:trPr>
        <w:tc>
          <w:tcPr>
            <w:tcW w:w="5000" w:type="dxa"/>
            <w:vAlign w:val="bottom"/>
            <w:tcBorders>
              <w:top w:val="single" w:sz="8" w:color="CCEEFF"/>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color w:val="auto"/>
              </w:rPr>
              <w:t>RSAs outstanding as of end of the period</w:t>
            </w:r>
          </w:p>
        </w:tc>
        <w:tc>
          <w:tcPr>
            <w:tcW w:w="1040" w:type="dxa"/>
            <w:vAlign w:val="bottom"/>
            <w:tcBorders>
              <w:top w:val="single" w:sz="8" w:color="CCEEFF"/>
              <w:bottom w:val="single" w:sz="8" w:color="CCEEFF"/>
            </w:tcBorders>
            <w:shd w:val="clear" w:color="auto" w:fill="CCEEFF"/>
          </w:tcPr>
          <w:p>
            <w:pPr>
              <w:jc w:val="right"/>
              <w:ind w:right="173"/>
              <w:spacing w:after="0" w:line="157" w:lineRule="exact"/>
              <w:rPr>
                <w:sz w:val="20"/>
                <w:szCs w:val="20"/>
                <w:color w:val="auto"/>
              </w:rPr>
            </w:pPr>
            <w:r>
              <w:rPr>
                <w:rFonts w:ascii="Arial" w:cs="Arial" w:eastAsia="Arial" w:hAnsi="Arial"/>
                <w:sz w:val="15"/>
                <w:szCs w:val="15"/>
                <w:color w:val="auto"/>
              </w:rPr>
              <w:t>0.61</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918,719</w:t>
            </w:r>
          </w:p>
        </w:tc>
        <w:tc>
          <w:tcPr>
            <w:tcW w:w="1240" w:type="dxa"/>
            <w:vAlign w:val="bottom"/>
            <w:tcBorders>
              <w:top w:val="single" w:sz="8" w:color="CCEEFF"/>
              <w:bottom w:val="single" w:sz="8" w:color="CCEEFF"/>
            </w:tcBorders>
            <w:gridSpan w:val="2"/>
            <w:shd w:val="clear" w:color="auto" w:fill="CCEEFF"/>
          </w:tcPr>
          <w:p>
            <w:pPr>
              <w:jc w:val="right"/>
              <w:ind w:right="175"/>
              <w:spacing w:after="0" w:line="157" w:lineRule="exact"/>
              <w:rPr>
                <w:sz w:val="20"/>
                <w:szCs w:val="20"/>
                <w:color w:val="auto"/>
              </w:rPr>
            </w:pPr>
            <w:r>
              <w:rPr>
                <w:rFonts w:ascii="Arial" w:cs="Arial" w:eastAsia="Arial" w:hAnsi="Arial"/>
                <w:sz w:val="15"/>
                <w:szCs w:val="15"/>
                <w:color w:val="auto"/>
              </w:rPr>
              <w:t>0.61</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918,719</w:t>
            </w:r>
          </w:p>
        </w:tc>
      </w:tr>
      <w:tr>
        <w:trPr>
          <w:trHeight w:val="20"/>
        </w:trPr>
        <w:tc>
          <w:tcPr>
            <w:tcW w:w="5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39"/>
        </w:trPr>
        <w:tc>
          <w:tcPr>
            <w:tcW w:w="5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5000" w:type="dxa"/>
            <w:vAlign w:val="bottom"/>
            <w:tcBorders>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RSAs vested as of end of the period</w:t>
            </w:r>
          </w:p>
        </w:tc>
        <w:tc>
          <w:tcPr>
            <w:tcW w:w="1040" w:type="dxa"/>
            <w:vAlign w:val="bottom"/>
            <w:tcBorders>
              <w:bottom w:val="single" w:sz="8" w:color="CCEEFF"/>
            </w:tcBorders>
            <w:shd w:val="clear" w:color="auto" w:fill="CCEEFF"/>
          </w:tcPr>
          <w:p>
            <w:pPr>
              <w:jc w:val="right"/>
              <w:ind w:right="173"/>
              <w:spacing w:after="0" w:line="166" w:lineRule="exact"/>
              <w:rPr>
                <w:sz w:val="20"/>
                <w:szCs w:val="20"/>
                <w:color w:val="auto"/>
              </w:rPr>
            </w:pPr>
            <w:r>
              <w:rPr>
                <w:rFonts w:ascii="Arial" w:cs="Arial" w:eastAsia="Arial" w:hAnsi="Arial"/>
                <w:sz w:val="15"/>
                <w:szCs w:val="15"/>
                <w:color w:val="auto"/>
              </w:rPr>
              <w:t>0.61</w:t>
            </w: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918,719</w:t>
            </w:r>
          </w:p>
        </w:tc>
        <w:tc>
          <w:tcPr>
            <w:tcW w:w="1240" w:type="dxa"/>
            <w:vAlign w:val="bottom"/>
            <w:tcBorders>
              <w:bottom w:val="single" w:sz="8" w:color="CCEEFF"/>
            </w:tcBorders>
            <w:gridSpan w:val="2"/>
            <w:shd w:val="clear" w:color="auto" w:fill="CCEEFF"/>
          </w:tcPr>
          <w:p>
            <w:pPr>
              <w:jc w:val="right"/>
              <w:ind w:right="175"/>
              <w:spacing w:after="0" w:line="166" w:lineRule="exact"/>
              <w:rPr>
                <w:sz w:val="20"/>
                <w:szCs w:val="20"/>
                <w:color w:val="auto"/>
              </w:rPr>
            </w:pPr>
            <w:r>
              <w:rPr>
                <w:rFonts w:ascii="Arial" w:cs="Arial" w:eastAsia="Arial" w:hAnsi="Arial"/>
                <w:sz w:val="15"/>
                <w:szCs w:val="15"/>
                <w:color w:val="auto"/>
              </w:rPr>
              <w:t>0.61</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844,452</w:t>
            </w:r>
          </w:p>
        </w:tc>
      </w:tr>
      <w:tr>
        <w:trPr>
          <w:trHeight w:val="20"/>
        </w:trPr>
        <w:tc>
          <w:tcPr>
            <w:tcW w:w="5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50"/>
        </w:trPr>
        <w:tc>
          <w:tcPr>
            <w:tcW w:w="50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bl>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970,893 Restricted Share awards were granted under the 2018 RSA Plan in December 31, 2018 that vest over time, with an initial portion vesting at December 31, 2018 and the remainder vesting equally on a monthly basis for a period of 24 months to four years.</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of June 30, 2022 and June 30, 2021, 918,719, or 100.0% and 844,452, or 91.9%, respectively, of the outstanding Restricted Share awards have vested.</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2018 RSA Plan Performance – Executive Leadership Team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Performance-based Restricted Share awards vest based on certain performance criteria, which are:</w:t>
      </w:r>
    </w:p>
    <w:p>
      <w:pPr>
        <w:spacing w:after="0" w:line="170" w:lineRule="exact"/>
        <w:rPr>
          <w:sz w:val="20"/>
          <w:szCs w:val="20"/>
          <w:color w:val="auto"/>
        </w:rPr>
      </w:pPr>
    </w:p>
    <w:p>
      <w:pPr>
        <w:ind w:left="240" w:right="39" w:hanging="205"/>
        <w:spacing w:after="0"/>
        <w:tabs>
          <w:tab w:leader="none" w:pos="240" w:val="left"/>
        </w:tabs>
        <w:numPr>
          <w:ilvl w:val="0"/>
          <w:numId w:val="113"/>
        </w:numPr>
        <w:rPr>
          <w:rFonts w:ascii="Times New Roman" w:cs="Times New Roman" w:eastAsia="Times New Roman" w:hAnsi="Times New Roman"/>
          <w:sz w:val="15"/>
          <w:szCs w:val="15"/>
          <w:color w:val="auto"/>
        </w:rPr>
      </w:pPr>
      <w:r>
        <w:rPr>
          <w:rFonts w:ascii="Arial" w:cs="Arial" w:eastAsia="Arial" w:hAnsi="Arial"/>
          <w:sz w:val="15"/>
          <w:szCs w:val="15"/>
          <w:color w:val="auto"/>
        </w:rPr>
        <w:t>the consummation of a successful initial public offering on or before December 31, 2019: The restricted shares allotted to this criteria are 170,680.</w:t>
      </w:r>
    </w:p>
    <w:p>
      <w:pPr>
        <w:ind w:left="240" w:right="59" w:hanging="205"/>
        <w:spacing w:after="0" w:line="230" w:lineRule="auto"/>
        <w:tabs>
          <w:tab w:leader="none" w:pos="240" w:val="left"/>
        </w:tabs>
        <w:numPr>
          <w:ilvl w:val="0"/>
          <w:numId w:val="113"/>
        </w:numPr>
        <w:rPr>
          <w:rFonts w:ascii="Times New Roman" w:cs="Times New Roman" w:eastAsia="Times New Roman" w:hAnsi="Times New Roman"/>
          <w:sz w:val="15"/>
          <w:szCs w:val="15"/>
          <w:color w:val="auto"/>
        </w:rPr>
      </w:pPr>
      <w:r>
        <w:rPr>
          <w:rFonts w:ascii="Arial" w:cs="Arial" w:eastAsia="Arial" w:hAnsi="Arial"/>
          <w:sz w:val="15"/>
          <w:szCs w:val="15"/>
          <w:color w:val="auto"/>
        </w:rPr>
        <w:t>an initial public offering of the Group’s class A common shares, and thereafter, the average price per share traded in such public market equals or exceeds $17.42 per share at any point in time: The restricted shares allotted to this criteria are 103,264.</w:t>
      </w:r>
    </w:p>
    <w:p>
      <w:pPr>
        <w:ind w:left="240" w:right="59" w:hanging="205"/>
        <w:spacing w:after="0" w:line="239" w:lineRule="auto"/>
        <w:tabs>
          <w:tab w:leader="none" w:pos="240" w:val="left"/>
        </w:tabs>
        <w:numPr>
          <w:ilvl w:val="0"/>
          <w:numId w:val="113"/>
        </w:numPr>
        <w:rPr>
          <w:rFonts w:ascii="Times New Roman" w:cs="Times New Roman" w:eastAsia="Times New Roman" w:hAnsi="Times New Roman"/>
          <w:sz w:val="15"/>
          <w:szCs w:val="15"/>
          <w:color w:val="auto"/>
        </w:rPr>
      </w:pPr>
      <w:r>
        <w:rPr>
          <w:rFonts w:ascii="Arial" w:cs="Arial" w:eastAsia="Arial" w:hAnsi="Arial"/>
          <w:sz w:val="15"/>
          <w:szCs w:val="15"/>
          <w:color w:val="auto"/>
        </w:rPr>
        <w:t>meeting specific revenue and EBITDA targets during the period from January 1, 2019 to December 31, 2019: The restricted shares allotted to this criteria are 10,000.</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0" w:name="page181"/>
    <w:bookmarkEnd w:id="18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 summary of the Restricted Share awards outstanding and exercisable as of June 30, 2022 and June 30, 2021 are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1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2022</w:t>
            </w: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711"/>
              <w:spacing w:after="0"/>
              <w:rPr>
                <w:sz w:val="20"/>
                <w:szCs w:val="20"/>
                <w:color w:val="auto"/>
              </w:rPr>
            </w:pPr>
            <w:r>
              <w:rPr>
                <w:rFonts w:ascii="Arial" w:cs="Arial" w:eastAsia="Arial" w:hAnsi="Arial"/>
                <w:sz w:val="12"/>
                <w:szCs w:val="12"/>
                <w:b w:val="1"/>
                <w:bCs w:val="1"/>
                <w:color w:val="auto"/>
                <w:w w:val="89"/>
              </w:rPr>
              <w:t>2021</w:t>
            </w:r>
          </w:p>
        </w:tc>
      </w:tr>
      <w:tr>
        <w:trPr>
          <w:trHeight w:val="116"/>
        </w:trPr>
        <w:tc>
          <w:tcPr>
            <w:tcW w:w="5120" w:type="dxa"/>
            <w:vAlign w:val="bottom"/>
          </w:tcPr>
          <w:p>
            <w:pPr>
              <w:spacing w:after="0"/>
              <w:rPr>
                <w:sz w:val="10"/>
                <w:szCs w:val="10"/>
                <w:color w:val="auto"/>
              </w:rPr>
            </w:pPr>
          </w:p>
        </w:tc>
        <w:tc>
          <w:tcPr>
            <w:tcW w:w="1080" w:type="dxa"/>
            <w:vAlign w:val="bottom"/>
            <w:gridSpan w:val="2"/>
          </w:tcPr>
          <w:p>
            <w:pPr>
              <w:jc w:val="center"/>
              <w:ind w:right="280"/>
              <w:spacing w:after="0" w:line="116" w:lineRule="exact"/>
              <w:rPr>
                <w:sz w:val="20"/>
                <w:szCs w:val="20"/>
                <w:color w:val="auto"/>
              </w:rPr>
            </w:pPr>
            <w:r>
              <w:rPr>
                <w:rFonts w:ascii="Arial" w:cs="Arial" w:eastAsia="Arial" w:hAnsi="Arial"/>
                <w:sz w:val="12"/>
                <w:szCs w:val="12"/>
                <w:b w:val="1"/>
                <w:bCs w:val="1"/>
                <w:color w:val="auto"/>
                <w:w w:val="97"/>
              </w:rPr>
              <w:t>Grant Date</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7"/>
              </w:rPr>
              <w:t>Grant Date</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3"/>
        </w:trPr>
        <w:tc>
          <w:tcPr>
            <w:tcW w:w="5120" w:type="dxa"/>
            <w:vAlign w:val="bottom"/>
          </w:tcPr>
          <w:p>
            <w:pPr>
              <w:spacing w:after="0"/>
              <w:rPr>
                <w:sz w:val="11"/>
                <w:szCs w:val="11"/>
                <w:color w:val="auto"/>
              </w:rPr>
            </w:pPr>
          </w:p>
        </w:tc>
        <w:tc>
          <w:tcPr>
            <w:tcW w:w="108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9"/>
              </w:rPr>
              <w:t>Fair Market</w:t>
            </w:r>
          </w:p>
        </w:tc>
        <w:tc>
          <w:tcPr>
            <w:tcW w:w="720" w:type="dxa"/>
            <w:vAlign w:val="bottom"/>
          </w:tcPr>
          <w:p>
            <w:pPr>
              <w:jc w:val="right"/>
              <w:ind w:right="210"/>
              <w:spacing w:after="0" w:line="133" w:lineRule="exact"/>
              <w:rPr>
                <w:sz w:val="20"/>
                <w:szCs w:val="20"/>
                <w:color w:val="auto"/>
              </w:rPr>
            </w:pPr>
            <w:r>
              <w:rPr>
                <w:rFonts w:ascii="Arial" w:cs="Arial" w:eastAsia="Arial" w:hAnsi="Arial"/>
                <w:sz w:val="12"/>
                <w:szCs w:val="12"/>
                <w:b w:val="1"/>
                <w:bCs w:val="1"/>
                <w:color w:val="auto"/>
              </w:rPr>
              <w:t>RSA</w:t>
            </w:r>
          </w:p>
        </w:tc>
        <w:tc>
          <w:tcPr>
            <w:tcW w:w="20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Fair Market</w:t>
            </w:r>
          </w:p>
        </w:tc>
        <w:tc>
          <w:tcPr>
            <w:tcW w:w="240" w:type="dxa"/>
            <w:vAlign w:val="bottom"/>
          </w:tcPr>
          <w:p>
            <w:pPr>
              <w:spacing w:after="0"/>
              <w:rPr>
                <w:sz w:val="11"/>
                <w:szCs w:val="11"/>
                <w:color w:val="auto"/>
              </w:rPr>
            </w:pPr>
          </w:p>
        </w:tc>
        <w:tc>
          <w:tcPr>
            <w:tcW w:w="800" w:type="dxa"/>
            <w:vAlign w:val="bottom"/>
          </w:tcPr>
          <w:p>
            <w:pPr>
              <w:jc w:val="right"/>
              <w:ind w:right="211"/>
              <w:spacing w:after="0" w:line="133" w:lineRule="exact"/>
              <w:rPr>
                <w:sz w:val="20"/>
                <w:szCs w:val="20"/>
                <w:color w:val="auto"/>
              </w:rPr>
            </w:pPr>
            <w:r>
              <w:rPr>
                <w:rFonts w:ascii="Arial" w:cs="Arial" w:eastAsia="Arial" w:hAnsi="Arial"/>
                <w:sz w:val="12"/>
                <w:szCs w:val="12"/>
                <w:b w:val="1"/>
                <w:bCs w:val="1"/>
                <w:color w:val="auto"/>
              </w:rPr>
              <w:t>RSA</w:t>
            </w:r>
          </w:p>
        </w:tc>
      </w:tr>
      <w:tr>
        <w:trPr>
          <w:trHeight w:val="141"/>
        </w:trPr>
        <w:tc>
          <w:tcPr>
            <w:tcW w:w="5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3"/>
              </w:rPr>
              <w:t>Value</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(Number)</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rPr>
              <w:t>(Number)</w:t>
            </w:r>
          </w:p>
        </w:tc>
      </w:tr>
      <w:tr>
        <w:trPr>
          <w:trHeight w:val="124"/>
        </w:trPr>
        <w:tc>
          <w:tcPr>
            <w:tcW w:w="5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center"/>
              <w:ind w:right="260"/>
              <w:spacing w:after="0" w:line="124" w:lineRule="exact"/>
              <w:rPr>
                <w:sz w:val="20"/>
                <w:szCs w:val="20"/>
                <w:color w:val="auto"/>
              </w:rPr>
            </w:pPr>
            <w:r>
              <w:rPr>
                <w:rFonts w:ascii="Arial" w:cs="Arial" w:eastAsia="Arial" w:hAnsi="Arial"/>
                <w:sz w:val="12"/>
                <w:szCs w:val="12"/>
                <w:color w:val="auto"/>
                <w:w w:val="95"/>
              </w:rPr>
              <w:t>(US$)</w:t>
            </w: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(US$)</w:t>
            </w: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r>
        <w:trPr>
          <w:trHeight w:val="157"/>
        </w:trPr>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RSAs outstanding as of beginning of the period</w:t>
            </w:r>
          </w:p>
        </w:tc>
        <w:tc>
          <w:tcPr>
            <w:tcW w:w="1020" w:type="dxa"/>
            <w:vAlign w:val="bottom"/>
            <w:shd w:val="clear" w:color="auto" w:fill="CCEEFF"/>
          </w:tcPr>
          <w:p>
            <w:pPr>
              <w:jc w:val="right"/>
              <w:ind w:right="173"/>
              <w:spacing w:after="0" w:line="157" w:lineRule="exact"/>
              <w:rPr>
                <w:sz w:val="20"/>
                <w:szCs w:val="20"/>
                <w:color w:val="auto"/>
              </w:rPr>
            </w:pPr>
            <w:r>
              <w:rPr>
                <w:rFonts w:ascii="Arial" w:cs="Arial" w:eastAsia="Arial" w:hAnsi="Arial"/>
                <w:sz w:val="15"/>
                <w:szCs w:val="15"/>
                <w:color w:val="auto"/>
              </w:rPr>
              <w:t>0.61</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272,748</w:t>
            </w:r>
          </w:p>
        </w:tc>
        <w:tc>
          <w:tcPr>
            <w:tcW w:w="9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0.61</w:t>
            </w:r>
          </w:p>
        </w:tc>
        <w:tc>
          <w:tcPr>
            <w:tcW w:w="10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272,748</w:t>
            </w:r>
          </w:p>
        </w:tc>
      </w:tr>
      <w:tr>
        <w:trPr>
          <w:trHeight w:val="166"/>
        </w:trPr>
        <w:tc>
          <w:tcPr>
            <w:tcW w:w="5120" w:type="dxa"/>
            <w:vAlign w:val="bottom"/>
          </w:tcPr>
          <w:p>
            <w:pPr>
              <w:ind w:left="20"/>
              <w:spacing w:after="0" w:line="166" w:lineRule="exact"/>
              <w:rPr>
                <w:sz w:val="20"/>
                <w:szCs w:val="20"/>
                <w:color w:val="auto"/>
              </w:rPr>
            </w:pPr>
            <w:r>
              <w:rPr>
                <w:rFonts w:ascii="Arial" w:cs="Arial" w:eastAsia="Arial" w:hAnsi="Arial"/>
                <w:sz w:val="15"/>
                <w:szCs w:val="15"/>
                <w:color w:val="auto"/>
              </w:rPr>
              <w:t>RSAs granted during the period</w:t>
            </w:r>
          </w:p>
        </w:tc>
        <w:tc>
          <w:tcPr>
            <w:tcW w:w="1080" w:type="dxa"/>
            <w:vAlign w:val="bottom"/>
            <w:gridSpan w:val="2"/>
          </w:tcPr>
          <w:p>
            <w:pPr>
              <w:jc w:val="right"/>
              <w:ind w:right="300"/>
              <w:spacing w:after="0" w:line="166"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51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RSAs exercised during the period</w:t>
            </w:r>
          </w:p>
        </w:tc>
        <w:tc>
          <w:tcPr>
            <w:tcW w:w="1080" w:type="dxa"/>
            <w:vAlign w:val="bottom"/>
            <w:gridSpan w:val="2"/>
            <w:shd w:val="clear" w:color="auto" w:fill="CCEEFF"/>
          </w:tcPr>
          <w:p>
            <w:pPr>
              <w:jc w:val="right"/>
              <w:ind w:right="300"/>
              <w:spacing w:after="0" w:line="16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5120" w:type="dxa"/>
            <w:vAlign w:val="bottom"/>
          </w:tcPr>
          <w:p>
            <w:pPr>
              <w:ind w:left="20"/>
              <w:spacing w:after="0" w:line="166" w:lineRule="exact"/>
              <w:rPr>
                <w:sz w:val="20"/>
                <w:szCs w:val="20"/>
                <w:color w:val="auto"/>
              </w:rPr>
            </w:pPr>
            <w:r>
              <w:rPr>
                <w:rFonts w:ascii="Arial" w:cs="Arial" w:eastAsia="Arial" w:hAnsi="Arial"/>
                <w:sz w:val="15"/>
                <w:szCs w:val="15"/>
                <w:color w:val="auto"/>
              </w:rPr>
              <w:t>RSAs forfeited / cancelled / expired during the period</w:t>
            </w:r>
          </w:p>
        </w:tc>
        <w:tc>
          <w:tcPr>
            <w:tcW w:w="1080" w:type="dxa"/>
            <w:vAlign w:val="bottom"/>
            <w:gridSpan w:val="2"/>
          </w:tcPr>
          <w:p>
            <w:pPr>
              <w:jc w:val="right"/>
              <w:ind w:right="300"/>
              <w:spacing w:after="0" w:line="166"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r>
      <w:tr>
        <w:trPr>
          <w:trHeight w:val="157"/>
        </w:trPr>
        <w:tc>
          <w:tcPr>
            <w:tcW w:w="5120" w:type="dxa"/>
            <w:vAlign w:val="bottom"/>
            <w:tcBorders>
              <w:top w:val="single" w:sz="8" w:color="CCEEFF"/>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5"/>
                <w:szCs w:val="15"/>
                <w:color w:val="auto"/>
              </w:rPr>
              <w:t>RSAs outstanding as of end of the period</w:t>
            </w:r>
          </w:p>
        </w:tc>
        <w:tc>
          <w:tcPr>
            <w:tcW w:w="1020" w:type="dxa"/>
            <w:vAlign w:val="bottom"/>
            <w:tcBorders>
              <w:top w:val="single" w:sz="8" w:color="CCEEFF"/>
              <w:bottom w:val="single" w:sz="8" w:color="CCEEFF"/>
            </w:tcBorders>
            <w:shd w:val="clear" w:color="auto" w:fill="CCEEFF"/>
          </w:tcPr>
          <w:p>
            <w:pPr>
              <w:jc w:val="right"/>
              <w:ind w:right="173"/>
              <w:spacing w:after="0" w:line="157" w:lineRule="exact"/>
              <w:rPr>
                <w:sz w:val="20"/>
                <w:szCs w:val="20"/>
                <w:color w:val="auto"/>
              </w:rPr>
            </w:pPr>
            <w:r>
              <w:rPr>
                <w:rFonts w:ascii="Arial" w:cs="Arial" w:eastAsia="Arial" w:hAnsi="Arial"/>
                <w:sz w:val="15"/>
                <w:szCs w:val="15"/>
                <w:color w:val="auto"/>
              </w:rPr>
              <w:t>0.61</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272,748</w:t>
            </w:r>
          </w:p>
        </w:tc>
        <w:tc>
          <w:tcPr>
            <w:tcW w:w="980" w:type="dxa"/>
            <w:vAlign w:val="bottom"/>
            <w:tcBorders>
              <w:top w:val="single" w:sz="8" w:color="CCEEFF"/>
              <w:bottom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0.61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272,748</w:t>
            </w:r>
          </w:p>
        </w:tc>
      </w:tr>
      <w:tr>
        <w:trPr>
          <w:trHeight w:val="20"/>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9"/>
        </w:trPr>
        <w:tc>
          <w:tcPr>
            <w:tcW w:w="5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51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RSAs vested as of end of the period</w:t>
            </w:r>
          </w:p>
        </w:tc>
        <w:tc>
          <w:tcPr>
            <w:tcW w:w="1020" w:type="dxa"/>
            <w:vAlign w:val="bottom"/>
            <w:shd w:val="clear" w:color="auto" w:fill="CCEEFF"/>
          </w:tcPr>
          <w:p>
            <w:pPr>
              <w:jc w:val="right"/>
              <w:ind w:right="173"/>
              <w:spacing w:after="0" w:line="166" w:lineRule="exact"/>
              <w:rPr>
                <w:sz w:val="20"/>
                <w:szCs w:val="20"/>
                <w:color w:val="auto"/>
              </w:rPr>
            </w:pPr>
            <w:r>
              <w:rPr>
                <w:rFonts w:ascii="Arial" w:cs="Arial" w:eastAsia="Arial" w:hAnsi="Arial"/>
                <w:sz w:val="15"/>
                <w:szCs w:val="15"/>
                <w:color w:val="auto"/>
              </w:rPr>
              <w:t>0.61</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245,862</w:t>
            </w:r>
          </w:p>
        </w:tc>
        <w:tc>
          <w:tcPr>
            <w:tcW w:w="9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0.61</w:t>
            </w:r>
          </w:p>
        </w:tc>
        <w:tc>
          <w:tcPr>
            <w:tcW w:w="10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207,961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5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of June 30, 2022 and June 30, 2021, 245,862, or 90.1% and 207,961, or 76.3%, respectively, of the outstanding Restricted Share awards have vested.</w:t>
      </w:r>
    </w:p>
    <w:p>
      <w:pPr>
        <w:spacing w:after="0" w:line="135"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On December 23, 2019, the Company entered into amendments to the restricted share awards with certain members of management and directors (the ‘2019 RSA Amendments’) covering an aggregate of 103,264 restricted common shares. The terms of the original restricted share awards provided for vesting upon an initial public offering on a public exchange in the United States by December 31, 2019. The 2019 RSA Amendments provide for an extension of the date by which such initial public offering must occur to June 30, 2020. There would be no change in the fair value per share due to the modification. These RSA agreements were further amended on June 30, 2020 as referred below:</w:t>
      </w:r>
    </w:p>
    <w:p>
      <w:pPr>
        <w:spacing w:after="0" w:line="15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On January 28, 2020, the board of directors of the Company deemed certain performance triggers to be achieved with respect to restricted share awards with certain members of management and directors (the ‘2020 RSA Amendments’) covering an aggregate of 67,176 restricted common shares. The terms of the valuation trigger associated with such RSAs were not modified. The fair value of certain of the common shares subject to the RSAs were not changed due to the modification.</w:t>
      </w:r>
    </w:p>
    <w:p>
      <w:pPr>
        <w:spacing w:after="0" w:line="151" w:lineRule="exact"/>
        <w:rPr>
          <w:sz w:val="20"/>
          <w:szCs w:val="20"/>
          <w:color w:val="auto"/>
        </w:rPr>
      </w:pPr>
    </w:p>
    <w:p>
      <w:pPr>
        <w:jc w:val="both"/>
        <w:ind w:left="40" w:right="59"/>
        <w:spacing w:after="0" w:line="238" w:lineRule="auto"/>
        <w:rPr>
          <w:sz w:val="20"/>
          <w:szCs w:val="20"/>
          <w:color w:val="auto"/>
        </w:rPr>
      </w:pPr>
      <w:r>
        <w:rPr>
          <w:rFonts w:ascii="Arial" w:cs="Arial" w:eastAsia="Arial" w:hAnsi="Arial"/>
          <w:sz w:val="15"/>
          <w:szCs w:val="15"/>
          <w:color w:val="auto"/>
        </w:rPr>
        <w:t>On May 20, 2020, the Board of Directors approved extraordinary payment to the members of executive management, in the amount set forth for each individual, to be paid directly to the Company in satisfaction in full of the Promissory Note entered into by each individual at the time of issuance of Restricted Stock Award Plan, including a tax gross up to cover any tax implications that may result from repayment of such loan on behalf of the individual which shall be withheld and paid directly to the IRS and that such Promissory Note shall be effectively cancelled upon payment.</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On June 30, 2020, the Company entered into further amendments to the restricted share awards with certain members of management and directors (the ‘2020 RSA Amendments’) covering an aggregate of 78,264 restricted common shares. The terms of the original restricted share awards (amended by 2019 RSA amendments) provided for vesting upon an initial public offering on a public exchange in the United States by June 30, 2020. The 2020 RSA Amendments provide for an extension of the date by which such initial public offering must occur to December 31, 2020. The fair value per share were not changed due to this modification.</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Group will not issue further shares under this 2018 RSA plan and the remaining shares of 707,535 were transferred to the 2020 Long Term Incentive Plan (Note 19.4) on May 20, 2020.</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1" w:name="page182"/>
    <w:bookmarkEnd w:id="18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19.3.</w:t>
      </w:r>
      <w:r>
        <w:rPr>
          <w:sz w:val="20"/>
          <w:szCs w:val="20"/>
          <w:color w:val="auto"/>
        </w:rPr>
        <w:tab/>
      </w:r>
      <w:r>
        <w:rPr>
          <w:rFonts w:ascii="Arial" w:cs="Arial" w:eastAsia="Arial" w:hAnsi="Arial"/>
          <w:sz w:val="14"/>
          <w:szCs w:val="14"/>
          <w:b w:val="1"/>
          <w:bCs w:val="1"/>
          <w:color w:val="auto"/>
        </w:rPr>
        <w:t>Long term incentive plan</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On May 20, 2020, our board of directors and shareholders approved and adopted the Holding Company’s 2020 Long Term Incentive Plan (the “2020 LTIP”). Effective as of January 14, 2022, the LTIP was amended and restated to provide for an increase of an additional 700,000 shares available under the LTIP. The following description of the 2020 LTIP is as follows.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Purpose</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We believe that the 2020 LTIP will enable us to attract and retain the best available personnel for positions of substantial responsibility, to provide additional incentive to our employees, consultants and directors, and to promote the success of our business.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Types of Awards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2020 LTIP provides for grants of stock options and stock awards.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Eligibility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Selected employees, consultants or directors of our company or our subsidiaries will be eligible to receive non-statutory Restricted Share awards under the 2020 LTIP, but only employees of our company will be eligible to receive incentive stock awards.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Administration</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The 2020 LTIP is administered by our administrator appointed by our board of directors, or any combination, as determined by our board of directors. Subject to the provisions of the 2020 LTIP and, in the case of a committee (or subcommittee), the specific duties delegated by our board of directors to such committee (or subcommittee), the administrator has the authority to, among other things, determine the per share fair market value of our common shares, select the individuals to whom awards may be granted; determine the number of shares covered by each award, approve the form(s) of agreement(s) and other related documents used under the 2020 LTIP, determine the terms and conditions of awards, amend outstanding awards, establish the terms of and implement an option exchange program, and construe and interpret the terms of the 2020 LTIP and any agreements related to awards granted under the 2020 LTIP. Our board of directors may also delegate authority to one of more of our officers to make awards under the 2020 LTIP.</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Available Shares</w:t>
      </w:r>
    </w:p>
    <w:p>
      <w:pPr>
        <w:spacing w:after="0" w:line="170" w:lineRule="exact"/>
        <w:rPr>
          <w:sz w:val="20"/>
          <w:szCs w:val="20"/>
          <w:color w:val="auto"/>
        </w:rPr>
      </w:pPr>
    </w:p>
    <w:p>
      <w:pPr>
        <w:jc w:val="both"/>
        <w:ind w:left="40" w:right="39"/>
        <w:spacing w:after="0" w:line="254" w:lineRule="auto"/>
        <w:rPr>
          <w:sz w:val="20"/>
          <w:szCs w:val="20"/>
          <w:color w:val="auto"/>
        </w:rPr>
      </w:pPr>
      <w:r>
        <w:rPr>
          <w:rFonts w:ascii="Arial" w:cs="Arial" w:eastAsia="Arial" w:hAnsi="Arial"/>
          <w:sz w:val="14"/>
          <w:szCs w:val="14"/>
          <w:color w:val="auto"/>
        </w:rPr>
        <w:t>The number of common shares that we may issue with respect to awards granted under the 2020 LTIP will not exceed an aggregate of 1,987,326.13. This limit may be adjusted to reflect certain changes in our capitalization, such as share splits, reverse share splits, share dividends, recapitalizations, rights offerings, reorganizations, mergers, consolidations, spin-offs, split-ups and similar transactions. If an award expires or becomes unexercisable for any reason without having been exercised in full, or is surrendered pursuant to an option exchange program, the common shares subject to such award will be available for further awards under the 2020 LTIP. Common shares used to pay the exercise or purchase price of an award or tax obligations will be treated as not issued and will continue to be available under the 2020 LTIP. Common shares issued under the 2020 LTIP and later forfeited to us due to the failure to vest or repurchased by us at the original purchase price paid to us for such common shares will again be available for future grant under the 2020 LTIP.</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2" w:name="page183"/>
    <w:bookmarkEnd w:id="18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Stock Options</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2020 LTIP allows the administrator to grant incentive stock options, as that term is defined in section 422 of the Internal Revenue Code, or non-statutory stock options. Only our employees may receive incentive stock option awards. The term of each option may not exceed ten years. No incentive stock option or non-qualified stock option may have an exercise price less than the fair market value of a common share at the time of grant. Options will be exercisable at such time or times and subject to such terms and conditions as determined by the administrator at grant and the exercisability of such options may be accelerated by the administrator.</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2020 LTIP allows the administrator to grant restricted stock awards. Once the restricted stock is purchased or received, the participant will have the rights equivalent to those of a holder of our common shares, and will be a record holder when his or her purchase and the issuance of the common shares is entered upon the records of our duly authorized transfer agent. Unless otherwise determined by the administrator, we will have a right to repurchase any grants of restricted stock upon a recipient’s voluntary or involuntary termination of employment for any reason at a price equal to the original purchase price of such restricted stock.</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Stockholder Rights</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Our board of directors may, at any time, amend or terminate the 2020 LTIP but no amendment or termination may be made that would materially and adversely affect the rights of any participant under any outstanding award, without his or her consent.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Transferability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Subject to certain limited exceptions, awards granted under the 2020 LTIP may not be sold, pledged, assigned, hypothecated, transferred or disposed of in any manner other than by will or by the laws of descent or distribution.</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Fair value of common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grant date fair values of common shares issued under the 2020 LTIP range from $4.37 to $20.86 per share as of June 30, 2022.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Expected term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expected term of options granted is 5.3 – 10.0 years.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Volatility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Management used an average volatility of comparable listed companies of 29.4% - 47.7%.</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3" w:name="page184"/>
    <w:bookmarkEnd w:id="18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Expected dividends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Holding Company does not expect to pay any dividends in the future.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Risk-free rate</w:t>
      </w:r>
    </w:p>
    <w:p>
      <w:pPr>
        <w:spacing w:after="0" w:line="170"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The risk free rate is the continuously compounded United States nominal treasury rate corresponding to the term of the option. The risk free rate used for computation of fair value of options as of June 30, 2022 was 0.57% -2.00%.</w:t>
      </w:r>
    </w:p>
    <w:p>
      <w:pPr>
        <w:spacing w:after="0" w:line="135"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During the year ended June 30, 2022,178,800 options, 568,344 RSUs, 60,000 PSUs, and 12,500 RSAs were granted, 200,453 options were forfeited and 2,716 were exercised. The summary of awards granted during the year is as follows:</w:t>
      </w:r>
    </w:p>
    <w:p>
      <w:pPr>
        <w:spacing w:after="0" w:line="135" w:lineRule="exact"/>
        <w:rPr>
          <w:sz w:val="20"/>
          <w:szCs w:val="20"/>
          <w:color w:val="auto"/>
        </w:rPr>
      </w:pPr>
    </w:p>
    <w:p>
      <w:pPr>
        <w:ind w:left="580" w:right="59" w:hanging="258"/>
        <w:spacing w:after="0"/>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12,500 RSA’s were granted in August 2021 with an initial vesting of 25% after one year and the remaining to vest equally over 36 months.</w:t>
      </w:r>
    </w:p>
    <w:p>
      <w:pPr>
        <w:ind w:left="580" w:right="59" w:hanging="258"/>
        <w:spacing w:after="0" w:line="230" w:lineRule="auto"/>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35,000 options were granted in August 2021 with an exercise price of $20.11, vesting of 25% after one year and the remaining to vest equally over 36 months.</w:t>
      </w:r>
    </w:p>
    <w:p>
      <w:pPr>
        <w:ind w:left="580" w:hanging="258"/>
        <w:spacing w:after="0"/>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60,000 PSU’s were granted in August 2021 with vesting based upon satisfaction of market-based performance triggers.</w:t>
      </w:r>
    </w:p>
    <w:p>
      <w:pPr>
        <w:spacing w:after="0" w:line="3" w:lineRule="exact"/>
        <w:rPr>
          <w:rFonts w:ascii="Times New Roman" w:cs="Times New Roman" w:eastAsia="Times New Roman" w:hAnsi="Times New Roman"/>
          <w:sz w:val="15"/>
          <w:szCs w:val="15"/>
          <w:color w:val="auto"/>
        </w:rPr>
      </w:pPr>
    </w:p>
    <w:p>
      <w:pPr>
        <w:ind w:left="580" w:right="59" w:hanging="258"/>
        <w:spacing w:after="0" w:line="230" w:lineRule="auto"/>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60,000 options were granted in August 2021 with an exercise price of $20.11, vesting based upon satisfaction of market-based performance triggers.</w:t>
      </w:r>
    </w:p>
    <w:p>
      <w:pPr>
        <w:ind w:left="580" w:right="59" w:hanging="258"/>
        <w:spacing w:after="0" w:line="230" w:lineRule="auto"/>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13,000 options were granted in November 2021, 5,000 with an exercise price of $18.32 and 8,000 with an exercise price of $17.60, all with an initial vesting of 25% after one year and the remaining to vest equally over 36 months.</w:t>
      </w:r>
    </w:p>
    <w:p>
      <w:pPr>
        <w:ind w:left="580" w:right="39" w:hanging="258"/>
        <w:spacing w:after="0" w:line="230" w:lineRule="auto"/>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45,800 options were granted in December 2021 with an exercise price of $13.25 and initial vesting of 25% after one year and the remaining to vest equally over 36 months.</w:t>
      </w:r>
    </w:p>
    <w:p>
      <w:pPr>
        <w:ind w:left="580" w:right="39" w:hanging="258"/>
        <w:spacing w:after="0" w:line="230" w:lineRule="auto"/>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10,000 options were granted in December 2021 with an exercise price of $15.18 and initial vesting of 25% after one year and the remaining to vest equally over 36 months.</w:t>
      </w:r>
    </w:p>
    <w:p>
      <w:pPr>
        <w:ind w:left="580" w:right="59" w:hanging="258"/>
        <w:spacing w:after="0" w:line="230" w:lineRule="auto"/>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15,000 options were granted in February 2022 with an exercise price of $13.87 with vesting based upon satisfaction of performance obligations.</w:t>
      </w:r>
    </w:p>
    <w:p>
      <w:pPr>
        <w:ind w:left="580" w:hanging="258"/>
        <w:spacing w:after="0"/>
        <w:tabs>
          <w:tab w:leader="none" w:pos="580" w:val="left"/>
        </w:tabs>
        <w:numPr>
          <w:ilvl w:val="0"/>
          <w:numId w:val="114"/>
        </w:numPr>
        <w:rPr>
          <w:rFonts w:ascii="Times New Roman" w:cs="Times New Roman" w:eastAsia="Times New Roman" w:hAnsi="Times New Roman"/>
          <w:sz w:val="15"/>
          <w:szCs w:val="15"/>
          <w:color w:val="auto"/>
        </w:rPr>
      </w:pPr>
      <w:r>
        <w:rPr>
          <w:rFonts w:ascii="Arial" w:cs="Arial" w:eastAsia="Arial" w:hAnsi="Arial"/>
          <w:sz w:val="15"/>
          <w:szCs w:val="15"/>
          <w:color w:val="auto"/>
        </w:rPr>
        <w:t>568,344 RSU’s were granted in April 2022 with vesting based upon satisfaction of performance triggers.</w:t>
      </w:r>
    </w:p>
    <w:p>
      <w:pPr>
        <w:spacing w:after="0" w:line="156"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During the year ended June 30, 2021, 510,143 options and 15,000 RSAs were granted, 16,215 options were forfeited and 1,442 were exercised. The summary of awards granted during the year is as follows:</w:t>
      </w:r>
    </w:p>
    <w:p>
      <w:pPr>
        <w:spacing w:after="0" w:line="135" w:lineRule="exact"/>
        <w:rPr>
          <w:sz w:val="20"/>
          <w:szCs w:val="20"/>
          <w:color w:val="auto"/>
        </w:rPr>
      </w:pPr>
    </w:p>
    <w:p>
      <w:pPr>
        <w:ind w:left="580" w:right="39" w:hanging="258"/>
        <w:spacing w:after="0"/>
        <w:tabs>
          <w:tab w:leader="none" w:pos="580" w:val="left"/>
        </w:tabs>
        <w:numPr>
          <w:ilvl w:val="0"/>
          <w:numId w:val="115"/>
        </w:numPr>
        <w:rPr>
          <w:rFonts w:ascii="Times New Roman" w:cs="Times New Roman" w:eastAsia="Times New Roman" w:hAnsi="Times New Roman"/>
          <w:sz w:val="15"/>
          <w:szCs w:val="15"/>
          <w:color w:val="auto"/>
        </w:rPr>
      </w:pPr>
      <w:r>
        <w:rPr>
          <w:rFonts w:ascii="Arial" w:cs="Arial" w:eastAsia="Arial" w:hAnsi="Arial"/>
          <w:sz w:val="15"/>
          <w:szCs w:val="15"/>
          <w:color w:val="auto"/>
        </w:rPr>
        <w:t>341,843 options were issued in August 2020 at an exercise price of $19.0 with initial vesting of 50% at the grant date and the remaining vesting equally every month over 24 months.</w:t>
      </w:r>
    </w:p>
    <w:p>
      <w:pPr>
        <w:jc w:val="both"/>
        <w:ind w:left="580" w:right="39" w:hanging="258"/>
        <w:spacing w:after="0" w:line="230" w:lineRule="auto"/>
        <w:tabs>
          <w:tab w:leader="none" w:pos="580" w:val="left"/>
        </w:tabs>
        <w:numPr>
          <w:ilvl w:val="0"/>
          <w:numId w:val="115"/>
        </w:numPr>
        <w:rPr>
          <w:rFonts w:ascii="Times New Roman" w:cs="Times New Roman" w:eastAsia="Times New Roman" w:hAnsi="Times New Roman"/>
          <w:sz w:val="15"/>
          <w:szCs w:val="15"/>
          <w:color w:val="auto"/>
        </w:rPr>
      </w:pPr>
      <w:r>
        <w:rPr>
          <w:rFonts w:ascii="Arial" w:cs="Arial" w:eastAsia="Arial" w:hAnsi="Arial"/>
          <w:sz w:val="15"/>
          <w:szCs w:val="15"/>
          <w:color w:val="auto"/>
        </w:rPr>
        <w:t>97,000 options at an exercise price of $19.85 and 10,000 RSAs were issued in December 2020. 77,000 options with an initial vesting of 25% after one year and the remaining vesting equally on monthly basis over 36 months and the vesting of the remaining 20,000 options is based on satisfaction of the performance obligation. Out of 10,000 RSAs, 5,000 RSAs have an initial vesting of 13% and the remaining to be vested over 24 months. The remaining 5,000 RSAs vested on January 2021.</w:t>
      </w:r>
    </w:p>
    <w:p>
      <w:pPr>
        <w:spacing w:after="0" w:line="1" w:lineRule="exact"/>
        <w:rPr>
          <w:rFonts w:ascii="Times New Roman" w:cs="Times New Roman" w:eastAsia="Times New Roman" w:hAnsi="Times New Roman"/>
          <w:sz w:val="15"/>
          <w:szCs w:val="15"/>
          <w:color w:val="auto"/>
        </w:rPr>
      </w:pPr>
    </w:p>
    <w:p>
      <w:pPr>
        <w:ind w:left="580" w:right="59" w:hanging="258"/>
        <w:spacing w:after="0" w:line="230" w:lineRule="auto"/>
        <w:tabs>
          <w:tab w:leader="none" w:pos="580" w:val="left"/>
        </w:tabs>
        <w:numPr>
          <w:ilvl w:val="0"/>
          <w:numId w:val="115"/>
        </w:numPr>
        <w:rPr>
          <w:rFonts w:ascii="Times New Roman" w:cs="Times New Roman" w:eastAsia="Times New Roman" w:hAnsi="Times New Roman"/>
          <w:sz w:val="15"/>
          <w:szCs w:val="15"/>
          <w:color w:val="auto"/>
        </w:rPr>
      </w:pPr>
      <w:r>
        <w:rPr>
          <w:rFonts w:ascii="Arial" w:cs="Arial" w:eastAsia="Arial" w:hAnsi="Arial"/>
          <w:sz w:val="15"/>
          <w:szCs w:val="15"/>
          <w:color w:val="auto"/>
        </w:rPr>
        <w:t>20,000 options were granted in January 2021 with an exercise price of $18.82, vesting of which is based on satisfaction of the performance obligation.</w:t>
      </w:r>
    </w:p>
    <w:p>
      <w:pPr>
        <w:ind w:left="580" w:right="59" w:hanging="258"/>
        <w:spacing w:after="0" w:line="230" w:lineRule="auto"/>
        <w:tabs>
          <w:tab w:leader="none" w:pos="580" w:val="left"/>
        </w:tabs>
        <w:numPr>
          <w:ilvl w:val="0"/>
          <w:numId w:val="115"/>
        </w:numPr>
        <w:rPr>
          <w:rFonts w:ascii="Times New Roman" w:cs="Times New Roman" w:eastAsia="Times New Roman" w:hAnsi="Times New Roman"/>
          <w:sz w:val="15"/>
          <w:szCs w:val="15"/>
          <w:color w:val="auto"/>
        </w:rPr>
      </w:pPr>
      <w:r>
        <w:rPr>
          <w:rFonts w:ascii="Arial" w:cs="Arial" w:eastAsia="Arial" w:hAnsi="Arial"/>
          <w:sz w:val="15"/>
          <w:szCs w:val="15"/>
          <w:color w:val="auto"/>
        </w:rPr>
        <w:t>23,500 options were granted in February 2021 with an exercise price of $20.86 with an initial vesting of 25% after one year and remaining vesting equally on monthly basis over 36 months.</w:t>
      </w:r>
    </w:p>
    <w:p>
      <w:pPr>
        <w:ind w:left="580" w:hanging="258"/>
        <w:spacing w:after="0"/>
        <w:tabs>
          <w:tab w:leader="none" w:pos="580" w:val="left"/>
        </w:tabs>
        <w:numPr>
          <w:ilvl w:val="0"/>
          <w:numId w:val="115"/>
        </w:numPr>
        <w:rPr>
          <w:rFonts w:ascii="Times New Roman" w:cs="Times New Roman" w:eastAsia="Times New Roman" w:hAnsi="Times New Roman"/>
          <w:sz w:val="15"/>
          <w:szCs w:val="15"/>
          <w:color w:val="auto"/>
        </w:rPr>
      </w:pPr>
      <w:r>
        <w:rPr>
          <w:rFonts w:ascii="Arial" w:cs="Arial" w:eastAsia="Arial" w:hAnsi="Arial"/>
          <w:sz w:val="15"/>
          <w:szCs w:val="15"/>
          <w:color w:val="auto"/>
        </w:rPr>
        <w:t>5,000 RSAs were granted in January 2021 and vest equally on a quarterly basis from April 2021.</w:t>
      </w:r>
    </w:p>
    <w:p>
      <w:pPr>
        <w:spacing w:after="0" w:line="3" w:lineRule="exact"/>
        <w:rPr>
          <w:rFonts w:ascii="Times New Roman" w:cs="Times New Roman" w:eastAsia="Times New Roman" w:hAnsi="Times New Roman"/>
          <w:sz w:val="15"/>
          <w:szCs w:val="15"/>
          <w:color w:val="auto"/>
        </w:rPr>
      </w:pPr>
    </w:p>
    <w:p>
      <w:pPr>
        <w:ind w:left="580" w:hanging="258"/>
        <w:spacing w:after="0"/>
        <w:tabs>
          <w:tab w:leader="none" w:pos="580" w:val="left"/>
        </w:tabs>
        <w:numPr>
          <w:ilvl w:val="0"/>
          <w:numId w:val="115"/>
        </w:numPr>
        <w:rPr>
          <w:rFonts w:ascii="Times New Roman" w:cs="Times New Roman" w:eastAsia="Times New Roman" w:hAnsi="Times New Roman"/>
          <w:sz w:val="15"/>
          <w:szCs w:val="15"/>
          <w:color w:val="auto"/>
        </w:rPr>
      </w:pPr>
      <w:r>
        <w:rPr>
          <w:rFonts w:ascii="Arial" w:cs="Arial" w:eastAsia="Arial" w:hAnsi="Arial"/>
          <w:sz w:val="15"/>
          <w:szCs w:val="15"/>
          <w:color w:val="auto"/>
        </w:rPr>
        <w:t>27,800 options were granted in June 2021 with an exercise price of $18.72, vesting will be over 36</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4" w:name="page185"/>
    <w:bookmarkEnd w:id="18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months.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 summary of the options / awards outstanding and exercisable as of June 30, 2022, and June 30, 2021 are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938"/>
              <w:spacing w:after="0"/>
              <w:rPr>
                <w:sz w:val="20"/>
                <w:szCs w:val="20"/>
                <w:color w:val="auto"/>
              </w:rPr>
            </w:pPr>
            <w:r>
              <w:rPr>
                <w:rFonts w:ascii="Arial" w:cs="Arial" w:eastAsia="Arial" w:hAnsi="Arial"/>
                <w:sz w:val="12"/>
                <w:szCs w:val="12"/>
                <w:b w:val="1"/>
                <w:bCs w:val="1"/>
                <w:color w:val="auto"/>
                <w:w w:val="97"/>
              </w:rPr>
              <w:t>2022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958"/>
              <w:spacing w:after="0"/>
              <w:rPr>
                <w:sz w:val="20"/>
                <w:szCs w:val="20"/>
                <w:color w:val="auto"/>
              </w:rPr>
            </w:pPr>
            <w:r>
              <w:rPr>
                <w:rFonts w:ascii="Arial" w:cs="Arial" w:eastAsia="Arial" w:hAnsi="Arial"/>
                <w:sz w:val="12"/>
                <w:szCs w:val="12"/>
                <w:b w:val="1"/>
                <w:bCs w:val="1"/>
                <w:color w:val="auto"/>
                <w:w w:val="89"/>
              </w:rPr>
              <w:t>2021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Share</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Share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Weighted</w:t>
            </w:r>
          </w:p>
        </w:tc>
        <w:tc>
          <w:tcPr>
            <w:tcW w:w="24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Options /</w:t>
            </w:r>
          </w:p>
        </w:tc>
        <w:tc>
          <w:tcPr>
            <w:tcW w:w="1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Weighted</w:t>
            </w:r>
          </w:p>
        </w:tc>
        <w:tc>
          <w:tcPr>
            <w:tcW w:w="22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Options /</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average</w:t>
            </w:r>
          </w:p>
        </w:tc>
        <w:tc>
          <w:tcPr>
            <w:tcW w:w="24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awards</w:t>
            </w:r>
          </w:p>
        </w:tc>
        <w:tc>
          <w:tcPr>
            <w:tcW w:w="1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average</w:t>
            </w:r>
          </w:p>
        </w:tc>
        <w:tc>
          <w:tcPr>
            <w:tcW w:w="22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exercise price</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(Number)</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exercise price</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(Number)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(US$)</w:t>
            </w: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(US$)</w:t>
            </w: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Options / awards outstanding as of beginning of the year</w:t>
            </w: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16.70</w:t>
            </w:r>
          </w:p>
        </w:tc>
        <w:tc>
          <w:tcPr>
            <w:tcW w:w="12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845,918</w:t>
            </w:r>
          </w:p>
        </w:tc>
        <w:tc>
          <w:tcPr>
            <w:tcW w:w="11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12.75</w:t>
            </w:r>
          </w:p>
        </w:tc>
        <w:tc>
          <w:tcPr>
            <w:tcW w:w="12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338,432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60" w:type="dxa"/>
            <w:vAlign w:val="bottom"/>
          </w:tcPr>
          <w:p>
            <w:pPr>
              <w:spacing w:after="0" w:line="166" w:lineRule="exact"/>
              <w:rPr>
                <w:sz w:val="20"/>
                <w:szCs w:val="20"/>
                <w:color w:val="auto"/>
              </w:rPr>
            </w:pPr>
            <w:r>
              <w:rPr>
                <w:rFonts w:ascii="Arial" w:cs="Arial" w:eastAsia="Arial" w:hAnsi="Arial"/>
                <w:sz w:val="15"/>
                <w:szCs w:val="15"/>
                <w:color w:val="auto"/>
              </w:rPr>
              <w:t>Options / awards</w:t>
            </w:r>
          </w:p>
        </w:tc>
        <w:tc>
          <w:tcPr>
            <w:tcW w:w="3060" w:type="dxa"/>
            <w:vAlign w:val="bottom"/>
          </w:tcPr>
          <w:p>
            <w:pPr>
              <w:spacing w:after="0" w:line="166" w:lineRule="exact"/>
              <w:rPr>
                <w:sz w:val="20"/>
                <w:szCs w:val="20"/>
                <w:color w:val="auto"/>
              </w:rPr>
            </w:pPr>
            <w:r>
              <w:rPr>
                <w:rFonts w:ascii="Arial" w:cs="Arial" w:eastAsia="Arial" w:hAnsi="Arial"/>
                <w:sz w:val="15"/>
                <w:szCs w:val="15"/>
                <w:color w:val="auto"/>
              </w:rPr>
              <w:t>granted during the year</w:t>
            </w:r>
          </w:p>
        </w:tc>
        <w:tc>
          <w:tcPr>
            <w:tcW w:w="980" w:type="dxa"/>
            <w:vAlign w:val="bottom"/>
          </w:tcPr>
          <w:p>
            <w:pPr>
              <w:jc w:val="right"/>
              <w:spacing w:after="0" w:line="166" w:lineRule="exact"/>
              <w:rPr>
                <w:sz w:val="20"/>
                <w:szCs w:val="20"/>
                <w:color w:val="auto"/>
              </w:rPr>
            </w:pPr>
            <w:r>
              <w:rPr>
                <w:rFonts w:ascii="Arial" w:cs="Arial" w:eastAsia="Arial" w:hAnsi="Arial"/>
                <w:sz w:val="15"/>
                <w:szCs w:val="15"/>
                <w:color w:val="auto"/>
              </w:rPr>
              <w:t>17.39</w:t>
            </w:r>
          </w:p>
        </w:tc>
        <w:tc>
          <w:tcPr>
            <w:tcW w:w="12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819,644</w:t>
            </w:r>
          </w:p>
        </w:tc>
        <w:tc>
          <w:tcPr>
            <w:tcW w:w="116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19.23</w:t>
            </w:r>
          </w:p>
        </w:tc>
        <w:tc>
          <w:tcPr>
            <w:tcW w:w="12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525,143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Options / awards</w:t>
            </w:r>
          </w:p>
        </w:tc>
        <w:tc>
          <w:tcPr>
            <w:tcW w:w="30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exercised during the year</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12.75</w:t>
            </w:r>
          </w:p>
        </w:tc>
        <w:tc>
          <w:tcPr>
            <w:tcW w:w="12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(2,716)</w:t>
            </w:r>
          </w:p>
        </w:tc>
        <w:tc>
          <w:tcPr>
            <w:tcW w:w="11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19.00</w:t>
            </w:r>
          </w:p>
        </w:tc>
        <w:tc>
          <w:tcPr>
            <w:tcW w:w="12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60" w:type="dxa"/>
            <w:vAlign w:val="bottom"/>
          </w:tcPr>
          <w:p>
            <w:pPr>
              <w:spacing w:after="0" w:line="151" w:lineRule="exact"/>
              <w:rPr>
                <w:sz w:val="20"/>
                <w:szCs w:val="20"/>
                <w:color w:val="auto"/>
              </w:rPr>
            </w:pPr>
            <w:r>
              <w:rPr>
                <w:rFonts w:ascii="Arial" w:cs="Arial" w:eastAsia="Arial" w:hAnsi="Arial"/>
                <w:sz w:val="15"/>
                <w:szCs w:val="15"/>
                <w:color w:val="auto"/>
              </w:rPr>
              <w:t>Options / awards</w:t>
            </w:r>
          </w:p>
        </w:tc>
        <w:tc>
          <w:tcPr>
            <w:tcW w:w="3060" w:type="dxa"/>
            <w:vAlign w:val="bottom"/>
          </w:tcPr>
          <w:p>
            <w:pPr>
              <w:ind w:left="120"/>
              <w:spacing w:after="0" w:line="151" w:lineRule="exact"/>
              <w:rPr>
                <w:sz w:val="20"/>
                <w:szCs w:val="20"/>
                <w:color w:val="auto"/>
              </w:rPr>
            </w:pPr>
            <w:r>
              <w:rPr>
                <w:rFonts w:ascii="Arial" w:cs="Arial" w:eastAsia="Arial" w:hAnsi="Arial"/>
                <w:sz w:val="15"/>
                <w:szCs w:val="15"/>
                <w:color w:val="auto"/>
              </w:rPr>
              <w:t>forfeited / cancelled / expired during the</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80" w:type="dxa"/>
            <w:vAlign w:val="bottom"/>
            <w:gridSpan w:val="2"/>
          </w:tcPr>
          <w:p>
            <w:pPr>
              <w:spacing w:after="0"/>
              <w:rPr>
                <w:sz w:val="20"/>
                <w:szCs w:val="20"/>
                <w:color w:val="auto"/>
              </w:rPr>
            </w:pPr>
            <w:r>
              <w:rPr>
                <w:rFonts w:ascii="Arial" w:cs="Arial" w:eastAsia="Arial" w:hAnsi="Arial"/>
                <w:sz w:val="15"/>
                <w:szCs w:val="15"/>
                <w:color w:val="auto"/>
              </w:rPr>
              <w:t>year</w:t>
            </w:r>
          </w:p>
        </w:tc>
        <w:tc>
          <w:tcPr>
            <w:tcW w:w="30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19.28</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(200,453)</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15.96</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(16,215)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color w:val="auto"/>
              </w:rPr>
              <w:t>Options / awards</w:t>
            </w:r>
          </w:p>
        </w:tc>
        <w:tc>
          <w:tcPr>
            <w:tcW w:w="306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Arial" w:cs="Arial" w:eastAsia="Arial" w:hAnsi="Arial"/>
                <w:sz w:val="15"/>
                <w:szCs w:val="15"/>
                <w:color w:val="auto"/>
              </w:rPr>
              <w:t>outstanding as of end of the year</w:t>
            </w:r>
          </w:p>
        </w:tc>
        <w:tc>
          <w:tcPr>
            <w:tcW w:w="980" w:type="dxa"/>
            <w:vAlign w:val="bottom"/>
            <w:tcBorders>
              <w:top w:val="single" w:sz="8" w:color="CCEEFF"/>
              <w:bottom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16.42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1,462,393</w:t>
            </w:r>
          </w:p>
        </w:tc>
        <w:tc>
          <w:tcPr>
            <w:tcW w:w="1160" w:type="dxa"/>
            <w:vAlign w:val="bottom"/>
            <w:tcBorders>
              <w:top w:val="single" w:sz="8" w:color="CCEEFF"/>
              <w:bottom w:val="single" w:sz="8" w:color="CCEEFF"/>
            </w:tcBorders>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16.70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845,918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Options / awards</w:t>
            </w:r>
          </w:p>
        </w:tc>
        <w:tc>
          <w:tcPr>
            <w:tcW w:w="30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exercisable as of end of the year</w:t>
            </w:r>
          </w:p>
        </w:tc>
        <w:tc>
          <w:tcPr>
            <w:tcW w:w="9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16.83</w:t>
            </w:r>
          </w:p>
        </w:tc>
        <w:tc>
          <w:tcPr>
            <w:tcW w:w="12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578,127</w:t>
            </w:r>
          </w:p>
        </w:tc>
        <w:tc>
          <w:tcPr>
            <w:tcW w:w="11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16.97</w:t>
            </w:r>
          </w:p>
        </w:tc>
        <w:tc>
          <w:tcPr>
            <w:tcW w:w="12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366,865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total expense recognized during the fiscal year ended June 30, 2022 and June 30, 2021 was $1.8 million and $3.6 million respectively.</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As of June 30, 2022, the unrecognized compensation expense associated with the Long term Incentive Plan was $9.5 million, and it will be recognized over the period of 66 months from the end of June 30, 2022.</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Group recognized $1.9 million and $4.5 million of stock based compensation expense (including Phantom Stock Plan and 2018 RSA Plan and long-term incentive plan) for the year ended June 30, 2022 and 2021 respectively.</w:t>
      </w:r>
    </w:p>
    <w:p>
      <w:pPr>
        <w:spacing w:after="0" w:line="135" w:lineRule="exact"/>
        <w:rPr>
          <w:sz w:val="20"/>
          <w:szCs w:val="20"/>
          <w:color w:val="auto"/>
        </w:rPr>
      </w:pPr>
    </w:p>
    <w:p>
      <w:pPr>
        <w:ind w:left="560" w:hanging="525"/>
        <w:spacing w:after="0"/>
        <w:tabs>
          <w:tab w:leader="none" w:pos="56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Basic earnings / (loss) per share is calculated based on the weighted average number of shares outstanding during the period. Diluted earnings per share is based on the weighted average number of ordinary shares outstanding plus the effect of dilutive non-vested restricted stock, stock options and warrants, using the treasury method, as applicable.</w:t>
      </w:r>
    </w:p>
    <w:p>
      <w:pPr>
        <w:spacing w:after="0" w:line="146"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When a loss is reported, potentially issuable common shares are excluded from the calculation of diluted earnings per share as their effect would be anti-dilutive.</w:t>
      </w:r>
    </w:p>
    <w:p>
      <w:pPr>
        <w:spacing w:after="0" w:line="135" w:lineRule="exact"/>
        <w:rPr>
          <w:sz w:val="20"/>
          <w:szCs w:val="20"/>
          <w:color w:val="auto"/>
        </w:rPr>
      </w:pPr>
    </w:p>
    <w:p>
      <w:pPr>
        <w:jc w:val="both"/>
        <w:ind w:left="40" w:right="59"/>
        <w:spacing w:after="0" w:line="295" w:lineRule="auto"/>
        <w:rPr>
          <w:sz w:val="20"/>
          <w:szCs w:val="20"/>
          <w:color w:val="auto"/>
        </w:rPr>
      </w:pPr>
      <w:r>
        <w:rPr>
          <w:rFonts w:ascii="Arial" w:cs="Arial" w:eastAsia="Arial" w:hAnsi="Arial"/>
          <w:sz w:val="14"/>
          <w:szCs w:val="14"/>
          <w:color w:val="auto"/>
        </w:rPr>
        <w:t>As of June 30, 2022, there were 468,669 shares related to the 2018 RSA plan, 2020 LTIP and the Amazon warrant that were considered dilutive using the treasury method, and 17,657 shares related to such plans that were considered anti-dilutive, using the treasury method.</w:t>
      </w:r>
    </w:p>
    <w:p>
      <w:pPr>
        <w:spacing w:after="0" w:line="113" w:lineRule="exact"/>
        <w:rPr>
          <w:sz w:val="20"/>
          <w:szCs w:val="20"/>
          <w:color w:val="auto"/>
        </w:rPr>
      </w:pPr>
    </w:p>
    <w:p>
      <w:pPr>
        <w:jc w:val="both"/>
        <w:ind w:left="40" w:right="59"/>
        <w:spacing w:after="0" w:line="295" w:lineRule="auto"/>
        <w:rPr>
          <w:sz w:val="20"/>
          <w:szCs w:val="20"/>
          <w:color w:val="auto"/>
        </w:rPr>
      </w:pPr>
      <w:r>
        <w:rPr>
          <w:rFonts w:ascii="Arial" w:cs="Arial" w:eastAsia="Arial" w:hAnsi="Arial"/>
          <w:sz w:val="14"/>
          <w:szCs w:val="14"/>
          <w:color w:val="auto"/>
        </w:rPr>
        <w:t>As of June 30, 2021, there were 735,475 shares related to the 2018 RSA plan, 2020 LTIP and the Amazon warrant that were considered dilutive using the treasury method, and 3,250 shares related to such plans that were considered anti-dilutive, using the treasury method.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5" w:name="page186"/>
    <w:bookmarkEnd w:id="18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As of June 30, 2020, there were 1,176,370 vested out of the 1,841,660 awards that have vested. The unvested shares of 665,291 have a small dilutive impact to the Earnings Per Share. On June 30, 2020, the Group issued LTIP (see Note 19), there were 40,500 options vested out of 338,432 options issued. The remaining unvested options have an anti-dilutive impact. Additionally, 288,748 warrant shares have vested and are a component of the basic per share calculation. The remaining unvested warrant shares have an anti – dilutive impact.</w:t>
      </w:r>
    </w:p>
    <w:p>
      <w:pPr>
        <w:spacing w:after="0" w:line="151"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Series A, B and C Preferred Convertible Shares do not meet the definition of ordinary shares under IAS 33 because of their preferred participation rights, under which Series B and C are entitled to receive total dividends of $91.8 million subsequent to Series A receiving the first $9.5 million in dividends before dividends may be paid on the Class A and B Common Shares. The Company paid the dividend on July 24, 2020 of $4 million to TRGI, the holder of Series A preferred share. Accordingly the company’s Class A and Class B common shares are deemed to be the only ordinary shares for purposes of calculating earnings per share.</w:t>
      </w:r>
    </w:p>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the income for the year ended June 30, 2020 did not exceed the value of the preferred participation rights of the Series A, B and C Preferred Convertible Shares, the income/loss attributable to the ordinary shareholders of the company has been assessed as $0.</w:t>
      </w:r>
    </w:p>
    <w:p>
      <w:pPr>
        <w:spacing w:after="0" w:line="135" w:lineRule="exact"/>
        <w:rPr>
          <w:sz w:val="20"/>
          <w:szCs w:val="20"/>
          <w:color w:val="auto"/>
        </w:rPr>
      </w:pPr>
    </w:p>
    <w:p>
      <w:pPr>
        <w:jc w:val="both"/>
        <w:ind w:left="40" w:right="59"/>
        <w:spacing w:after="0" w:line="295" w:lineRule="auto"/>
        <w:rPr>
          <w:sz w:val="20"/>
          <w:szCs w:val="20"/>
          <w:color w:val="auto"/>
        </w:rPr>
      </w:pPr>
      <w:r>
        <w:rPr>
          <w:rFonts w:ascii="Arial" w:cs="Arial" w:eastAsia="Arial" w:hAnsi="Arial"/>
          <w:sz w:val="14"/>
          <w:szCs w:val="14"/>
          <w:color w:val="auto"/>
        </w:rPr>
        <w:t>For the year ended June 30, 2020, a voluntary conversion of the Series A, B and C preferred convertible shares would be antidilutive, because all shares of the company would become ordinary shares and the income for the period would be attributable to all such shares.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56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40"/>
              <w:spacing w:after="0" w:line="136" w:lineRule="exact"/>
              <w:rPr>
                <w:sz w:val="20"/>
                <w:szCs w:val="20"/>
                <w:color w:val="auto"/>
              </w:rPr>
            </w:pPr>
            <w:r>
              <w:rPr>
                <w:rFonts w:ascii="Arial" w:cs="Arial" w:eastAsia="Arial" w:hAnsi="Arial"/>
                <w:sz w:val="12"/>
                <w:szCs w:val="12"/>
                <w:b w:val="1"/>
                <w:bCs w:val="1"/>
                <w:color w:val="auto"/>
              </w:rPr>
              <w:t>June 30,</w:t>
            </w:r>
          </w:p>
        </w:tc>
        <w:tc>
          <w:tcPr>
            <w:tcW w:w="1160" w:type="dxa"/>
            <w:vAlign w:val="bottom"/>
            <w:tcBorders>
              <w:top w:val="single" w:sz="8" w:color="auto"/>
            </w:tcBorders>
            <w:gridSpan w:val="2"/>
          </w:tcPr>
          <w:p>
            <w:pPr>
              <w:ind w:left="240"/>
              <w:spacing w:after="0" w:line="136" w:lineRule="exact"/>
              <w:rPr>
                <w:sz w:val="20"/>
                <w:szCs w:val="20"/>
                <w:color w:val="auto"/>
              </w:rPr>
            </w:pPr>
            <w:r>
              <w:rPr>
                <w:rFonts w:ascii="Arial" w:cs="Arial" w:eastAsia="Arial" w:hAnsi="Arial"/>
                <w:sz w:val="12"/>
                <w:szCs w:val="12"/>
                <w:b w:val="1"/>
                <w:bCs w:val="1"/>
                <w:color w:val="auto"/>
              </w:rPr>
              <w:t>June 30,</w:t>
            </w:r>
          </w:p>
        </w:tc>
        <w:tc>
          <w:tcPr>
            <w:tcW w:w="1000" w:type="dxa"/>
            <w:vAlign w:val="bottom"/>
            <w:tcBorders>
              <w:top w:val="single" w:sz="8" w:color="auto"/>
            </w:tcBorders>
          </w:tcPr>
          <w:p>
            <w:pPr>
              <w:jc w:val="right"/>
              <w:ind w:right="241"/>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56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2022</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2021</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2020</w:t>
            </w:r>
          </w:p>
        </w:tc>
      </w:tr>
      <w:tr>
        <w:trPr>
          <w:trHeight w:val="124"/>
        </w:trPr>
        <w:tc>
          <w:tcPr>
            <w:tcW w:w="5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98"/>
              </w:rPr>
              <w:t>(US$’000)</w:t>
            </w:r>
          </w:p>
        </w:tc>
        <w:tc>
          <w:tcPr>
            <w:tcW w:w="1000" w:type="dxa"/>
            <w:vAlign w:val="bottom"/>
            <w:tcBorders>
              <w:bottom w:val="single" w:sz="8" w:color="auto"/>
            </w:tcBorders>
          </w:tcPr>
          <w:p>
            <w:pPr>
              <w:spacing w:after="0"/>
              <w:rPr>
                <w:sz w:val="10"/>
                <w:szCs w:val="10"/>
                <w:color w:val="auto"/>
              </w:rPr>
            </w:pPr>
          </w:p>
        </w:tc>
      </w:tr>
      <w:tr>
        <w:trPr>
          <w:trHeight w:val="124"/>
        </w:trPr>
        <w:tc>
          <w:tcPr>
            <w:tcW w:w="5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 Income attributable to shareholders of the Holding Company</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22,990</w:t>
            </w:r>
          </w:p>
        </w:tc>
        <w:tc>
          <w:tcPr>
            <w:tcW w:w="1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2,847</w:t>
            </w: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7,770</w:t>
            </w:r>
          </w:p>
        </w:tc>
      </w:tr>
      <w:tr>
        <w:trPr>
          <w:trHeight w:val="124"/>
        </w:trPr>
        <w:tc>
          <w:tcPr>
            <w:tcW w:w="562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r>
        <w:trPr>
          <w:trHeight w:val="124"/>
        </w:trPr>
        <w:tc>
          <w:tcPr>
            <w:tcW w:w="5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 Income attributable to ordinary shareholders of the company</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22,990</w:t>
            </w:r>
          </w:p>
        </w:tc>
        <w:tc>
          <w:tcPr>
            <w:tcW w:w="1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2,847</w:t>
            </w: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r>
      <w:tr>
        <w:trPr>
          <w:trHeight w:val="257"/>
        </w:trPr>
        <w:tc>
          <w:tcPr>
            <w:tcW w:w="56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95"/>
              </w:rPr>
              <w:t>(Shares)</w:t>
            </w:r>
          </w:p>
        </w:tc>
        <w:tc>
          <w:tcPr>
            <w:tcW w:w="1000" w:type="dxa"/>
            <w:vAlign w:val="bottom"/>
            <w:tcBorders>
              <w:bottom w:val="single" w:sz="8" w:color="auto"/>
            </w:tcBorders>
          </w:tcPr>
          <w:p>
            <w:pPr>
              <w:spacing w:after="0"/>
              <w:rPr>
                <w:sz w:val="22"/>
                <w:szCs w:val="22"/>
                <w:color w:val="auto"/>
              </w:rPr>
            </w:pPr>
          </w:p>
        </w:tc>
      </w:tr>
      <w:tr>
        <w:trPr>
          <w:trHeight w:val="124"/>
        </w:trPr>
        <w:tc>
          <w:tcPr>
            <w:tcW w:w="5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Weighted average number of ordinary shares - basic</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18,232,399</w:t>
            </w:r>
          </w:p>
        </w:tc>
        <w:tc>
          <w:tcPr>
            <w:tcW w:w="1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17,649,446</w:t>
            </w: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1,176,370</w:t>
            </w:r>
          </w:p>
        </w:tc>
      </w:tr>
      <w:tr>
        <w:trPr>
          <w:trHeight w:val="257"/>
        </w:trPr>
        <w:tc>
          <w:tcPr>
            <w:tcW w:w="56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95"/>
              </w:rPr>
              <w:t>(US$)</w:t>
            </w:r>
          </w:p>
        </w:tc>
        <w:tc>
          <w:tcPr>
            <w:tcW w:w="1000" w:type="dxa"/>
            <w:vAlign w:val="bottom"/>
            <w:tcBorders>
              <w:bottom w:val="single" w:sz="8" w:color="auto"/>
            </w:tcBorders>
          </w:tcPr>
          <w:p>
            <w:pPr>
              <w:spacing w:after="0"/>
              <w:rPr>
                <w:sz w:val="22"/>
                <w:szCs w:val="22"/>
                <w:color w:val="auto"/>
              </w:rPr>
            </w:pPr>
          </w:p>
        </w:tc>
      </w:tr>
      <w:tr>
        <w:trPr>
          <w:trHeight w:val="124"/>
        </w:trPr>
        <w:tc>
          <w:tcPr>
            <w:tcW w:w="5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 Basic earnings per share</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1.26</w:t>
            </w:r>
          </w:p>
        </w:tc>
        <w:tc>
          <w:tcPr>
            <w:tcW w:w="1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0.16</w:t>
            </w: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r>
      <w:tr>
        <w:trPr>
          <w:trHeight w:val="257"/>
        </w:trPr>
        <w:tc>
          <w:tcPr>
            <w:tcW w:w="56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95"/>
              </w:rPr>
              <w:t>(Shares)</w:t>
            </w:r>
          </w:p>
        </w:tc>
        <w:tc>
          <w:tcPr>
            <w:tcW w:w="1000" w:type="dxa"/>
            <w:vAlign w:val="bottom"/>
            <w:tcBorders>
              <w:bottom w:val="single" w:sz="8" w:color="auto"/>
            </w:tcBorders>
          </w:tcPr>
          <w:p>
            <w:pPr>
              <w:spacing w:after="0"/>
              <w:rPr>
                <w:sz w:val="22"/>
                <w:szCs w:val="22"/>
                <w:color w:val="auto"/>
              </w:rPr>
            </w:pPr>
          </w:p>
        </w:tc>
      </w:tr>
      <w:tr>
        <w:trPr>
          <w:trHeight w:val="124"/>
        </w:trPr>
        <w:tc>
          <w:tcPr>
            <w:tcW w:w="5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Weighted average number of ordinary shares - diluted</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18,701,068</w:t>
            </w:r>
          </w:p>
        </w:tc>
        <w:tc>
          <w:tcPr>
            <w:tcW w:w="1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18,384,921</w:t>
            </w: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12,936,962</w:t>
            </w:r>
          </w:p>
        </w:tc>
      </w:tr>
      <w:tr>
        <w:trPr>
          <w:trHeight w:val="257"/>
        </w:trPr>
        <w:tc>
          <w:tcPr>
            <w:tcW w:w="56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95"/>
              </w:rPr>
              <w:t>(US$)</w:t>
            </w:r>
          </w:p>
        </w:tc>
        <w:tc>
          <w:tcPr>
            <w:tcW w:w="1000" w:type="dxa"/>
            <w:vAlign w:val="bottom"/>
            <w:tcBorders>
              <w:bottom w:val="single" w:sz="8" w:color="auto"/>
            </w:tcBorders>
          </w:tcPr>
          <w:p>
            <w:pPr>
              <w:spacing w:after="0"/>
              <w:rPr>
                <w:sz w:val="22"/>
                <w:szCs w:val="22"/>
                <w:color w:val="auto"/>
              </w:rPr>
            </w:pPr>
          </w:p>
        </w:tc>
      </w:tr>
      <w:tr>
        <w:trPr>
          <w:trHeight w:val="124"/>
        </w:trPr>
        <w:tc>
          <w:tcPr>
            <w:tcW w:w="56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 Diluted earnings per share</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1.23</w:t>
            </w:r>
          </w:p>
        </w:tc>
        <w:tc>
          <w:tcPr>
            <w:tcW w:w="1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0.15</w:t>
            </w:r>
          </w:p>
        </w:tc>
        <w:tc>
          <w:tcPr>
            <w:tcW w:w="1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r>
      <w:tr>
        <w:trPr>
          <w:trHeight w:val="124"/>
        </w:trPr>
        <w:tc>
          <w:tcPr>
            <w:tcW w:w="5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pacing w:after="0" w:line="162" w:lineRule="exact"/>
        <w:rPr>
          <w:sz w:val="20"/>
          <w:szCs w:val="20"/>
          <w:color w:val="auto"/>
        </w:rPr>
      </w:pPr>
    </w:p>
    <w:p>
      <w:pPr>
        <w:ind w:left="560" w:hanging="525"/>
        <w:spacing w:after="0"/>
        <w:tabs>
          <w:tab w:leader="none" w:pos="560"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DIVIDEND DISTRIBUTION</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On July 21, 2020, our board of directors approved a one-time dividend of $ 4.0 million to our shareholders reflecting a portion of the cash generation from the business during fiscal year 2020. The dividend was paid on July 24, 2020 to TRGI, the holder of our Series A preferred share, which is entitled to a dividend preference that expires upon conversion of the Series A preferred share to common shares upon the completion of IPO.</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One of the subsidiaries of IBEX Limited declared and paid a dividend of $0.1 million during the fiscal year ended June 30, 2020.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6" w:name="page187"/>
    <w:bookmarkEnd w:id="18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right="4359" w:hanging="5"/>
        <w:spacing w:after="0" w:line="430" w:lineRule="auto"/>
        <w:tabs>
          <w:tab w:leader="none" w:pos="573"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INSTRUMENTS AND RELATED DISCLOSURES Financial risk management</w:t>
      </w:r>
    </w:p>
    <w:p>
      <w:pPr>
        <w:spacing w:after="0" w:line="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 Group’s activities expose it to a variety of financial risks: market risk (including interest rate risk and currency risk), credit risk and liquidity risk. The Board of Directors has the overall responsibility for the establishment and oversight of the Group’s risk management framework.</w:t>
      </w:r>
    </w:p>
    <w:p>
      <w:pPr>
        <w:spacing w:after="0" w:line="124"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Group’s risk management policies are established to identify and analyze the risks faced by the Group, to set appropriate risk limits and to monitor risks and adherence to limits. Risk management policies are reviewed regularly to reflect changes in the market conditions and the Group’s activities. The Group’s Board of Directors oversees how management monitors compliance with the Group’s risk management policies and procedures, and reviews the adequacy of the risk management framework in relation to the risks faced by the Group.</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 summary of the financial instruments held by category is provided below:</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644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3"/>
          </w:tcPr>
          <w:p>
            <w:pPr>
              <w:ind w:left="320"/>
              <w:spacing w:after="0" w:line="136" w:lineRule="exact"/>
              <w:rPr>
                <w:sz w:val="20"/>
                <w:szCs w:val="20"/>
                <w:color w:val="auto"/>
              </w:rPr>
            </w:pPr>
            <w:r>
              <w:rPr>
                <w:rFonts w:ascii="Arial" w:cs="Arial" w:eastAsia="Arial" w:hAnsi="Arial"/>
                <w:sz w:val="12"/>
                <w:szCs w:val="12"/>
                <w:b w:val="1"/>
                <w:bCs w:val="1"/>
                <w:color w:val="auto"/>
              </w:rPr>
              <w:t>June 30,</w:t>
            </w:r>
          </w:p>
        </w:tc>
        <w:tc>
          <w:tcPr>
            <w:tcW w:w="900" w:type="dxa"/>
            <w:vAlign w:val="bottom"/>
            <w:tcBorders>
              <w:top w:val="single" w:sz="8" w:color="auto"/>
            </w:tcBorders>
          </w:tcPr>
          <w:p>
            <w:pPr>
              <w:jc w:val="right"/>
              <w:ind w:right="268"/>
              <w:spacing w:after="0" w:line="136" w:lineRule="exact"/>
              <w:rPr>
                <w:sz w:val="20"/>
                <w:szCs w:val="20"/>
                <w:color w:val="auto"/>
              </w:rPr>
            </w:pPr>
            <w:r>
              <w:rPr>
                <w:rFonts w:ascii="Arial" w:cs="Arial" w:eastAsia="Arial" w:hAnsi="Arial"/>
                <w:sz w:val="12"/>
                <w:szCs w:val="12"/>
                <w:b w:val="1"/>
                <w:bCs w:val="1"/>
                <w:color w:val="auto"/>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4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ind w:left="1000"/>
              <w:spacing w:after="0" w:line="124" w:lineRule="exact"/>
              <w:rPr>
                <w:sz w:val="20"/>
                <w:szCs w:val="20"/>
                <w:color w:val="auto"/>
              </w:rPr>
            </w:pPr>
            <w:r>
              <w:rPr>
                <w:rFonts w:ascii="Arial" w:cs="Arial" w:eastAsia="Arial" w:hAnsi="Arial"/>
                <w:sz w:val="12"/>
                <w:szCs w:val="12"/>
                <w:b w:val="1"/>
                <w:bCs w:val="1"/>
                <w:color w:val="auto"/>
              </w:rPr>
              <w:t>(US$’000)</w:t>
            </w:r>
          </w:p>
        </w:tc>
        <w:tc>
          <w:tcPr>
            <w:tcW w:w="9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44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Financial assets - amortized cost</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440" w:type="dxa"/>
            <w:vAlign w:val="bottom"/>
          </w:tcPr>
          <w:p>
            <w:pPr>
              <w:ind w:left="20"/>
              <w:spacing w:after="0" w:line="166" w:lineRule="exact"/>
              <w:rPr>
                <w:sz w:val="20"/>
                <w:szCs w:val="20"/>
                <w:color w:val="auto"/>
              </w:rPr>
            </w:pPr>
            <w:r>
              <w:rPr>
                <w:rFonts w:ascii="Arial" w:cs="Arial" w:eastAsia="Arial" w:hAnsi="Arial"/>
                <w:sz w:val="15"/>
                <w:szCs w:val="15"/>
                <w:color w:val="auto"/>
              </w:rPr>
              <w:t>Deposits</w:t>
            </w:r>
          </w:p>
        </w:tc>
        <w:tc>
          <w:tcPr>
            <w:tcW w:w="1140" w:type="dxa"/>
            <w:vAlign w:val="bottom"/>
          </w:tcPr>
          <w:p>
            <w:pPr>
              <w:jc w:val="right"/>
              <w:spacing w:after="0" w:line="166" w:lineRule="exact"/>
              <w:rPr>
                <w:sz w:val="20"/>
                <w:szCs w:val="20"/>
                <w:color w:val="auto"/>
              </w:rPr>
            </w:pPr>
            <w:r>
              <w:rPr>
                <w:rFonts w:ascii="Arial" w:cs="Arial" w:eastAsia="Arial" w:hAnsi="Arial"/>
                <w:sz w:val="15"/>
                <w:szCs w:val="15"/>
                <w:color w:val="auto"/>
              </w:rPr>
              <w:t>4,556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Arial" w:cs="Arial" w:eastAsia="Arial" w:hAnsi="Arial"/>
                <w:sz w:val="15"/>
                <w:szCs w:val="15"/>
                <w:color w:val="auto"/>
              </w:rPr>
              <w:t>4,446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Trade receivables</w:t>
            </w:r>
          </w:p>
        </w:tc>
        <w:tc>
          <w:tcPr>
            <w:tcW w:w="11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75,323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66,689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40" w:type="dxa"/>
            <w:vAlign w:val="bottom"/>
          </w:tcPr>
          <w:p>
            <w:pPr>
              <w:ind w:left="20"/>
              <w:spacing w:after="0" w:line="166" w:lineRule="exact"/>
              <w:rPr>
                <w:sz w:val="20"/>
                <w:szCs w:val="20"/>
                <w:color w:val="auto"/>
              </w:rPr>
            </w:pPr>
            <w:r>
              <w:rPr>
                <w:rFonts w:ascii="Arial" w:cs="Arial" w:eastAsia="Arial" w:hAnsi="Arial"/>
                <w:sz w:val="15"/>
                <w:szCs w:val="15"/>
                <w:color w:val="auto"/>
              </w:rPr>
              <w:t>Other receivables</w:t>
            </w:r>
          </w:p>
        </w:tc>
        <w:tc>
          <w:tcPr>
            <w:tcW w:w="1140" w:type="dxa"/>
            <w:vAlign w:val="bottom"/>
          </w:tcPr>
          <w:p>
            <w:pPr>
              <w:jc w:val="right"/>
              <w:spacing w:after="0" w:line="166" w:lineRule="exact"/>
              <w:rPr>
                <w:sz w:val="20"/>
                <w:szCs w:val="20"/>
                <w:color w:val="auto"/>
              </w:rPr>
            </w:pPr>
            <w:r>
              <w:rPr>
                <w:rFonts w:ascii="Arial" w:cs="Arial" w:eastAsia="Arial" w:hAnsi="Arial"/>
                <w:sz w:val="15"/>
                <w:szCs w:val="15"/>
                <w:color w:val="auto"/>
              </w:rPr>
              <w:t>3,561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Arial" w:cs="Arial" w:eastAsia="Arial" w:hAnsi="Arial"/>
                <w:sz w:val="15"/>
                <w:szCs w:val="15"/>
                <w:color w:val="auto"/>
              </w:rPr>
              <w:t>1,223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Due from related parties</w:t>
            </w:r>
          </w:p>
        </w:tc>
        <w:tc>
          <w:tcPr>
            <w:tcW w:w="11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108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40" w:type="dxa"/>
            <w:vAlign w:val="bottom"/>
            <w:tcBorders>
              <w:bottom w:val="single" w:sz="8" w:color="CCEEFF"/>
            </w:tcBorders>
          </w:tcPr>
          <w:p>
            <w:pPr>
              <w:ind w:left="20"/>
              <w:spacing w:after="0" w:line="166" w:lineRule="exact"/>
              <w:rPr>
                <w:sz w:val="20"/>
                <w:szCs w:val="20"/>
                <w:color w:val="auto"/>
              </w:rPr>
            </w:pPr>
            <w:r>
              <w:rPr>
                <w:rFonts w:ascii="Arial" w:cs="Arial" w:eastAsia="Arial" w:hAnsi="Arial"/>
                <w:sz w:val="15"/>
                <w:szCs w:val="15"/>
                <w:color w:val="auto"/>
              </w:rPr>
              <w:t>Cash and cash equivalents</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48,831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57,842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132,379</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131,955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Financial assets - fair value through other comprehensive income</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5"/>
                <w:szCs w:val="15"/>
                <w:color w:val="auto"/>
              </w:rPr>
              <w:t>Cash flow hedge (Note 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181</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 - amortized cost</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Lease liabilities</w:t>
            </w:r>
          </w:p>
        </w:tc>
        <w:tc>
          <w:tcPr>
            <w:tcW w:w="11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89,709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83,999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40" w:type="dxa"/>
            <w:vAlign w:val="bottom"/>
          </w:tcPr>
          <w:p>
            <w:pPr>
              <w:ind w:left="20"/>
              <w:spacing w:after="0" w:line="166" w:lineRule="exact"/>
              <w:rPr>
                <w:sz w:val="20"/>
                <w:szCs w:val="20"/>
                <w:color w:val="auto"/>
              </w:rPr>
            </w:pPr>
            <w:r>
              <w:rPr>
                <w:rFonts w:ascii="Arial" w:cs="Arial" w:eastAsia="Arial" w:hAnsi="Arial"/>
                <w:sz w:val="15"/>
                <w:szCs w:val="15"/>
                <w:color w:val="auto"/>
              </w:rPr>
              <w:t>Borrowings</w:t>
            </w:r>
          </w:p>
        </w:tc>
        <w:tc>
          <w:tcPr>
            <w:tcW w:w="1140" w:type="dxa"/>
            <w:vAlign w:val="bottom"/>
          </w:tcPr>
          <w:p>
            <w:pPr>
              <w:jc w:val="right"/>
              <w:spacing w:after="0" w:line="166" w:lineRule="exact"/>
              <w:rPr>
                <w:sz w:val="20"/>
                <w:szCs w:val="20"/>
                <w:color w:val="auto"/>
              </w:rPr>
            </w:pPr>
            <w:r>
              <w:rPr>
                <w:rFonts w:ascii="Arial" w:cs="Arial" w:eastAsia="Arial" w:hAnsi="Arial"/>
                <w:sz w:val="15"/>
                <w:szCs w:val="15"/>
                <w:color w:val="auto"/>
              </w:rPr>
              <w:t>15,027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Arial" w:cs="Arial" w:eastAsia="Arial" w:hAnsi="Arial"/>
                <w:sz w:val="15"/>
                <w:szCs w:val="15"/>
                <w:color w:val="auto"/>
              </w:rPr>
              <w:t>28,517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Trade and other payables</w:t>
            </w:r>
          </w:p>
        </w:tc>
        <w:tc>
          <w:tcPr>
            <w:tcW w:w="11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23,265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22,695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40" w:type="dxa"/>
            <w:vAlign w:val="bottom"/>
            <w:tcBorders>
              <w:bottom w:val="single" w:sz="8" w:color="CCEEFF"/>
            </w:tcBorders>
          </w:tcPr>
          <w:p>
            <w:pPr>
              <w:ind w:left="20"/>
              <w:spacing w:after="0" w:line="166" w:lineRule="exact"/>
              <w:rPr>
                <w:sz w:val="20"/>
                <w:szCs w:val="20"/>
                <w:color w:val="auto"/>
              </w:rPr>
            </w:pPr>
            <w:r>
              <w:rPr>
                <w:rFonts w:ascii="Arial" w:cs="Arial" w:eastAsia="Arial" w:hAnsi="Arial"/>
                <w:sz w:val="15"/>
                <w:szCs w:val="15"/>
                <w:color w:val="auto"/>
              </w:rPr>
              <w:t>Due to related parties</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2,595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4,275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130,596</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139,486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liabilities – fair value through profit and loss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4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Warrant liabilities (Note 28)</w:t>
            </w:r>
          </w:p>
        </w:tc>
        <w:tc>
          <w:tcPr>
            <w:tcW w:w="11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11,311</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13,621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11,311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13,621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 – fair value through other comprehensive income</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Cash flow hedge (Note 15)</w:t>
            </w:r>
          </w:p>
        </w:tc>
        <w:tc>
          <w:tcPr>
            <w:tcW w:w="11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992</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992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4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0"/>
        </w:trPr>
        <w:tc>
          <w:tcPr>
            <w:tcW w:w="6440" w:type="dxa"/>
            <w:vAlign w:val="bottom"/>
          </w:tcPr>
          <w:p>
            <w:pPr>
              <w:ind w:left="4340"/>
              <w:spacing w:after="0"/>
              <w:rPr>
                <w:sz w:val="20"/>
                <w:szCs w:val="20"/>
                <w:color w:val="auto"/>
              </w:rPr>
            </w:pPr>
            <w:r>
              <w:rPr>
                <w:rFonts w:ascii="Arial" w:cs="Arial" w:eastAsia="Arial" w:hAnsi="Arial"/>
                <w:sz w:val="15"/>
                <w:szCs w:val="15"/>
                <w:color w:val="auto"/>
              </w:rPr>
              <w:t>F-63</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6" w:right="1440" w:bottom="1440" w:gutter="0" w:footer="0" w:header="0"/>
        </w:sectPr>
      </w:pPr>
    </w:p>
    <w:bookmarkStart w:id="187" w:name="page188"/>
    <w:bookmarkEnd w:id="18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Movement of Warrant liabilities as of June 30, 2022 and 2021:</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63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tcPr>
          <w:p>
            <w:pPr>
              <w:ind w:left="300"/>
              <w:spacing w:after="0" w:line="136" w:lineRule="exact"/>
              <w:rPr>
                <w:sz w:val="20"/>
                <w:szCs w:val="20"/>
                <w:color w:val="auto"/>
              </w:rPr>
            </w:pPr>
            <w:r>
              <w:rPr>
                <w:rFonts w:ascii="Arial" w:cs="Arial" w:eastAsia="Arial" w:hAnsi="Arial"/>
                <w:sz w:val="12"/>
                <w:szCs w:val="12"/>
                <w:b w:val="1"/>
                <w:bCs w:val="1"/>
                <w:color w:val="auto"/>
              </w:rPr>
              <w:t>June 30,</w:t>
            </w:r>
          </w:p>
        </w:tc>
        <w:tc>
          <w:tcPr>
            <w:tcW w:w="880" w:type="dxa"/>
            <w:vAlign w:val="bottom"/>
            <w:tcBorders>
              <w:top w:val="single" w:sz="8" w:color="auto"/>
            </w:tcBorders>
          </w:tcPr>
          <w:p>
            <w:pPr>
              <w:jc w:val="right"/>
              <w:ind w:right="271"/>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6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2021</w:t>
            </w:r>
          </w:p>
        </w:tc>
      </w:tr>
      <w:tr>
        <w:trPr>
          <w:trHeight w:val="124"/>
        </w:trPr>
        <w:tc>
          <w:tcPr>
            <w:tcW w:w="6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ind w:left="940"/>
              <w:spacing w:after="0" w:line="124" w:lineRule="exact"/>
              <w:rPr>
                <w:sz w:val="20"/>
                <w:szCs w:val="20"/>
                <w:color w:val="auto"/>
              </w:rPr>
            </w:pPr>
            <w:r>
              <w:rPr>
                <w:rFonts w:ascii="Arial" w:cs="Arial" w:eastAsia="Arial" w:hAnsi="Arial"/>
                <w:sz w:val="12"/>
                <w:szCs w:val="12"/>
                <w:b w:val="1"/>
                <w:bCs w:val="1"/>
                <w:color w:val="auto"/>
              </w:rPr>
              <w:t>(US$’000)</w:t>
            </w:r>
          </w:p>
        </w:tc>
        <w:tc>
          <w:tcPr>
            <w:tcW w:w="880" w:type="dxa"/>
            <w:vAlign w:val="bottom"/>
            <w:tcBorders>
              <w:bottom w:val="single" w:sz="8" w:color="auto"/>
            </w:tcBorders>
          </w:tcPr>
          <w:p>
            <w:pPr>
              <w:spacing w:after="0"/>
              <w:rPr>
                <w:sz w:val="10"/>
                <w:szCs w:val="10"/>
                <w:color w:val="auto"/>
              </w:rPr>
            </w:pPr>
          </w:p>
        </w:tc>
      </w:tr>
      <w:tr>
        <w:trPr>
          <w:trHeight w:val="157"/>
        </w:trPr>
        <w:tc>
          <w:tcPr>
            <w:tcW w:w="630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Opening balance</w:t>
            </w:r>
          </w:p>
        </w:tc>
        <w:tc>
          <w:tcPr>
            <w:tcW w:w="11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13,621</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3,889</w:t>
            </w:r>
          </w:p>
        </w:tc>
      </w:tr>
      <w:tr>
        <w:trPr>
          <w:trHeight w:val="166"/>
        </w:trPr>
        <w:tc>
          <w:tcPr>
            <w:tcW w:w="6300" w:type="dxa"/>
            <w:vAlign w:val="bottom"/>
          </w:tcPr>
          <w:p>
            <w:pPr>
              <w:ind w:left="20"/>
              <w:spacing w:after="0" w:line="166" w:lineRule="exact"/>
              <w:rPr>
                <w:sz w:val="20"/>
                <w:szCs w:val="20"/>
                <w:color w:val="auto"/>
              </w:rPr>
            </w:pPr>
            <w:r>
              <w:rPr>
                <w:rFonts w:ascii="Arial" w:cs="Arial" w:eastAsia="Arial" w:hAnsi="Arial"/>
                <w:sz w:val="15"/>
                <w:szCs w:val="15"/>
                <w:color w:val="auto"/>
              </w:rPr>
              <w:t>Fair Value Adjustment</w:t>
            </w:r>
          </w:p>
        </w:tc>
        <w:tc>
          <w:tcPr>
            <w:tcW w:w="130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(3,926)</w:t>
            </w:r>
          </w:p>
        </w:tc>
        <w:tc>
          <w:tcPr>
            <w:tcW w:w="2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7,786</w:t>
            </w:r>
          </w:p>
        </w:tc>
      </w:tr>
      <w:tr>
        <w:trPr>
          <w:trHeight w:val="166"/>
        </w:trPr>
        <w:tc>
          <w:tcPr>
            <w:tcW w:w="630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Warrants vested during the year</w:t>
            </w:r>
          </w:p>
        </w:tc>
        <w:tc>
          <w:tcPr>
            <w:tcW w:w="11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1,616</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1,946</w:t>
            </w:r>
          </w:p>
        </w:tc>
      </w:tr>
      <w:tr>
        <w:trPr>
          <w:trHeight w:val="197"/>
        </w:trPr>
        <w:tc>
          <w:tcPr>
            <w:tcW w:w="6300" w:type="dxa"/>
            <w:vAlign w:val="bottom"/>
            <w:tcBorders>
              <w:bottom w:val="single" w:sz="8" w:color="CCEEFF"/>
            </w:tcBorders>
          </w:tcPr>
          <w:p>
            <w:pPr>
              <w:ind w:left="20"/>
              <w:spacing w:after="0" w:line="157" w:lineRule="exact"/>
              <w:rPr>
                <w:sz w:val="20"/>
                <w:szCs w:val="20"/>
                <w:color w:val="auto"/>
              </w:rPr>
            </w:pPr>
            <w:r>
              <w:rPr>
                <w:rFonts w:ascii="Arial" w:cs="Arial" w:eastAsia="Arial" w:hAnsi="Arial"/>
                <w:sz w:val="15"/>
                <w:szCs w:val="15"/>
                <w:b w:val="1"/>
                <w:bCs w:val="1"/>
                <w:color w:val="auto"/>
              </w:rPr>
              <w:t>Closing balance</w:t>
            </w: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11,311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13,621</w:t>
            </w:r>
          </w:p>
        </w:tc>
      </w:tr>
      <w:tr>
        <w:trPr>
          <w:trHeight w:val="139"/>
        </w:trPr>
        <w:tc>
          <w:tcPr>
            <w:tcW w:w="63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r>
    </w:tbl>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Fair value hierarchy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 uses the following hierarchy for determining and disclosing the fair value of financial instruments by valuation technique:</w:t>
      </w:r>
    </w:p>
    <w:p>
      <w:pPr>
        <w:spacing w:after="0" w:line="170" w:lineRule="exact"/>
        <w:rPr>
          <w:sz w:val="20"/>
          <w:szCs w:val="20"/>
          <w:color w:val="auto"/>
        </w:rPr>
      </w:pPr>
    </w:p>
    <w:p>
      <w:pPr>
        <w:ind w:left="580" w:hanging="258"/>
        <w:spacing w:after="0"/>
        <w:tabs>
          <w:tab w:leader="none" w:pos="580" w:val="left"/>
        </w:tabs>
        <w:numPr>
          <w:ilvl w:val="0"/>
          <w:numId w:val="119"/>
        </w:numPr>
        <w:rPr>
          <w:rFonts w:ascii="Times New Roman" w:cs="Times New Roman" w:eastAsia="Times New Roman" w:hAnsi="Times New Roman"/>
          <w:sz w:val="15"/>
          <w:szCs w:val="15"/>
          <w:color w:val="auto"/>
        </w:rPr>
      </w:pPr>
      <w:r>
        <w:rPr>
          <w:rFonts w:ascii="Arial" w:cs="Arial" w:eastAsia="Arial" w:hAnsi="Arial"/>
          <w:sz w:val="15"/>
          <w:szCs w:val="15"/>
          <w:color w:val="auto"/>
        </w:rPr>
        <w:t>Level 1: quoted (unadjusted) prices in active markets for identical assets and liabilities;</w:t>
      </w:r>
    </w:p>
    <w:p>
      <w:pPr>
        <w:spacing w:after="0" w:line="17" w:lineRule="exact"/>
        <w:rPr>
          <w:rFonts w:ascii="Times New Roman" w:cs="Times New Roman" w:eastAsia="Times New Roman" w:hAnsi="Times New Roman"/>
          <w:sz w:val="15"/>
          <w:szCs w:val="15"/>
          <w:color w:val="auto"/>
        </w:rPr>
      </w:pPr>
    </w:p>
    <w:p>
      <w:pPr>
        <w:ind w:left="580" w:right="59" w:hanging="258"/>
        <w:spacing w:after="0" w:line="230" w:lineRule="auto"/>
        <w:tabs>
          <w:tab w:leader="none" w:pos="580" w:val="left"/>
        </w:tabs>
        <w:numPr>
          <w:ilvl w:val="0"/>
          <w:numId w:val="119"/>
        </w:numPr>
        <w:rPr>
          <w:rFonts w:ascii="Times New Roman" w:cs="Times New Roman" w:eastAsia="Times New Roman" w:hAnsi="Times New Roman"/>
          <w:sz w:val="15"/>
          <w:szCs w:val="15"/>
          <w:color w:val="auto"/>
        </w:rPr>
      </w:pPr>
      <w:r>
        <w:rPr>
          <w:rFonts w:ascii="Arial" w:cs="Arial" w:eastAsia="Arial" w:hAnsi="Arial"/>
          <w:sz w:val="15"/>
          <w:szCs w:val="15"/>
          <w:color w:val="auto"/>
        </w:rPr>
        <w:t>Level 2: other techniques for which all inputs which have a significant effect on the recorded fair value are observable, either directly or indirectly; and</w:t>
      </w:r>
    </w:p>
    <w:p>
      <w:pPr>
        <w:ind w:left="580" w:right="59" w:hanging="258"/>
        <w:spacing w:after="0" w:line="239" w:lineRule="auto"/>
        <w:tabs>
          <w:tab w:leader="none" w:pos="580" w:val="left"/>
        </w:tabs>
        <w:numPr>
          <w:ilvl w:val="0"/>
          <w:numId w:val="119"/>
        </w:numPr>
        <w:rPr>
          <w:rFonts w:ascii="Times New Roman" w:cs="Times New Roman" w:eastAsia="Times New Roman" w:hAnsi="Times New Roman"/>
          <w:sz w:val="15"/>
          <w:szCs w:val="15"/>
          <w:color w:val="auto"/>
        </w:rPr>
      </w:pPr>
      <w:r>
        <w:rPr>
          <w:rFonts w:ascii="Arial" w:cs="Arial" w:eastAsia="Arial" w:hAnsi="Arial"/>
          <w:sz w:val="15"/>
          <w:szCs w:val="15"/>
          <w:color w:val="auto"/>
        </w:rPr>
        <w:t>Level 3: techniques which use inputs that have a significant effect on the recorded fair value that are not based on observable market data.</w:t>
      </w:r>
    </w:p>
    <w:p>
      <w:pPr>
        <w:spacing w:after="0" w:line="151"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fair value of the Group’s financial liability is measured at fair value on a recurring basis. The following table gives information about how the fair value of this financial liability is determined.</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512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100"/>
              <w:spacing w:after="0" w:line="136" w:lineRule="exact"/>
              <w:rPr>
                <w:sz w:val="20"/>
                <w:szCs w:val="20"/>
                <w:color w:val="auto"/>
              </w:rPr>
            </w:pPr>
            <w:r>
              <w:rPr>
                <w:rFonts w:ascii="Arial" w:cs="Arial" w:eastAsia="Arial" w:hAnsi="Arial"/>
                <w:sz w:val="12"/>
                <w:szCs w:val="12"/>
                <w:b w:val="1"/>
                <w:bCs w:val="1"/>
                <w:color w:val="auto"/>
              </w:rPr>
              <w:t>June 30,</w:t>
            </w:r>
          </w:p>
        </w:tc>
        <w:tc>
          <w:tcPr>
            <w:tcW w:w="700" w:type="dxa"/>
            <w:vAlign w:val="bottom"/>
            <w:tcBorders>
              <w:top w:val="single" w:sz="8" w:color="auto"/>
            </w:tcBorders>
          </w:tcPr>
          <w:p>
            <w:pPr>
              <w:jc w:val="right"/>
              <w:ind w:right="52"/>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51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2022</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2021</w:t>
            </w:r>
          </w:p>
        </w:tc>
      </w:tr>
      <w:tr>
        <w:trPr>
          <w:trHeight w:val="124"/>
        </w:trPr>
        <w:tc>
          <w:tcPr>
            <w:tcW w:w="51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432"/>
              <w:spacing w:after="0" w:line="124" w:lineRule="exact"/>
              <w:rPr>
                <w:sz w:val="20"/>
                <w:szCs w:val="20"/>
                <w:color w:val="auto"/>
              </w:rPr>
            </w:pPr>
            <w:r>
              <w:rPr>
                <w:rFonts w:ascii="Arial" w:cs="Arial" w:eastAsia="Arial" w:hAnsi="Arial"/>
                <w:sz w:val="12"/>
                <w:szCs w:val="12"/>
                <w:b w:val="1"/>
                <w:bCs w:val="1"/>
                <w:color w:val="auto"/>
              </w:rPr>
              <w:t>(US$’000)</w:t>
            </w:r>
          </w:p>
        </w:tc>
      </w:tr>
      <w:tr>
        <w:trPr>
          <w:trHeight w:val="157"/>
        </w:trPr>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Financial liabilities – fair value through profit and loss</w:t>
            </w:r>
          </w:p>
        </w:tc>
        <w:tc>
          <w:tcPr>
            <w:tcW w:w="226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b w:val="1"/>
                <w:bCs w:val="1"/>
                <w:color w:val="auto"/>
              </w:rPr>
              <w:t>Fair value hierarchy</w:t>
            </w: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6"/>
        </w:trPr>
        <w:tc>
          <w:tcPr>
            <w:tcW w:w="5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1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Warrant liabilities (Note 28)</w:t>
            </w:r>
          </w:p>
        </w:tc>
        <w:tc>
          <w:tcPr>
            <w:tcW w:w="2260" w:type="dxa"/>
            <w:vAlign w:val="bottom"/>
            <w:shd w:val="clear" w:color="auto" w:fill="CCEEFF"/>
          </w:tcPr>
          <w:p>
            <w:pPr>
              <w:ind w:left="280"/>
              <w:spacing w:after="0" w:line="166" w:lineRule="exact"/>
              <w:rPr>
                <w:sz w:val="20"/>
                <w:szCs w:val="20"/>
                <w:color w:val="auto"/>
              </w:rPr>
            </w:pPr>
            <w:r>
              <w:rPr>
                <w:rFonts w:ascii="Arial" w:cs="Arial" w:eastAsia="Arial" w:hAnsi="Arial"/>
                <w:sz w:val="15"/>
                <w:szCs w:val="15"/>
                <w:color w:val="auto"/>
              </w:rPr>
              <w:t>Level 3</w:t>
            </w: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11,311</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13,621</w:t>
            </w:r>
          </w:p>
        </w:tc>
      </w:tr>
      <w:tr>
        <w:trPr>
          <w:trHeight w:val="177"/>
        </w:trPr>
        <w:tc>
          <w:tcPr>
            <w:tcW w:w="5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liabilities – fair value through other comprehensive income</w:t>
            </w:r>
          </w:p>
        </w:tc>
        <w:tc>
          <w:tcPr>
            <w:tcW w:w="2260" w:type="dxa"/>
            <w:vAlign w:val="bottom"/>
            <w:shd w:val="clear" w:color="auto" w:fill="CCEEFF"/>
          </w:tcPr>
          <w:p>
            <w:pPr>
              <w:ind w:left="280"/>
              <w:spacing w:after="0"/>
              <w:rPr>
                <w:sz w:val="20"/>
                <w:szCs w:val="20"/>
                <w:color w:val="auto"/>
              </w:rPr>
            </w:pPr>
            <w:r>
              <w:rPr>
                <w:rFonts w:ascii="Arial" w:cs="Arial" w:eastAsia="Arial" w:hAnsi="Arial"/>
                <w:sz w:val="15"/>
                <w:szCs w:val="15"/>
                <w:b w:val="1"/>
                <w:bCs w:val="1"/>
                <w:color w:val="auto"/>
              </w:rPr>
              <w:t>Fair value hierarchy</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66"/>
        </w:trPr>
        <w:tc>
          <w:tcPr>
            <w:tcW w:w="5120" w:type="dxa"/>
            <w:vAlign w:val="bottom"/>
            <w:tcBorders>
              <w:bottom w:val="single" w:sz="8" w:color="CCEEFF"/>
            </w:tcBorders>
          </w:tcPr>
          <w:p>
            <w:pPr>
              <w:ind w:left="20"/>
              <w:spacing w:after="0" w:line="166" w:lineRule="exact"/>
              <w:rPr>
                <w:sz w:val="20"/>
                <w:szCs w:val="20"/>
                <w:color w:val="auto"/>
              </w:rPr>
            </w:pPr>
            <w:r>
              <w:rPr>
                <w:rFonts w:ascii="Arial" w:cs="Arial" w:eastAsia="Arial" w:hAnsi="Arial"/>
                <w:sz w:val="15"/>
                <w:szCs w:val="15"/>
                <w:color w:val="auto"/>
              </w:rPr>
              <w:t>Cash flow hedge (Note 15)</w:t>
            </w:r>
          </w:p>
        </w:tc>
        <w:tc>
          <w:tcPr>
            <w:tcW w:w="2260" w:type="dxa"/>
            <w:vAlign w:val="bottom"/>
            <w:tcBorders>
              <w:bottom w:val="single" w:sz="8" w:color="CCEEFF"/>
            </w:tcBorders>
          </w:tcPr>
          <w:p>
            <w:pPr>
              <w:ind w:left="280"/>
              <w:spacing w:after="0" w:line="166" w:lineRule="exact"/>
              <w:rPr>
                <w:sz w:val="20"/>
                <w:szCs w:val="20"/>
                <w:color w:val="auto"/>
              </w:rPr>
            </w:pPr>
            <w:r>
              <w:rPr>
                <w:rFonts w:ascii="Arial" w:cs="Arial" w:eastAsia="Arial" w:hAnsi="Arial"/>
                <w:sz w:val="15"/>
                <w:szCs w:val="15"/>
                <w:color w:val="auto"/>
              </w:rPr>
              <w:t>Level 2</w:t>
            </w:r>
          </w:p>
        </w:tc>
        <w:tc>
          <w:tcPr>
            <w:tcW w:w="7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992</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316</w:t>
            </w:r>
          </w:p>
        </w:tc>
      </w:tr>
      <w:tr>
        <w:trPr>
          <w:trHeight w:val="157"/>
        </w:trPr>
        <w:tc>
          <w:tcPr>
            <w:tcW w:w="512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12,303</w:t>
            </w: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13,937</w:t>
            </w:r>
          </w:p>
        </w:tc>
      </w:tr>
      <w:tr>
        <w:trPr>
          <w:trHeight w:val="20"/>
        </w:trPr>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9"/>
        </w:trPr>
        <w:tc>
          <w:tcPr>
            <w:tcW w:w="51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bl>
    <w:p>
      <w:pPr>
        <w:spacing w:after="0" w:line="15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Amounts reclassified from other comprehensive income to profit and loss related to cash flow hedges were $0.3 million and nil for the years ended June 30, 2022 and 2021, respectively. There were no transfers between the different hierarchies levels in the years ended June 30, 2022 and 2021.</w:t>
      </w:r>
    </w:p>
    <w:p>
      <w:pPr>
        <w:spacing w:after="0" w:line="146"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22.1.</w:t>
      </w:r>
      <w:r>
        <w:rPr>
          <w:sz w:val="20"/>
          <w:szCs w:val="20"/>
          <w:color w:val="auto"/>
        </w:rPr>
        <w:tab/>
      </w:r>
      <w:r>
        <w:rPr>
          <w:rFonts w:ascii="Arial" w:cs="Arial" w:eastAsia="Arial" w:hAnsi="Arial"/>
          <w:sz w:val="14"/>
          <w:szCs w:val="14"/>
          <w:b w:val="1"/>
          <w:bCs w:val="1"/>
          <w:color w:val="auto"/>
        </w:rPr>
        <w:t>Market risk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22.1.1 Interest rate risk</w:t>
      </w:r>
    </w:p>
    <w:p>
      <w:pPr>
        <w:spacing w:after="0" w:line="17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 Group’s exposure to market risk for changes in interest rates relates primarily to the cash and bank balances and credit facilities. Borrowings under the PNC Credit Facility bear interest at SOFR plus 1.75% and/or negative 0.5% of the PNC Commercial Lending Rate for domestic loans. The Group attempts to manage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8" w:name="page189"/>
    <w:bookmarkEnd w:id="18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its exposure to interest rate changes to mitigate the impact to its profitability and has used an interest rate swaps to achieve this goal.</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In March 2020, Ibex Global Solutions, Inc., entered into a $15 million notional floating to fixed interest-rate swap to hedge the interest rate risk on the first $15 million of its balance outstanding under the PNC Credit Facility. At the time the hedge was executed, all critical terms matched between the hedge and the hedged item. Hedge effectiveness was assessed prospectively at inception, and on an ongoing basis by confirming that the critical terms continue to match. For the year ended June 30, 2022, due to a temporary decline in the line of credit balance, the Company recorded $0.05 million of hedge ineffectiveness which is included in finance expenses. No hedge ineffectiveness was identified for the years ended June 30, 2021 and 2020. The fair value of the interest rate swap was $ 0.2 million asset as of June 30, 2022 and is included in trade and other receivables. As of June 30, 2021, the fair value of the interest rate hedge was $0.3 million liability and is included in trade and other payables.</w:t>
      </w:r>
    </w:p>
    <w:p>
      <w:pPr>
        <w:spacing w:after="0" w:line="153"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Effective June 1, 2022, the hedged debt index was changed from LIBOR to SOFR and the hedge documentation was updated to reflect this change on the effective date. The swap was not amended. As a result of Phase II practical expedients, the original hedge designation remains intact, and the Company will continue to apply a qualitative effectiveness assessment method.</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fair value of the interest rate swap as of June 30, 2022 and June 30, 2021 is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46"/>
              <w:spacing w:after="0" w:line="162" w:lineRule="exact"/>
              <w:rPr>
                <w:sz w:val="20"/>
                <w:szCs w:val="20"/>
                <w:color w:val="auto"/>
              </w:rPr>
            </w:pPr>
            <w:r>
              <w:rPr>
                <w:rFonts w:ascii="Arial" w:cs="Arial" w:eastAsia="Arial" w:hAnsi="Arial"/>
                <w:sz w:val="15"/>
                <w:szCs w:val="15"/>
                <w:b w:val="1"/>
                <w:bCs w:val="1"/>
                <w:color w:val="auto"/>
                <w:w w:val="94"/>
              </w:rPr>
              <w:t>USD</w:t>
            </w:r>
          </w:p>
        </w:tc>
        <w:tc>
          <w:tcPr>
            <w:tcW w:w="10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Floating rate</w:t>
            </w:r>
          </w:p>
        </w:tc>
        <w:tc>
          <w:tcPr>
            <w:tcW w:w="1220" w:type="dxa"/>
            <w:vAlign w:val="bottom"/>
            <w:tcBorders>
              <w:top w:val="single" w:sz="8" w:color="auto"/>
            </w:tcBorders>
          </w:tcPr>
          <w:p>
            <w:pPr>
              <w:jc w:val="right"/>
              <w:ind w:right="129"/>
              <w:spacing w:after="0" w:line="162" w:lineRule="exact"/>
              <w:rPr>
                <w:sz w:val="20"/>
                <w:szCs w:val="20"/>
                <w:color w:val="auto"/>
              </w:rPr>
            </w:pPr>
            <w:r>
              <w:rPr>
                <w:rFonts w:ascii="Arial" w:cs="Arial" w:eastAsia="Arial" w:hAnsi="Arial"/>
                <w:sz w:val="15"/>
                <w:szCs w:val="15"/>
                <w:b w:val="1"/>
                <w:bCs w:val="1"/>
                <w:color w:val="auto"/>
              </w:rPr>
              <w:t>Fixed rate</w:t>
            </w:r>
          </w:p>
        </w:tc>
        <w:tc>
          <w:tcPr>
            <w:tcW w:w="144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9"/>
              </w:rPr>
              <w:t>Fair value</w:t>
            </w:r>
          </w:p>
        </w:tc>
        <w:tc>
          <w:tcPr>
            <w:tcW w:w="20" w:type="dxa"/>
            <w:vAlign w:val="bottom"/>
          </w:tcPr>
          <w:p>
            <w:pPr>
              <w:spacing w:after="0"/>
              <w:rPr>
                <w:sz w:val="14"/>
                <w:szCs w:val="14"/>
                <w:color w:val="auto"/>
              </w:rPr>
            </w:pPr>
          </w:p>
        </w:tc>
      </w:tr>
      <w:tr>
        <w:trPr>
          <w:trHeight w:val="181"/>
        </w:trPr>
        <w:tc>
          <w:tcPr>
            <w:tcW w:w="3360" w:type="dxa"/>
            <w:vAlign w:val="bottom"/>
          </w:tcPr>
          <w:p>
            <w:pPr>
              <w:ind w:left="1620"/>
              <w:spacing w:after="0"/>
              <w:rPr>
                <w:sz w:val="20"/>
                <w:szCs w:val="20"/>
                <w:color w:val="auto"/>
              </w:rPr>
            </w:pPr>
            <w:r>
              <w:rPr>
                <w:rFonts w:ascii="Arial" w:cs="Arial" w:eastAsia="Arial" w:hAnsi="Arial"/>
                <w:sz w:val="15"/>
                <w:szCs w:val="15"/>
                <w:b w:val="1"/>
                <w:bCs w:val="1"/>
                <w:color w:val="auto"/>
              </w:rPr>
              <w:t>Maturity Date</w:t>
            </w:r>
          </w:p>
        </w:tc>
        <w:tc>
          <w:tcPr>
            <w:tcW w:w="980" w:type="dxa"/>
            <w:vAlign w:val="bottom"/>
          </w:tcPr>
          <w:p>
            <w:pPr>
              <w:spacing w:after="0"/>
              <w:rPr>
                <w:sz w:val="15"/>
                <w:szCs w:val="15"/>
                <w:color w:val="auto"/>
              </w:rPr>
            </w:pPr>
          </w:p>
        </w:tc>
        <w:tc>
          <w:tcPr>
            <w:tcW w:w="860" w:type="dxa"/>
            <w:vAlign w:val="bottom"/>
          </w:tcPr>
          <w:p>
            <w:pPr>
              <w:jc w:val="center"/>
              <w:ind w:right="46"/>
              <w:spacing w:after="0"/>
              <w:rPr>
                <w:sz w:val="20"/>
                <w:szCs w:val="20"/>
                <w:color w:val="auto"/>
              </w:rPr>
            </w:pPr>
            <w:r>
              <w:rPr>
                <w:rFonts w:ascii="Arial" w:cs="Arial" w:eastAsia="Arial" w:hAnsi="Arial"/>
                <w:sz w:val="15"/>
                <w:szCs w:val="15"/>
                <w:b w:val="1"/>
                <w:bCs w:val="1"/>
                <w:color w:val="auto"/>
                <w:w w:val="96"/>
              </w:rPr>
              <w:t>Notional</w:t>
            </w:r>
          </w:p>
        </w:tc>
        <w:tc>
          <w:tcPr>
            <w:tcW w:w="1080" w:type="dxa"/>
            <w:vAlign w:val="bottom"/>
          </w:tcPr>
          <w:p>
            <w:pPr>
              <w:jc w:val="right"/>
              <w:ind w:right="26"/>
              <w:spacing w:after="0"/>
              <w:rPr>
                <w:sz w:val="20"/>
                <w:szCs w:val="20"/>
                <w:color w:val="auto"/>
              </w:rPr>
            </w:pPr>
            <w:r>
              <w:rPr>
                <w:rFonts w:ascii="Arial" w:cs="Arial" w:eastAsia="Arial" w:hAnsi="Arial"/>
                <w:sz w:val="15"/>
                <w:szCs w:val="15"/>
                <w:b w:val="1"/>
                <w:bCs w:val="1"/>
                <w:color w:val="auto"/>
              </w:rPr>
              <w:t>receivable</w:t>
            </w:r>
          </w:p>
        </w:tc>
        <w:tc>
          <w:tcPr>
            <w:tcW w:w="1220" w:type="dxa"/>
            <w:vAlign w:val="bottom"/>
          </w:tcPr>
          <w:p>
            <w:pPr>
              <w:jc w:val="right"/>
              <w:ind w:right="189"/>
              <w:spacing w:after="0"/>
              <w:rPr>
                <w:sz w:val="20"/>
                <w:szCs w:val="20"/>
                <w:color w:val="auto"/>
              </w:rPr>
            </w:pPr>
            <w:r>
              <w:rPr>
                <w:rFonts w:ascii="Arial" w:cs="Arial" w:eastAsia="Arial" w:hAnsi="Arial"/>
                <w:sz w:val="15"/>
                <w:szCs w:val="15"/>
                <w:b w:val="1"/>
                <w:bCs w:val="1"/>
                <w:color w:val="auto"/>
              </w:rPr>
              <w:t>payable</w:t>
            </w:r>
          </w:p>
        </w:tc>
        <w:tc>
          <w:tcPr>
            <w:tcW w:w="14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7"/>
              </w:rPr>
              <w:t>(liability) / asset</w:t>
            </w:r>
          </w:p>
        </w:tc>
      </w:tr>
      <w:tr>
        <w:trPr>
          <w:trHeight w:val="157"/>
        </w:trPr>
        <w:tc>
          <w:tcPr>
            <w:tcW w:w="33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w w:val="98"/>
              </w:rPr>
              <w:t>(US$’000)</w:t>
            </w:r>
          </w:p>
        </w:tc>
        <w:tc>
          <w:tcPr>
            <w:tcW w:w="14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3360" w:type="dxa"/>
            <w:vAlign w:val="bottom"/>
          </w:tcPr>
          <w:p>
            <w:pPr>
              <w:ind w:left="20"/>
              <w:spacing w:after="0" w:line="157" w:lineRule="exact"/>
              <w:rPr>
                <w:sz w:val="20"/>
                <w:szCs w:val="20"/>
                <w:color w:val="auto"/>
              </w:rPr>
            </w:pPr>
            <w:r>
              <w:rPr>
                <w:rFonts w:ascii="Arial" w:cs="Arial" w:eastAsia="Arial" w:hAnsi="Arial"/>
                <w:sz w:val="15"/>
                <w:szCs w:val="15"/>
                <w:b w:val="1"/>
                <w:bCs w:val="1"/>
                <w:color w:val="auto"/>
              </w:rPr>
              <w:t>Interest rate swap</w:t>
            </w: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33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March 26, 2023</w:t>
            </w:r>
          </w:p>
        </w:tc>
        <w:tc>
          <w:tcPr>
            <w:tcW w:w="980" w:type="dxa"/>
            <w:vAlign w:val="bottom"/>
            <w:shd w:val="clear" w:color="auto" w:fill="CCEEFF"/>
          </w:tcPr>
          <w:p>
            <w:pPr>
              <w:jc w:val="right"/>
              <w:ind w:right="6"/>
              <w:spacing w:after="0" w:line="166" w:lineRule="exact"/>
              <w:rPr>
                <w:sz w:val="20"/>
                <w:szCs w:val="20"/>
                <w:color w:val="auto"/>
              </w:rPr>
            </w:pPr>
            <w:r>
              <w:rPr>
                <w:rFonts w:ascii="Arial" w:cs="Arial" w:eastAsia="Arial" w:hAnsi="Arial"/>
                <w:sz w:val="15"/>
                <w:szCs w:val="15"/>
                <w:color w:val="auto"/>
              </w:rPr>
              <w:t>$</w:t>
            </w:r>
          </w:p>
        </w:tc>
        <w:tc>
          <w:tcPr>
            <w:tcW w:w="1940" w:type="dxa"/>
            <w:vAlign w:val="bottom"/>
            <w:gridSpan w:val="2"/>
            <w:shd w:val="clear" w:color="auto" w:fill="CCEEFF"/>
          </w:tcPr>
          <w:p>
            <w:pPr>
              <w:jc w:val="right"/>
              <w:ind w:right="26"/>
              <w:spacing w:after="0" w:line="166" w:lineRule="exact"/>
              <w:rPr>
                <w:sz w:val="20"/>
                <w:szCs w:val="20"/>
                <w:color w:val="auto"/>
              </w:rPr>
            </w:pPr>
            <w:r>
              <w:rPr>
                <w:rFonts w:ascii="Arial" w:cs="Arial" w:eastAsia="Arial" w:hAnsi="Arial"/>
                <w:sz w:val="15"/>
                <w:szCs w:val="15"/>
                <w:color w:val="auto"/>
              </w:rPr>
              <w:t>15,000 1M USD-SOFR</w:t>
            </w:r>
          </w:p>
        </w:tc>
        <w:tc>
          <w:tcPr>
            <w:tcW w:w="1220" w:type="dxa"/>
            <w:vAlign w:val="bottom"/>
            <w:shd w:val="clear" w:color="auto" w:fill="CCEEFF"/>
          </w:tcPr>
          <w:p>
            <w:pPr>
              <w:jc w:val="right"/>
              <w:ind w:right="69"/>
              <w:spacing w:after="0" w:line="166" w:lineRule="exact"/>
              <w:rPr>
                <w:sz w:val="20"/>
                <w:szCs w:val="20"/>
                <w:color w:val="auto"/>
              </w:rPr>
            </w:pPr>
            <w:r>
              <w:rPr>
                <w:rFonts w:ascii="Arial" w:cs="Arial" w:eastAsia="Arial" w:hAnsi="Arial"/>
                <w:sz w:val="15"/>
                <w:szCs w:val="15"/>
                <w:color w:val="auto"/>
              </w:rPr>
              <w:t>1.43%</w:t>
            </w:r>
          </w:p>
        </w:tc>
        <w:tc>
          <w:tcPr>
            <w:tcW w:w="144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3360" w:type="dxa"/>
            <w:vAlign w:val="bottom"/>
            <w:tcBorders>
              <w:bottom w:val="single" w:sz="8" w:color="CCEEFF"/>
            </w:tcBorders>
          </w:tcPr>
          <w:p>
            <w:pPr>
              <w:ind w:left="20"/>
              <w:spacing w:after="0" w:line="157" w:lineRule="exact"/>
              <w:rPr>
                <w:sz w:val="20"/>
                <w:szCs w:val="20"/>
                <w:color w:val="auto"/>
              </w:rPr>
            </w:pPr>
            <w:r>
              <w:rPr>
                <w:rFonts w:ascii="Arial" w:cs="Arial" w:eastAsia="Arial" w:hAnsi="Arial"/>
                <w:sz w:val="15"/>
                <w:szCs w:val="15"/>
                <w:b w:val="1"/>
                <w:bCs w:val="1"/>
                <w:color w:val="auto"/>
              </w:rPr>
              <w:t>Fair value as of June 30, 2021</w:t>
            </w:r>
          </w:p>
        </w:tc>
        <w:tc>
          <w:tcPr>
            <w:tcW w:w="9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jc w:val="right"/>
              <w:spacing w:after="0" w:line="157" w:lineRule="exact"/>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(316)</w:t>
            </w:r>
          </w:p>
        </w:tc>
        <w:tc>
          <w:tcPr>
            <w:tcW w:w="20" w:type="dxa"/>
            <w:vAlign w:val="bottom"/>
          </w:tcPr>
          <w:p>
            <w:pPr>
              <w:spacing w:after="0"/>
              <w:rPr>
                <w:sz w:val="13"/>
                <w:szCs w:val="13"/>
                <w:color w:val="auto"/>
              </w:rPr>
            </w:pPr>
          </w:p>
        </w:tc>
      </w:tr>
      <w:tr>
        <w:trPr>
          <w:trHeight w:val="159"/>
        </w:trPr>
        <w:tc>
          <w:tcPr>
            <w:tcW w:w="3360" w:type="dxa"/>
            <w:vAlign w:val="bottom"/>
            <w:tcBorders>
              <w:bottom w:val="single" w:sz="8" w:color="auto"/>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Fair value as of June 30, 2022</w:t>
            </w:r>
          </w:p>
        </w:tc>
        <w:tc>
          <w:tcPr>
            <w:tcW w:w="9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170</w:t>
            </w:r>
          </w:p>
        </w:tc>
        <w:tc>
          <w:tcPr>
            <w:tcW w:w="20" w:type="dxa"/>
            <w:vAlign w:val="bottom"/>
          </w:tcPr>
          <w:p>
            <w:pPr>
              <w:spacing w:after="0"/>
              <w:rPr>
                <w:sz w:val="13"/>
                <w:szCs w:val="13"/>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Based on the Group’s debt position as of June 30, 2022 and taking into account the impact of the interest-rate swap referred above; a 1% change in interest rates would impact the finance costs by $0.5 million (June 30, 2021: $0.9 million).</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22.1.2 Foreign currency exchange risk</w:t>
      </w:r>
    </w:p>
    <w:p>
      <w:pPr>
        <w:spacing w:after="0" w:line="170"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The Group serves many of our U.S.-based clients using contact center capacity in various countries such as Philippines, Pakistan, Nicaragua, Honduras, and Jamaica. Although contracts with these clients are typically priced in U.S. dollars, a substantial portion of related costs is denominated in the local currency of the country where services are provided, resulting in foreign currency exposure which could have an impact on our results of operations. Our primary foreign currency exposures are in Philippine Peso, Jamaican Dollar and Pakistan Rupee; to a lesser extent, we have exposures in Euro, Pound Sterling, CFA Franc (XOF), Nicaraguan Cordoba, Canadian Dollar, and Honduran Lempira. There can be no assurance that we can take actions to mitigate such exposure in the future, and if taken, that such actions will be successful or that future changes in currency exchange rates will not have a material adverse impact on our future operating results. A significant change in the value of the U.S. Dollar against the currency of one or more countries where we operate may have a material adverse effect on our financial condition and results of operations.</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Foreign currency exchange risk arises mainly where receivables and payables exist due to transactions entered into in foreign currencies. As such, the Company is exposed to the following foreign currency exchange risks: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89" w:name="page190"/>
    <w:bookmarkEnd w:id="18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60" w:right="59" w:hanging="425"/>
        <w:spacing w:after="0" w:line="244" w:lineRule="auto"/>
        <w:tabs>
          <w:tab w:leader="none" w:pos="460" w:val="left"/>
        </w:tabs>
        <w:numPr>
          <w:ilvl w:val="0"/>
          <w:numId w:val="120"/>
        </w:numPr>
        <w:rPr>
          <w:rFonts w:ascii="Times New Roman" w:cs="Times New Roman" w:eastAsia="Times New Roman" w:hAnsi="Times New Roman"/>
          <w:sz w:val="15"/>
          <w:szCs w:val="15"/>
          <w:color w:val="auto"/>
        </w:rPr>
      </w:pPr>
      <w:r>
        <w:rPr>
          <w:rFonts w:ascii="Arial" w:cs="Arial" w:eastAsia="Arial" w:hAnsi="Arial"/>
          <w:sz w:val="15"/>
          <w:szCs w:val="15"/>
          <w:color w:val="auto"/>
        </w:rPr>
        <w:t>Transaction foreign currency risk is the exchange risk associated with the time delay between entering into a contract and settling it. Greater time differences exacerbate transaction foreign currency risk, as there is more time for the two exchange rates to fluctuate.</w:t>
      </w:r>
    </w:p>
    <w:p>
      <w:pPr>
        <w:spacing w:after="0" w:line="147" w:lineRule="exact"/>
        <w:rPr>
          <w:rFonts w:ascii="Times New Roman" w:cs="Times New Roman" w:eastAsia="Times New Roman" w:hAnsi="Times New Roman"/>
          <w:sz w:val="15"/>
          <w:szCs w:val="15"/>
          <w:color w:val="auto"/>
        </w:rPr>
      </w:pPr>
    </w:p>
    <w:p>
      <w:pPr>
        <w:jc w:val="both"/>
        <w:ind w:left="460" w:right="39" w:hanging="425"/>
        <w:spacing w:after="0" w:line="238" w:lineRule="auto"/>
        <w:tabs>
          <w:tab w:leader="none" w:pos="460" w:val="left"/>
        </w:tabs>
        <w:numPr>
          <w:ilvl w:val="0"/>
          <w:numId w:val="120"/>
        </w:numPr>
        <w:rPr>
          <w:rFonts w:ascii="Times New Roman" w:cs="Times New Roman" w:eastAsia="Times New Roman" w:hAnsi="Times New Roman"/>
          <w:sz w:val="15"/>
          <w:szCs w:val="15"/>
          <w:color w:val="auto"/>
        </w:rPr>
      </w:pPr>
      <w:r>
        <w:rPr>
          <w:rFonts w:ascii="Arial" w:cs="Arial" w:eastAsia="Arial" w:hAnsi="Arial"/>
          <w:sz w:val="15"/>
          <w:szCs w:val="15"/>
          <w:color w:val="auto"/>
        </w:rPr>
        <w:t>Translation foreign currency risk is the risk that the Company’s non-U.S. Dollar assets and liabilities will change in value as a result of exchange rate changes. Monetary assets and liabilities are translated into U.S. Dollars at the applicable exchange rate prevailing at the applicable date. Any adverse valuation moves due to exchange rate changes at such time are charged directly and could impact our financial position and results of operations. For the purposes of preparing the consolidated financial statements, the Group convert subsidiaries’ financial statements as follows:</w:t>
      </w:r>
    </w:p>
    <w:p>
      <w:pPr>
        <w:spacing w:after="0" w:line="151" w:lineRule="exact"/>
        <w:rPr>
          <w:sz w:val="20"/>
          <w:szCs w:val="20"/>
          <w:color w:val="auto"/>
        </w:rPr>
      </w:pPr>
    </w:p>
    <w:p>
      <w:pPr>
        <w:jc w:val="both"/>
        <w:ind w:left="720" w:right="59" w:hanging="265"/>
        <w:spacing w:after="0" w:line="237" w:lineRule="auto"/>
        <w:tabs>
          <w:tab w:leader="none" w:pos="720" w:val="left"/>
        </w:tabs>
        <w:numPr>
          <w:ilvl w:val="0"/>
          <w:numId w:val="121"/>
        </w:numPr>
        <w:rPr>
          <w:rFonts w:ascii="Courier New" w:cs="Courier New" w:eastAsia="Courier New" w:hAnsi="Courier New"/>
          <w:sz w:val="15"/>
          <w:szCs w:val="15"/>
          <w:color w:val="auto"/>
        </w:rPr>
      </w:pPr>
      <w:r>
        <w:rPr>
          <w:rFonts w:ascii="Arial" w:cs="Arial" w:eastAsia="Arial" w:hAnsi="Arial"/>
          <w:sz w:val="15"/>
          <w:szCs w:val="15"/>
          <w:color w:val="auto"/>
        </w:rPr>
        <w:t>Statements of financial position are translated into U.S. Dollars from local currencies at the period-end exchange rate, shareholders’ equity is translated at historical exchange rates prevailing on the transaction date and income and cash flow statements are translated at average exchange rates for the period.</w:t>
      </w:r>
    </w:p>
    <w:p>
      <w:pPr>
        <w:spacing w:after="0" w:line="151" w:lineRule="exact"/>
        <w:rPr>
          <w:sz w:val="20"/>
          <w:szCs w:val="20"/>
          <w:color w:val="auto"/>
        </w:rPr>
      </w:pPr>
    </w:p>
    <w:p>
      <w:pPr>
        <w:jc w:val="both"/>
        <w:ind w:left="40" w:right="39"/>
        <w:spacing w:after="0" w:line="252" w:lineRule="auto"/>
        <w:rPr>
          <w:sz w:val="20"/>
          <w:szCs w:val="20"/>
          <w:color w:val="auto"/>
        </w:rPr>
      </w:pPr>
      <w:r>
        <w:rPr>
          <w:rFonts w:ascii="Arial" w:cs="Arial" w:eastAsia="Arial" w:hAnsi="Arial"/>
          <w:sz w:val="14"/>
          <w:szCs w:val="14"/>
          <w:color w:val="auto"/>
        </w:rPr>
        <w:t>With all other variables held constant, a 5.0% depreciation in the Philippine Peso against the U.S. dollar would have increased net income after taxation in the fiscal year ended June 30, 2022 by approximately $1.0 million (June 30, 2021: $1.6 million). Conversely, a 5.0% appreciation in the Philippine Peso against the U.S. dollar would have decreased net income after taxation in the fiscal year ended June 30, 2022 by approximately $1.0 million (June 30, 2021: $1.6 million). A 5.0% depreciation in Euro against the U.S. dollar would have decreased net loss after taxation in the fiscal year ended June 30, 2022 by approximately $0.2 million (June 30, 2021: $0.1 million). Conversely, a 5.0% appreciation in the Euro against the U.S. dollar would have increased net loss after taxation in the fiscal year ended June 30, 2022 by approximately $0.2 million (June 30, 2021: $0.1 million). Similarly, a 5.0% depreciation in the Pakistan Rupee against the U.S. dollar would have increased our net income after taxation in the fiscal year ended June 30, 2022 by approximately $0.1 million (June 30, 2021: $0.3 million). Conversely, a 5.0% appreciation in the Pakistan Rupee against the U.S. dollar would have decreased our net income after taxation in the fiscal year ended June 30, 2022 by approximately $0.1 million (June 30, 2021: $0.3 million).</w:t>
      </w:r>
    </w:p>
    <w:p>
      <w:pPr>
        <w:spacing w:after="0" w:line="14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During the year ended June 30, 2022, the Group entered into foreign currency exchange contracts, consisting of offsetting foreign exchange option contracts (“zero-cost collars” or “collars”), to mitigate foreign exchange fluctuations on the Philippine Peso (“PHP”) within a certain range and on a certain percentage of its PHP operating costs. The zero-cost collars were recognized, in accordance with IFRS 9, as financial assets (or liabilities, as applicable) at fair value through other comprehensive income.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0" w:name="page191"/>
    <w:bookmarkEnd w:id="19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As of June 30, 2022, the fair value of the foreign exchange option contracts that were recognized as financial assets and liabilities at fair value through other comprehensive income were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left="86"/>
              <w:spacing w:after="0" w:line="162" w:lineRule="exact"/>
              <w:rPr>
                <w:sz w:val="20"/>
                <w:szCs w:val="20"/>
                <w:color w:val="auto"/>
              </w:rPr>
            </w:pPr>
            <w:r>
              <w:rPr>
                <w:rFonts w:ascii="Arial" w:cs="Arial" w:eastAsia="Arial" w:hAnsi="Arial"/>
                <w:sz w:val="15"/>
                <w:szCs w:val="15"/>
                <w:b w:val="1"/>
                <w:bCs w:val="1"/>
                <w:color w:val="auto"/>
                <w:w w:val="96"/>
              </w:rPr>
              <w:t>Notional</w:t>
            </w: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4"/>
              </w:rPr>
              <w:t>Fair Value</w:t>
            </w:r>
          </w:p>
        </w:tc>
      </w:tr>
      <w:tr>
        <w:trPr>
          <w:trHeight w:val="166"/>
        </w:trPr>
        <w:tc>
          <w:tcPr>
            <w:tcW w:w="3880" w:type="dxa"/>
            <w:vAlign w:val="bottom"/>
          </w:tcPr>
          <w:p>
            <w:pPr>
              <w:spacing w:after="0"/>
              <w:rPr>
                <w:sz w:val="14"/>
                <w:szCs w:val="14"/>
                <w:color w:val="auto"/>
              </w:rPr>
            </w:pPr>
          </w:p>
        </w:tc>
        <w:tc>
          <w:tcPr>
            <w:tcW w:w="1540" w:type="dxa"/>
            <w:vAlign w:val="bottom"/>
          </w:tcPr>
          <w:p>
            <w:pPr>
              <w:jc w:val="center"/>
              <w:ind w:left="406"/>
              <w:spacing w:after="0" w:line="166" w:lineRule="exact"/>
              <w:rPr>
                <w:sz w:val="20"/>
                <w:szCs w:val="20"/>
                <w:color w:val="auto"/>
              </w:rPr>
            </w:pPr>
            <w:r>
              <w:rPr>
                <w:rFonts w:ascii="Arial" w:cs="Arial" w:eastAsia="Arial" w:hAnsi="Arial"/>
                <w:sz w:val="15"/>
                <w:szCs w:val="15"/>
                <w:b w:val="1"/>
                <w:bCs w:val="1"/>
                <w:color w:val="auto"/>
                <w:w w:val="98"/>
              </w:rPr>
              <w:t>Hedged</w:t>
            </w:r>
          </w:p>
        </w:tc>
        <w:tc>
          <w:tcPr>
            <w:tcW w:w="1220" w:type="dxa"/>
            <w:vAlign w:val="bottom"/>
          </w:tcPr>
          <w:p>
            <w:pPr>
              <w:jc w:val="center"/>
              <w:ind w:left="86"/>
              <w:spacing w:after="0" w:line="166" w:lineRule="exact"/>
              <w:rPr>
                <w:sz w:val="20"/>
                <w:szCs w:val="20"/>
                <w:color w:val="auto"/>
              </w:rPr>
            </w:pPr>
            <w:r>
              <w:rPr>
                <w:rFonts w:ascii="Arial" w:cs="Arial" w:eastAsia="Arial" w:hAnsi="Arial"/>
                <w:sz w:val="15"/>
                <w:szCs w:val="15"/>
                <w:b w:val="1"/>
                <w:bCs w:val="1"/>
                <w:color w:val="auto"/>
                <w:w w:val="98"/>
              </w:rPr>
              <w:t>foreign</w:t>
            </w:r>
          </w:p>
        </w:tc>
        <w:tc>
          <w:tcPr>
            <w:tcW w:w="320" w:type="dxa"/>
            <w:vAlign w:val="bottom"/>
          </w:tcPr>
          <w:p>
            <w:pPr>
              <w:spacing w:after="0"/>
              <w:rPr>
                <w:sz w:val="14"/>
                <w:szCs w:val="14"/>
                <w:color w:val="auto"/>
              </w:rPr>
            </w:pPr>
          </w:p>
        </w:tc>
        <w:tc>
          <w:tcPr>
            <w:tcW w:w="880" w:type="dxa"/>
            <w:vAlign w:val="bottom"/>
          </w:tcPr>
          <w:p>
            <w:pPr>
              <w:jc w:val="center"/>
              <w:ind w:right="166"/>
              <w:spacing w:after="0" w:line="166" w:lineRule="exact"/>
              <w:rPr>
                <w:sz w:val="20"/>
                <w:szCs w:val="20"/>
                <w:color w:val="auto"/>
              </w:rPr>
            </w:pPr>
            <w:r>
              <w:rPr>
                <w:rFonts w:ascii="Arial" w:cs="Arial" w:eastAsia="Arial" w:hAnsi="Arial"/>
                <w:sz w:val="15"/>
                <w:szCs w:val="15"/>
                <w:b w:val="1"/>
                <w:bCs w:val="1"/>
                <w:color w:val="auto"/>
                <w:w w:val="99"/>
              </w:rPr>
              <w:t>Notional</w:t>
            </w:r>
          </w:p>
        </w:tc>
        <w:tc>
          <w:tcPr>
            <w:tcW w:w="110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8"/>
              </w:rPr>
              <w:t>assets /</w:t>
            </w:r>
          </w:p>
        </w:tc>
      </w:tr>
      <w:tr>
        <w:trPr>
          <w:trHeight w:val="181"/>
        </w:trPr>
        <w:tc>
          <w:tcPr>
            <w:tcW w:w="3880" w:type="dxa"/>
            <w:vAlign w:val="bottom"/>
            <w:tcBorders>
              <w:bottom w:val="single" w:sz="8" w:color="auto"/>
            </w:tcBorders>
          </w:tcPr>
          <w:p>
            <w:pPr>
              <w:ind w:left="1600"/>
              <w:spacing w:after="0"/>
              <w:rPr>
                <w:sz w:val="20"/>
                <w:szCs w:val="20"/>
                <w:color w:val="auto"/>
              </w:rPr>
            </w:pPr>
            <w:r>
              <w:rPr>
                <w:rFonts w:ascii="Arial" w:cs="Arial" w:eastAsia="Arial" w:hAnsi="Arial"/>
                <w:sz w:val="15"/>
                <w:szCs w:val="15"/>
                <w:b w:val="1"/>
                <w:bCs w:val="1"/>
                <w:color w:val="auto"/>
              </w:rPr>
              <w:t>Settlement date</w:t>
            </w:r>
          </w:p>
        </w:tc>
        <w:tc>
          <w:tcPr>
            <w:tcW w:w="1540" w:type="dxa"/>
            <w:vAlign w:val="bottom"/>
            <w:tcBorders>
              <w:bottom w:val="single" w:sz="8" w:color="auto"/>
            </w:tcBorders>
          </w:tcPr>
          <w:p>
            <w:pPr>
              <w:jc w:val="center"/>
              <w:ind w:left="406"/>
              <w:spacing w:after="0"/>
              <w:rPr>
                <w:sz w:val="20"/>
                <w:szCs w:val="20"/>
                <w:color w:val="auto"/>
              </w:rPr>
            </w:pPr>
            <w:r>
              <w:rPr>
                <w:rFonts w:ascii="Arial" w:cs="Arial" w:eastAsia="Arial" w:hAnsi="Arial"/>
                <w:sz w:val="15"/>
                <w:szCs w:val="15"/>
                <w:b w:val="1"/>
                <w:bCs w:val="1"/>
                <w:color w:val="auto"/>
                <w:w w:val="97"/>
              </w:rPr>
              <w:t>currency</w:t>
            </w:r>
          </w:p>
        </w:tc>
        <w:tc>
          <w:tcPr>
            <w:tcW w:w="122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b w:val="1"/>
                <w:bCs w:val="1"/>
                <w:color w:val="auto"/>
                <w:w w:val="98"/>
              </w:rPr>
              <w:t>currency rate</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6"/>
              <w:spacing w:after="0"/>
              <w:rPr>
                <w:sz w:val="20"/>
                <w:szCs w:val="20"/>
                <w:color w:val="auto"/>
              </w:rPr>
            </w:pPr>
            <w:r>
              <w:rPr>
                <w:rFonts w:ascii="Arial" w:cs="Arial" w:eastAsia="Arial" w:hAnsi="Arial"/>
                <w:sz w:val="15"/>
                <w:szCs w:val="15"/>
                <w:b w:val="1"/>
                <w:bCs w:val="1"/>
                <w:color w:val="auto"/>
                <w:w w:val="95"/>
              </w:rPr>
              <w:t>amount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(liabilities)</w:t>
            </w:r>
          </w:p>
        </w:tc>
      </w:tr>
      <w:tr>
        <w:trPr>
          <w:trHeight w:val="157"/>
        </w:trPr>
        <w:tc>
          <w:tcPr>
            <w:tcW w:w="38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(US$’000)</w:t>
            </w: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7"/>
        </w:trPr>
        <w:tc>
          <w:tcPr>
            <w:tcW w:w="3880" w:type="dxa"/>
            <w:vAlign w:val="bottom"/>
          </w:tcPr>
          <w:p>
            <w:pPr>
              <w:ind w:left="20"/>
              <w:spacing w:after="0" w:line="157" w:lineRule="exact"/>
              <w:rPr>
                <w:sz w:val="20"/>
                <w:szCs w:val="20"/>
                <w:color w:val="auto"/>
              </w:rPr>
            </w:pPr>
            <w:r>
              <w:rPr>
                <w:rFonts w:ascii="Arial" w:cs="Arial" w:eastAsia="Arial" w:hAnsi="Arial"/>
                <w:sz w:val="15"/>
                <w:szCs w:val="15"/>
                <w:b w:val="1"/>
                <w:bCs w:val="1"/>
                <w:color w:val="auto"/>
              </w:rPr>
              <w:t>Foreign currency option contracts - assets</w:t>
            </w:r>
          </w:p>
        </w:tc>
        <w:tc>
          <w:tcPr>
            <w:tcW w:w="1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6"/>
        </w:trPr>
        <w:tc>
          <w:tcPr>
            <w:tcW w:w="38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July 5, 2022 through June 20, 2023</w:t>
            </w:r>
          </w:p>
        </w:tc>
        <w:tc>
          <w:tcPr>
            <w:tcW w:w="1540" w:type="dxa"/>
            <w:vAlign w:val="bottom"/>
            <w:shd w:val="clear" w:color="auto" w:fill="CCEEFF"/>
          </w:tcPr>
          <w:p>
            <w:pPr>
              <w:jc w:val="center"/>
              <w:ind w:left="406"/>
              <w:spacing w:after="0" w:line="166" w:lineRule="exact"/>
              <w:rPr>
                <w:sz w:val="20"/>
                <w:szCs w:val="20"/>
                <w:color w:val="auto"/>
              </w:rPr>
            </w:pPr>
            <w:r>
              <w:rPr>
                <w:rFonts w:ascii="Arial" w:cs="Arial" w:eastAsia="Arial" w:hAnsi="Arial"/>
                <w:sz w:val="15"/>
                <w:szCs w:val="15"/>
                <w:color w:val="auto"/>
                <w:w w:val="97"/>
              </w:rPr>
              <w:t>PHP</w:t>
            </w:r>
          </w:p>
        </w:tc>
        <w:tc>
          <w:tcPr>
            <w:tcW w:w="1220" w:type="dxa"/>
            <w:vAlign w:val="bottom"/>
            <w:shd w:val="clear" w:color="auto" w:fill="CCEEFF"/>
          </w:tcPr>
          <w:p>
            <w:pPr>
              <w:jc w:val="center"/>
              <w:ind w:left="86"/>
              <w:spacing w:after="0" w:line="166" w:lineRule="exact"/>
              <w:rPr>
                <w:sz w:val="20"/>
                <w:szCs w:val="20"/>
                <w:color w:val="auto"/>
              </w:rPr>
            </w:pPr>
            <w:r>
              <w:rPr>
                <w:rFonts w:ascii="Arial" w:cs="Arial" w:eastAsia="Arial" w:hAnsi="Arial"/>
                <w:sz w:val="15"/>
                <w:szCs w:val="15"/>
                <w:color w:val="auto"/>
                <w:w w:val="97"/>
              </w:rPr>
              <w:t>49.00-54.20</w:t>
            </w:r>
          </w:p>
        </w:tc>
        <w:tc>
          <w:tcPr>
            <w:tcW w:w="320" w:type="dxa"/>
            <w:vAlign w:val="bottom"/>
            <w:shd w:val="clear" w:color="auto" w:fill="CCEEFF"/>
          </w:tcPr>
          <w:p>
            <w:pPr>
              <w:jc w:val="right"/>
              <w:ind w:right="86"/>
              <w:spacing w:after="0" w:line="166"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center"/>
              <w:ind w:right="166"/>
              <w:spacing w:after="0" w:line="166" w:lineRule="exact"/>
              <w:rPr>
                <w:sz w:val="20"/>
                <w:szCs w:val="20"/>
                <w:color w:val="auto"/>
              </w:rPr>
            </w:pPr>
            <w:r>
              <w:rPr>
                <w:rFonts w:ascii="Arial" w:cs="Arial" w:eastAsia="Arial" w:hAnsi="Arial"/>
                <w:sz w:val="15"/>
                <w:szCs w:val="15"/>
                <w:color w:val="auto"/>
                <w:w w:val="95"/>
              </w:rPr>
              <w:t>21,380</w:t>
            </w:r>
          </w:p>
        </w:tc>
        <w:tc>
          <w:tcPr>
            <w:tcW w:w="11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11</w:t>
            </w:r>
          </w:p>
        </w:tc>
      </w:tr>
      <w:tr>
        <w:trPr>
          <w:trHeight w:val="159"/>
        </w:trPr>
        <w:tc>
          <w:tcPr>
            <w:tcW w:w="388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5"/>
                <w:szCs w:val="15"/>
                <w:b w:val="1"/>
                <w:bCs w:val="1"/>
                <w:color w:val="auto"/>
              </w:rPr>
              <w:t>Fair value as of June 30, 2022</w:t>
            </w:r>
          </w:p>
        </w:tc>
        <w:tc>
          <w:tcPr>
            <w:tcW w:w="1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11</w:t>
            </w:r>
          </w:p>
        </w:tc>
      </w:tr>
      <w:tr>
        <w:trPr>
          <w:trHeight w:val="166"/>
        </w:trPr>
        <w:tc>
          <w:tcPr>
            <w:tcW w:w="38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Foreign currency option contracts - liabilities</w:t>
            </w:r>
          </w:p>
        </w:tc>
        <w:tc>
          <w:tcPr>
            <w:tcW w:w="15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6"/>
        </w:trPr>
        <w:tc>
          <w:tcPr>
            <w:tcW w:w="3880" w:type="dxa"/>
            <w:vAlign w:val="bottom"/>
            <w:tcBorders>
              <w:bottom w:val="single" w:sz="8" w:color="CCEEFF"/>
            </w:tcBorders>
          </w:tcPr>
          <w:p>
            <w:pPr>
              <w:ind w:left="20"/>
              <w:spacing w:after="0" w:line="166" w:lineRule="exact"/>
              <w:rPr>
                <w:sz w:val="20"/>
                <w:szCs w:val="20"/>
                <w:color w:val="auto"/>
              </w:rPr>
            </w:pPr>
            <w:r>
              <w:rPr>
                <w:rFonts w:ascii="Arial" w:cs="Arial" w:eastAsia="Arial" w:hAnsi="Arial"/>
                <w:sz w:val="15"/>
                <w:szCs w:val="15"/>
                <w:color w:val="auto"/>
              </w:rPr>
              <w:t>July 5, 2022 through June 20, 2023</w:t>
            </w:r>
          </w:p>
        </w:tc>
        <w:tc>
          <w:tcPr>
            <w:tcW w:w="1540" w:type="dxa"/>
            <w:vAlign w:val="bottom"/>
            <w:tcBorders>
              <w:bottom w:val="single" w:sz="8" w:color="CCEEFF"/>
            </w:tcBorders>
          </w:tcPr>
          <w:p>
            <w:pPr>
              <w:jc w:val="center"/>
              <w:ind w:left="406"/>
              <w:spacing w:after="0" w:line="166" w:lineRule="exact"/>
              <w:rPr>
                <w:sz w:val="20"/>
                <w:szCs w:val="20"/>
                <w:color w:val="auto"/>
              </w:rPr>
            </w:pPr>
            <w:r>
              <w:rPr>
                <w:rFonts w:ascii="Arial" w:cs="Arial" w:eastAsia="Arial" w:hAnsi="Arial"/>
                <w:sz w:val="15"/>
                <w:szCs w:val="15"/>
                <w:color w:val="auto"/>
                <w:w w:val="97"/>
              </w:rPr>
              <w:t>PHP</w:t>
            </w:r>
          </w:p>
        </w:tc>
        <w:tc>
          <w:tcPr>
            <w:tcW w:w="1220" w:type="dxa"/>
            <w:vAlign w:val="bottom"/>
            <w:tcBorders>
              <w:bottom w:val="single" w:sz="8" w:color="CCEEFF"/>
            </w:tcBorders>
          </w:tcPr>
          <w:p>
            <w:pPr>
              <w:jc w:val="center"/>
              <w:ind w:left="86"/>
              <w:spacing w:after="0" w:line="166" w:lineRule="exact"/>
              <w:rPr>
                <w:sz w:val="20"/>
                <w:szCs w:val="20"/>
                <w:color w:val="auto"/>
              </w:rPr>
            </w:pPr>
            <w:r>
              <w:rPr>
                <w:rFonts w:ascii="Arial" w:cs="Arial" w:eastAsia="Arial" w:hAnsi="Arial"/>
                <w:sz w:val="15"/>
                <w:szCs w:val="15"/>
                <w:color w:val="auto"/>
                <w:w w:val="97"/>
              </w:rPr>
              <w:t>49.00-54.20</w:t>
            </w:r>
          </w:p>
        </w:tc>
        <w:tc>
          <w:tcPr>
            <w:tcW w:w="320" w:type="dxa"/>
            <w:vAlign w:val="bottom"/>
            <w:tcBorders>
              <w:bottom w:val="single" w:sz="8" w:color="CCEEFF"/>
            </w:tcBorders>
          </w:tcPr>
          <w:p>
            <w:pPr>
              <w:jc w:val="right"/>
              <w:ind w:right="86"/>
              <w:spacing w:after="0" w:line="16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tcPr>
          <w:p>
            <w:pPr>
              <w:jc w:val="center"/>
              <w:ind w:right="166"/>
              <w:spacing w:after="0" w:line="166" w:lineRule="exact"/>
              <w:rPr>
                <w:sz w:val="20"/>
                <w:szCs w:val="20"/>
                <w:color w:val="auto"/>
              </w:rPr>
            </w:pPr>
            <w:r>
              <w:rPr>
                <w:rFonts w:ascii="Arial" w:cs="Arial" w:eastAsia="Arial" w:hAnsi="Arial"/>
                <w:sz w:val="15"/>
                <w:szCs w:val="15"/>
                <w:color w:val="auto"/>
                <w:w w:val="95"/>
              </w:rPr>
              <w:t>21,380</w:t>
            </w:r>
          </w:p>
        </w:tc>
        <w:tc>
          <w:tcPr>
            <w:tcW w:w="11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992</w:t>
            </w:r>
          </w:p>
        </w:tc>
      </w:tr>
      <w:tr>
        <w:trPr>
          <w:trHeight w:val="159"/>
        </w:trPr>
        <w:tc>
          <w:tcPr>
            <w:tcW w:w="3880" w:type="dxa"/>
            <w:vAlign w:val="bottom"/>
            <w:tcBorders>
              <w:bottom w:val="single" w:sz="8" w:color="auto"/>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Fair value as of June 30, 2022</w:t>
            </w:r>
          </w:p>
        </w:tc>
        <w:tc>
          <w:tcPr>
            <w:tcW w:w="15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992</w:t>
            </w: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fair value of the zero-cost collars are included in trade and other payables and other current assets in the statement of financial position, as applicable.</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models used to determine the fair value of the cash flow hedges incorporate various inputs such as foreign exchange spot rates, interest rate curves, and the terms of the contracts. These cash flow hedges are considered Level 2 within the fair value hierarchy.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22.1.3. Hedge accounting</w:t>
      </w:r>
    </w:p>
    <w:p>
      <w:pPr>
        <w:spacing w:after="0" w:line="7" w:lineRule="exact"/>
        <w:rPr>
          <w:sz w:val="20"/>
          <w:szCs w:val="20"/>
          <w:color w:val="auto"/>
        </w:rPr>
      </w:pPr>
    </w:p>
    <w:p>
      <w:pPr>
        <w:jc w:val="both"/>
        <w:ind w:left="40" w:right="39"/>
        <w:spacing w:after="0" w:line="233" w:lineRule="auto"/>
        <w:rPr>
          <w:sz w:val="20"/>
          <w:szCs w:val="20"/>
          <w:color w:val="auto"/>
        </w:rPr>
      </w:pPr>
      <w:r>
        <w:rPr>
          <w:rFonts w:ascii="Arial" w:cs="Arial" w:eastAsia="Arial" w:hAnsi="Arial"/>
          <w:sz w:val="15"/>
          <w:szCs w:val="15"/>
          <w:color w:val="auto"/>
        </w:rPr>
        <w:t>The effective portion of changes in the fair value of derivatives that are designated and qualify as cash flow hedges are recognized in other comprehensive income and accumulated under the heading of cash flow hedging reserve, limited to the cumulative change in fair value of the hedged item from inception of the hedge. Ineffectiveness is recognized immediately in finance expenses, as it relates to the interest rate swap, or payroll and related costs, as it relates to the foreign exchange option contracts, in the statements of other comprehensive income. Amounts previously recognized in other comprehensive income and accumulated in equity are reclassified to profit or loss in the periods when the hedged item affects profit or loss, in the same line as the recognized hedged item. During the year ended June 30, 2022, the Group reclassified a loss of $0.3 million related to its collars in payroll and related costs.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Movement of the cash flow hedge reserve is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5560" w:type="dxa"/>
            <w:vAlign w:val="bottom"/>
          </w:tcPr>
          <w:p>
            <w:pPr>
              <w:spacing w:after="0"/>
              <w:rPr>
                <w:sz w:val="14"/>
                <w:szCs w:val="14"/>
                <w:color w:val="auto"/>
              </w:rPr>
            </w:pPr>
          </w:p>
        </w:tc>
        <w:tc>
          <w:tcPr>
            <w:tcW w:w="1160" w:type="dxa"/>
            <w:vAlign w:val="bottom"/>
          </w:tcPr>
          <w:p>
            <w:pPr>
              <w:ind w:left="500"/>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w:t>
            </w:r>
          </w:p>
        </w:tc>
      </w:tr>
      <w:tr>
        <w:trPr>
          <w:trHeight w:val="167"/>
        </w:trPr>
        <w:tc>
          <w:tcPr>
            <w:tcW w:w="6720" w:type="dxa"/>
            <w:vAlign w:val="bottom"/>
            <w:tcBorders>
              <w:bottom w:val="single" w:sz="8" w:color="auto"/>
            </w:tcBorders>
            <w:gridSpan w:val="2"/>
          </w:tcPr>
          <w:p>
            <w:pPr>
              <w:ind w:left="620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7"/>
        </w:trPr>
        <w:tc>
          <w:tcPr>
            <w:tcW w:w="55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(US$’000)</w:t>
            </w:r>
          </w:p>
        </w:tc>
        <w:tc>
          <w:tcPr>
            <w:tcW w:w="12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20" w:type="dxa"/>
            <w:vAlign w:val="bottom"/>
          </w:tcPr>
          <w:p>
            <w:pPr>
              <w:spacing w:after="0"/>
              <w:rPr>
                <w:sz w:val="13"/>
                <w:szCs w:val="13"/>
                <w:color w:val="auto"/>
              </w:rPr>
            </w:pPr>
          </w:p>
        </w:tc>
      </w:tr>
      <w:tr>
        <w:trPr>
          <w:trHeight w:val="155"/>
        </w:trPr>
        <w:tc>
          <w:tcPr>
            <w:tcW w:w="6720" w:type="dxa"/>
            <w:vAlign w:val="bottom"/>
            <w:gridSpan w:val="2"/>
          </w:tcPr>
          <w:p>
            <w:pPr>
              <w:ind w:left="20"/>
              <w:spacing w:after="0"/>
              <w:rPr>
                <w:sz w:val="20"/>
                <w:szCs w:val="20"/>
                <w:color w:val="auto"/>
              </w:rPr>
            </w:pPr>
            <w:r>
              <w:rPr>
                <w:rFonts w:ascii="Arial" w:cs="Arial" w:eastAsia="Arial" w:hAnsi="Arial"/>
                <w:sz w:val="13"/>
                <w:szCs w:val="13"/>
                <w:color w:val="auto"/>
              </w:rPr>
              <w:t>Loss / (gain) arising on changes in fair value of hedging instruments during the period</w:t>
            </w:r>
          </w:p>
        </w:tc>
        <w:tc>
          <w:tcPr>
            <w:tcW w:w="420" w:type="dxa"/>
            <w:vAlign w:val="bottom"/>
          </w:tcPr>
          <w:p>
            <w:pPr>
              <w:jc w:val="right"/>
              <w:spacing w:after="0"/>
              <w:rPr>
                <w:sz w:val="20"/>
                <w:szCs w:val="20"/>
                <w:color w:val="auto"/>
              </w:rPr>
            </w:pPr>
            <w:r>
              <w:rPr>
                <w:rFonts w:ascii="Arial" w:cs="Arial" w:eastAsia="Arial" w:hAnsi="Arial"/>
                <w:sz w:val="13"/>
                <w:szCs w:val="13"/>
                <w:color w:val="auto"/>
              </w:rPr>
              <w:t>860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13"/>
                <w:szCs w:val="13"/>
                <w:color w:val="auto"/>
              </w:rPr>
            </w:pPr>
          </w:p>
        </w:tc>
      </w:tr>
      <w:tr>
        <w:trPr>
          <w:trHeight w:val="155"/>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(Loss) / gain reclassified to profit or loss - hedged item has affected profit or loss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(319)</w:t>
            </w: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95"/>
        </w:trPr>
        <w:tc>
          <w:tcPr>
            <w:tcW w:w="6720" w:type="dxa"/>
            <w:vAlign w:val="bottom"/>
            <w:gridSpan w:val="2"/>
          </w:tcPr>
          <w:p>
            <w:pPr>
              <w:ind w:left="20"/>
              <w:spacing w:after="0"/>
              <w:rPr>
                <w:sz w:val="20"/>
                <w:szCs w:val="20"/>
                <w:color w:val="auto"/>
              </w:rPr>
            </w:pPr>
            <w:r>
              <w:rPr>
                <w:rFonts w:ascii="Arial" w:cs="Arial" w:eastAsia="Arial" w:hAnsi="Arial"/>
                <w:sz w:val="13"/>
                <w:szCs w:val="13"/>
                <w:b w:val="1"/>
                <w:bCs w:val="1"/>
                <w:color w:val="auto"/>
              </w:rPr>
              <w:t>Closing balance</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857</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316</w:t>
            </w:r>
          </w:p>
        </w:tc>
        <w:tc>
          <w:tcPr>
            <w:tcW w:w="20" w:type="dxa"/>
            <w:vAlign w:val="bottom"/>
          </w:tcPr>
          <w:p>
            <w:pPr>
              <w:spacing w:after="0"/>
              <w:rPr>
                <w:sz w:val="16"/>
                <w:szCs w:val="16"/>
                <w:color w:val="auto"/>
              </w:rPr>
            </w:pPr>
          </w:p>
        </w:tc>
      </w:tr>
      <w:tr>
        <w:trPr>
          <w:trHeight w:val="172"/>
        </w:trPr>
        <w:tc>
          <w:tcPr>
            <w:tcW w:w="5560" w:type="dxa"/>
            <w:vAlign w:val="bottom"/>
            <w:tcBorders>
              <w:top w:val="single" w:sz="8" w:color="CCEEFF"/>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bl>
    <w:p>
      <w:pPr>
        <w:spacing w:after="0" w:line="151"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22.2.</w:t>
      </w:r>
      <w:r>
        <w:rPr>
          <w:sz w:val="20"/>
          <w:szCs w:val="20"/>
          <w:color w:val="auto"/>
        </w:rPr>
        <w:tab/>
      </w:r>
      <w:r>
        <w:rPr>
          <w:rFonts w:ascii="Arial" w:cs="Arial" w:eastAsia="Arial" w:hAnsi="Arial"/>
          <w:sz w:val="14"/>
          <w:szCs w:val="14"/>
          <w:b w:val="1"/>
          <w:bCs w:val="1"/>
          <w:color w:val="auto"/>
        </w:rPr>
        <w:t>Credit risk</w:t>
      </w:r>
    </w:p>
    <w:p>
      <w:pPr>
        <w:spacing w:after="0" w:line="7" w:lineRule="exact"/>
        <w:rPr>
          <w:sz w:val="20"/>
          <w:szCs w:val="20"/>
          <w:color w:val="auto"/>
        </w:rPr>
      </w:pPr>
    </w:p>
    <w:p>
      <w:pPr>
        <w:jc w:val="both"/>
        <w:ind w:left="40" w:right="59"/>
        <w:spacing w:after="0" w:line="237" w:lineRule="auto"/>
        <w:rPr>
          <w:sz w:val="20"/>
          <w:szCs w:val="20"/>
          <w:color w:val="auto"/>
        </w:rPr>
      </w:pPr>
      <w:r>
        <w:rPr>
          <w:rFonts w:ascii="Arial" w:cs="Arial" w:eastAsia="Arial" w:hAnsi="Arial"/>
          <w:sz w:val="15"/>
          <w:szCs w:val="15"/>
          <w:color w:val="auto"/>
        </w:rPr>
        <w:t>Credit risk is the risk that one party to a financial instrument will fail to discharge an obligation and causes the other party to incur a financial loss. The Group is exposed to credit risk on its accounts receivable mainly in the communications services, technology, consumer, and industrials sectors. The Group mitigates the risk by diversifying its client base in these sectors.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1" w:name="page192"/>
    <w:bookmarkEnd w:id="19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Financial instruments which potentially expose the Group to concentrations of credit risk consist primarily of cash and cash equivalents, accounts receivable, loans and advances and notes receivable. The Group’s cash and cash equivalents are held with US and foreign commercial banks. The balance at times may exceed insured limits.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Credit rating wise breakup of bank balances: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6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3"/>
          </w:tcPr>
          <w:p>
            <w:pPr>
              <w:jc w:val="center"/>
              <w:ind w:right="460"/>
              <w:spacing w:after="0" w:line="136" w:lineRule="exact"/>
              <w:rPr>
                <w:sz w:val="20"/>
                <w:szCs w:val="20"/>
                <w:color w:val="auto"/>
              </w:rPr>
            </w:pPr>
            <w:r>
              <w:rPr>
                <w:rFonts w:ascii="Arial" w:cs="Arial" w:eastAsia="Arial" w:hAnsi="Arial"/>
                <w:sz w:val="12"/>
                <w:szCs w:val="12"/>
                <w:b w:val="1"/>
                <w:bCs w:val="1"/>
                <w:color w:val="auto"/>
                <w:w w:val="95"/>
              </w:rPr>
              <w:t>June 30,</w:t>
            </w:r>
          </w:p>
        </w:tc>
        <w:tc>
          <w:tcPr>
            <w:tcW w:w="880" w:type="dxa"/>
            <w:vAlign w:val="bottom"/>
            <w:tcBorders>
              <w:top w:val="single" w:sz="8" w:color="auto"/>
            </w:tcBorders>
          </w:tcPr>
          <w:p>
            <w:pPr>
              <w:jc w:val="center"/>
              <w:ind w:right="209"/>
              <w:spacing w:after="0" w:line="136" w:lineRule="exact"/>
              <w:rPr>
                <w:sz w:val="20"/>
                <w:szCs w:val="20"/>
                <w:color w:val="auto"/>
              </w:rPr>
            </w:pPr>
            <w:r>
              <w:rPr>
                <w:rFonts w:ascii="Arial" w:cs="Arial" w:eastAsia="Arial" w:hAnsi="Arial"/>
                <w:sz w:val="12"/>
                <w:szCs w:val="12"/>
                <w:b w:val="1"/>
                <w:bCs w:val="1"/>
                <w:color w:val="auto"/>
                <w:w w:val="99"/>
              </w:rPr>
              <w:t>June 30,</w:t>
            </w:r>
          </w:p>
        </w:tc>
      </w:tr>
      <w:tr>
        <w:trPr>
          <w:trHeight w:val="141"/>
        </w:trPr>
        <w:tc>
          <w:tcPr>
            <w:tcW w:w="6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2"/>
                <w:szCs w:val="12"/>
                <w:b w:val="1"/>
                <w:bCs w:val="1"/>
                <w:color w:val="auto"/>
                <w:w w:val="97"/>
              </w:rPr>
              <w:t>2022</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89"/>
              <w:spacing w:after="0"/>
              <w:rPr>
                <w:sz w:val="20"/>
                <w:szCs w:val="20"/>
                <w:color w:val="auto"/>
              </w:rPr>
            </w:pPr>
            <w:r>
              <w:rPr>
                <w:rFonts w:ascii="Arial" w:cs="Arial" w:eastAsia="Arial" w:hAnsi="Arial"/>
                <w:sz w:val="12"/>
                <w:szCs w:val="12"/>
                <w:b w:val="1"/>
                <w:bCs w:val="1"/>
                <w:color w:val="auto"/>
                <w:w w:val="97"/>
              </w:rPr>
              <w:t>2021</w:t>
            </w:r>
          </w:p>
        </w:tc>
      </w:tr>
      <w:tr>
        <w:trPr>
          <w:trHeight w:val="124"/>
        </w:trPr>
        <w:tc>
          <w:tcPr>
            <w:tcW w:w="6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ind w:left="980"/>
              <w:spacing w:after="0" w:line="124" w:lineRule="exact"/>
              <w:rPr>
                <w:sz w:val="20"/>
                <w:szCs w:val="20"/>
                <w:color w:val="auto"/>
              </w:rPr>
            </w:pPr>
            <w:r>
              <w:rPr>
                <w:rFonts w:ascii="Arial" w:cs="Arial" w:eastAsia="Arial" w:hAnsi="Arial"/>
                <w:sz w:val="12"/>
                <w:szCs w:val="12"/>
                <w:b w:val="1"/>
                <w:bCs w:val="1"/>
                <w:color w:val="auto"/>
              </w:rPr>
              <w:t>(US$’000)</w:t>
            </w:r>
          </w:p>
        </w:tc>
        <w:tc>
          <w:tcPr>
            <w:tcW w:w="880" w:type="dxa"/>
            <w:vAlign w:val="bottom"/>
            <w:tcBorders>
              <w:bottom w:val="single" w:sz="8" w:color="auto"/>
            </w:tcBorders>
          </w:tcPr>
          <w:p>
            <w:pPr>
              <w:spacing w:after="0"/>
              <w:rPr>
                <w:sz w:val="10"/>
                <w:szCs w:val="10"/>
                <w:color w:val="auto"/>
              </w:rPr>
            </w:pPr>
          </w:p>
        </w:tc>
      </w:tr>
      <w:tr>
        <w:trPr>
          <w:trHeight w:val="157"/>
        </w:trPr>
        <w:tc>
          <w:tcPr>
            <w:tcW w:w="628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A-1+</w:t>
            </w:r>
          </w:p>
        </w:tc>
        <w:tc>
          <w:tcPr>
            <w:tcW w:w="13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3,283</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2,396</w:t>
            </w:r>
          </w:p>
        </w:tc>
      </w:tr>
      <w:tr>
        <w:trPr>
          <w:trHeight w:val="166"/>
        </w:trPr>
        <w:tc>
          <w:tcPr>
            <w:tcW w:w="6280" w:type="dxa"/>
            <w:vAlign w:val="bottom"/>
          </w:tcPr>
          <w:p>
            <w:pPr>
              <w:ind w:left="20"/>
              <w:spacing w:after="0" w:line="166" w:lineRule="exact"/>
              <w:rPr>
                <w:sz w:val="20"/>
                <w:szCs w:val="20"/>
                <w:color w:val="auto"/>
              </w:rPr>
            </w:pPr>
            <w:r>
              <w:rPr>
                <w:rFonts w:ascii="Arial" w:cs="Arial" w:eastAsia="Arial" w:hAnsi="Arial"/>
                <w:sz w:val="15"/>
                <w:szCs w:val="15"/>
                <w:color w:val="auto"/>
              </w:rPr>
              <w:t>A-1</w:t>
            </w:r>
          </w:p>
        </w:tc>
        <w:tc>
          <w:tcPr>
            <w:tcW w:w="13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42,146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62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AA-</w:t>
            </w:r>
          </w:p>
        </w:tc>
        <w:tc>
          <w:tcPr>
            <w:tcW w:w="13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694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6280" w:type="dxa"/>
            <w:vAlign w:val="bottom"/>
          </w:tcPr>
          <w:p>
            <w:pPr>
              <w:ind w:left="20"/>
              <w:spacing w:after="0" w:line="166" w:lineRule="exact"/>
              <w:rPr>
                <w:sz w:val="20"/>
                <w:szCs w:val="20"/>
                <w:color w:val="auto"/>
              </w:rPr>
            </w:pPr>
            <w:r>
              <w:rPr>
                <w:rFonts w:ascii="Arial" w:cs="Arial" w:eastAsia="Arial" w:hAnsi="Arial"/>
                <w:sz w:val="15"/>
                <w:szCs w:val="15"/>
                <w:color w:val="auto"/>
              </w:rPr>
              <w:t>A+</w:t>
            </w:r>
          </w:p>
        </w:tc>
        <w:tc>
          <w:tcPr>
            <w:tcW w:w="13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524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45,082</w:t>
            </w:r>
          </w:p>
        </w:tc>
      </w:tr>
      <w:tr>
        <w:trPr>
          <w:trHeight w:val="166"/>
        </w:trPr>
        <w:tc>
          <w:tcPr>
            <w:tcW w:w="62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A</w:t>
            </w:r>
          </w:p>
        </w:tc>
        <w:tc>
          <w:tcPr>
            <w:tcW w:w="18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500"/>
              <w:spacing w:after="0" w:line="166"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3,138</w:t>
            </w:r>
          </w:p>
        </w:tc>
      </w:tr>
      <w:tr>
        <w:trPr>
          <w:trHeight w:val="166"/>
        </w:trPr>
        <w:tc>
          <w:tcPr>
            <w:tcW w:w="6280" w:type="dxa"/>
            <w:vAlign w:val="bottom"/>
          </w:tcPr>
          <w:p>
            <w:pPr>
              <w:ind w:left="20"/>
              <w:spacing w:after="0" w:line="166" w:lineRule="exact"/>
              <w:rPr>
                <w:sz w:val="20"/>
                <w:szCs w:val="20"/>
                <w:color w:val="auto"/>
              </w:rPr>
            </w:pPr>
            <w:r>
              <w:rPr>
                <w:rFonts w:ascii="Arial" w:cs="Arial" w:eastAsia="Arial" w:hAnsi="Arial"/>
                <w:sz w:val="15"/>
                <w:szCs w:val="15"/>
                <w:color w:val="auto"/>
              </w:rPr>
              <w:t>A-</w:t>
            </w:r>
          </w:p>
        </w:tc>
        <w:tc>
          <w:tcPr>
            <w:tcW w:w="180" w:type="dxa"/>
            <w:vAlign w:val="bottom"/>
          </w:tcPr>
          <w:p>
            <w:pPr>
              <w:spacing w:after="0"/>
              <w:rPr>
                <w:sz w:val="14"/>
                <w:szCs w:val="14"/>
                <w:color w:val="auto"/>
              </w:rPr>
            </w:pPr>
          </w:p>
        </w:tc>
        <w:tc>
          <w:tcPr>
            <w:tcW w:w="1600" w:type="dxa"/>
            <w:vAlign w:val="bottom"/>
            <w:gridSpan w:val="3"/>
          </w:tcPr>
          <w:p>
            <w:pPr>
              <w:jc w:val="right"/>
              <w:ind w:right="500"/>
              <w:spacing w:after="0" w:line="166"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403</w:t>
            </w:r>
          </w:p>
        </w:tc>
      </w:tr>
      <w:tr>
        <w:trPr>
          <w:trHeight w:val="166"/>
        </w:trPr>
        <w:tc>
          <w:tcPr>
            <w:tcW w:w="62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A-3</w:t>
            </w:r>
          </w:p>
        </w:tc>
        <w:tc>
          <w:tcPr>
            <w:tcW w:w="13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128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r>
      <w:tr>
        <w:trPr>
          <w:trHeight w:val="166"/>
        </w:trPr>
        <w:tc>
          <w:tcPr>
            <w:tcW w:w="6280" w:type="dxa"/>
            <w:vAlign w:val="bottom"/>
          </w:tcPr>
          <w:p>
            <w:pPr>
              <w:ind w:left="20"/>
              <w:spacing w:after="0" w:line="166" w:lineRule="exact"/>
              <w:rPr>
                <w:sz w:val="20"/>
                <w:szCs w:val="20"/>
                <w:color w:val="auto"/>
              </w:rPr>
            </w:pPr>
            <w:r>
              <w:rPr>
                <w:rFonts w:ascii="Arial" w:cs="Arial" w:eastAsia="Arial" w:hAnsi="Arial"/>
                <w:sz w:val="15"/>
                <w:szCs w:val="15"/>
                <w:color w:val="auto"/>
              </w:rPr>
              <w:t>B+</w:t>
            </w:r>
          </w:p>
        </w:tc>
        <w:tc>
          <w:tcPr>
            <w:tcW w:w="13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943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955</w:t>
            </w:r>
          </w:p>
        </w:tc>
      </w:tr>
      <w:tr>
        <w:trPr>
          <w:trHeight w:val="166"/>
        </w:trPr>
        <w:tc>
          <w:tcPr>
            <w:tcW w:w="62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BA3</w:t>
            </w:r>
          </w:p>
        </w:tc>
        <w:tc>
          <w:tcPr>
            <w:tcW w:w="13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73</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90</w:t>
            </w:r>
          </w:p>
        </w:tc>
      </w:tr>
      <w:tr>
        <w:trPr>
          <w:trHeight w:val="166"/>
        </w:trPr>
        <w:tc>
          <w:tcPr>
            <w:tcW w:w="6280" w:type="dxa"/>
            <w:vAlign w:val="bottom"/>
          </w:tcPr>
          <w:p>
            <w:pPr>
              <w:ind w:left="20"/>
              <w:spacing w:after="0" w:line="166" w:lineRule="exact"/>
              <w:rPr>
                <w:sz w:val="20"/>
                <w:szCs w:val="20"/>
                <w:color w:val="auto"/>
              </w:rPr>
            </w:pPr>
            <w:r>
              <w:rPr>
                <w:rFonts w:ascii="Arial" w:cs="Arial" w:eastAsia="Arial" w:hAnsi="Arial"/>
                <w:sz w:val="15"/>
                <w:szCs w:val="15"/>
                <w:color w:val="auto"/>
              </w:rPr>
              <w:t>BBB+</w:t>
            </w:r>
          </w:p>
        </w:tc>
        <w:tc>
          <w:tcPr>
            <w:tcW w:w="180" w:type="dxa"/>
            <w:vAlign w:val="bottom"/>
          </w:tcPr>
          <w:p>
            <w:pPr>
              <w:spacing w:after="0"/>
              <w:rPr>
                <w:sz w:val="14"/>
                <w:szCs w:val="14"/>
                <w:color w:val="auto"/>
              </w:rPr>
            </w:pPr>
          </w:p>
        </w:tc>
        <w:tc>
          <w:tcPr>
            <w:tcW w:w="1600" w:type="dxa"/>
            <w:vAlign w:val="bottom"/>
            <w:gridSpan w:val="3"/>
          </w:tcPr>
          <w:p>
            <w:pPr>
              <w:jc w:val="right"/>
              <w:ind w:right="500"/>
              <w:spacing w:after="0" w:line="166"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4,635</w:t>
            </w:r>
          </w:p>
        </w:tc>
      </w:tr>
      <w:tr>
        <w:trPr>
          <w:trHeight w:val="166"/>
        </w:trPr>
        <w:tc>
          <w:tcPr>
            <w:tcW w:w="62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BBB</w:t>
            </w:r>
          </w:p>
        </w:tc>
        <w:tc>
          <w:tcPr>
            <w:tcW w:w="13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1,015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1,118</w:t>
            </w:r>
          </w:p>
        </w:tc>
      </w:tr>
      <w:tr>
        <w:trPr>
          <w:trHeight w:val="166"/>
        </w:trPr>
        <w:tc>
          <w:tcPr>
            <w:tcW w:w="6280" w:type="dxa"/>
            <w:vAlign w:val="bottom"/>
            <w:tcBorders>
              <w:bottom w:val="single" w:sz="8" w:color="CCEEFF"/>
            </w:tcBorders>
          </w:tcPr>
          <w:p>
            <w:pPr>
              <w:ind w:left="20"/>
              <w:spacing w:after="0" w:line="166" w:lineRule="exact"/>
              <w:rPr>
                <w:sz w:val="20"/>
                <w:szCs w:val="20"/>
                <w:color w:val="auto"/>
              </w:rPr>
            </w:pPr>
            <w:r>
              <w:rPr>
                <w:rFonts w:ascii="Arial" w:cs="Arial" w:eastAsia="Arial" w:hAnsi="Arial"/>
                <w:sz w:val="15"/>
                <w:szCs w:val="15"/>
                <w:color w:val="auto"/>
              </w:rPr>
              <w:t>Non - Rated</w:t>
            </w:r>
          </w:p>
        </w:tc>
        <w:tc>
          <w:tcPr>
            <w:tcW w:w="1320" w:type="dxa"/>
            <w:vAlign w:val="bottom"/>
            <w:tcBorders>
              <w:bottom w:val="single" w:sz="8" w:color="auto"/>
            </w:tcBorders>
            <w:gridSpan w:val="2"/>
          </w:tcPr>
          <w:p>
            <w:pPr>
              <w:jc w:val="right"/>
              <w:spacing w:after="0" w:line="166" w:lineRule="exact"/>
              <w:rPr>
                <w:sz w:val="20"/>
                <w:szCs w:val="20"/>
                <w:color w:val="auto"/>
              </w:rPr>
            </w:pPr>
            <w:r>
              <w:rPr>
                <w:rFonts w:ascii="Arial" w:cs="Arial" w:eastAsia="Arial" w:hAnsi="Arial"/>
                <w:sz w:val="15"/>
                <w:szCs w:val="15"/>
                <w:color w:val="auto"/>
              </w:rPr>
              <w:t>25</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25</w:t>
            </w:r>
          </w:p>
        </w:tc>
      </w:tr>
      <w:tr>
        <w:trPr>
          <w:trHeight w:val="157"/>
        </w:trPr>
        <w:tc>
          <w:tcPr>
            <w:tcW w:w="6280" w:type="dxa"/>
            <w:vAlign w:val="bottom"/>
            <w:tcBorders>
              <w:bottom w:val="single" w:sz="8" w:color="auto"/>
            </w:tcBorders>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Total</w:t>
            </w:r>
          </w:p>
        </w:tc>
        <w:tc>
          <w:tcPr>
            <w:tcW w:w="132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48,831</w:t>
            </w:r>
          </w:p>
        </w:tc>
        <w:tc>
          <w:tcPr>
            <w:tcW w:w="2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57,842</w:t>
            </w:r>
          </w:p>
        </w:tc>
      </w:tr>
      <w:tr>
        <w:trPr>
          <w:trHeight w:val="157"/>
        </w:trPr>
        <w:tc>
          <w:tcPr>
            <w:tcW w:w="6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336"/>
        </w:trPr>
        <w:tc>
          <w:tcPr>
            <w:tcW w:w="6280" w:type="dxa"/>
            <w:vAlign w:val="bottom"/>
          </w:tcPr>
          <w:p>
            <w:pPr>
              <w:ind w:left="20"/>
              <w:spacing w:after="0"/>
              <w:rPr>
                <w:sz w:val="20"/>
                <w:szCs w:val="20"/>
                <w:color w:val="auto"/>
              </w:rPr>
            </w:pPr>
            <w:r>
              <w:rPr>
                <w:rFonts w:ascii="Arial" w:cs="Arial" w:eastAsia="Arial" w:hAnsi="Arial"/>
                <w:sz w:val="15"/>
                <w:szCs w:val="15"/>
                <w:color w:val="auto"/>
              </w:rPr>
              <w:t>The maximum exposure to credit risk is as follows: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5"/>
        </w:trPr>
        <w:tc>
          <w:tcPr>
            <w:tcW w:w="6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16"/>
        </w:trPr>
        <w:tc>
          <w:tcPr>
            <w:tcW w:w="6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3"/>
          </w:tcPr>
          <w:p>
            <w:pPr>
              <w:jc w:val="center"/>
              <w:ind w:right="460"/>
              <w:spacing w:after="0" w:line="116" w:lineRule="exact"/>
              <w:rPr>
                <w:sz w:val="20"/>
                <w:szCs w:val="20"/>
                <w:color w:val="auto"/>
              </w:rPr>
            </w:pPr>
            <w:r>
              <w:rPr>
                <w:rFonts w:ascii="Arial" w:cs="Arial" w:eastAsia="Arial" w:hAnsi="Arial"/>
                <w:sz w:val="12"/>
                <w:szCs w:val="12"/>
                <w:b w:val="1"/>
                <w:bCs w:val="1"/>
                <w:color w:val="auto"/>
                <w:w w:val="95"/>
              </w:rPr>
              <w:t>June 30,</w:t>
            </w:r>
          </w:p>
        </w:tc>
        <w:tc>
          <w:tcPr>
            <w:tcW w:w="880" w:type="dxa"/>
            <w:vAlign w:val="bottom"/>
          </w:tcPr>
          <w:p>
            <w:pPr>
              <w:jc w:val="center"/>
              <w:ind w:right="209"/>
              <w:spacing w:after="0" w:line="116" w:lineRule="exact"/>
              <w:rPr>
                <w:sz w:val="20"/>
                <w:szCs w:val="20"/>
                <w:color w:val="auto"/>
              </w:rPr>
            </w:pPr>
            <w:r>
              <w:rPr>
                <w:rFonts w:ascii="Arial" w:cs="Arial" w:eastAsia="Arial" w:hAnsi="Arial"/>
                <w:sz w:val="12"/>
                <w:szCs w:val="12"/>
                <w:b w:val="1"/>
                <w:bCs w:val="1"/>
                <w:color w:val="auto"/>
                <w:w w:val="99"/>
              </w:rPr>
              <w:t>June 30,</w:t>
            </w:r>
          </w:p>
        </w:tc>
      </w:tr>
      <w:tr>
        <w:trPr>
          <w:trHeight w:val="141"/>
        </w:trPr>
        <w:tc>
          <w:tcPr>
            <w:tcW w:w="6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2"/>
                <w:szCs w:val="12"/>
                <w:b w:val="1"/>
                <w:bCs w:val="1"/>
                <w:color w:val="auto"/>
                <w:w w:val="97"/>
              </w:rPr>
              <w:t>2022</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89"/>
              <w:spacing w:after="0"/>
              <w:rPr>
                <w:sz w:val="20"/>
                <w:szCs w:val="20"/>
                <w:color w:val="auto"/>
              </w:rPr>
            </w:pPr>
            <w:r>
              <w:rPr>
                <w:rFonts w:ascii="Arial" w:cs="Arial" w:eastAsia="Arial" w:hAnsi="Arial"/>
                <w:sz w:val="12"/>
                <w:szCs w:val="12"/>
                <w:b w:val="1"/>
                <w:bCs w:val="1"/>
                <w:color w:val="auto"/>
                <w:w w:val="97"/>
              </w:rPr>
              <w:t>2021</w:t>
            </w:r>
          </w:p>
        </w:tc>
      </w:tr>
      <w:tr>
        <w:trPr>
          <w:trHeight w:val="124"/>
        </w:trPr>
        <w:tc>
          <w:tcPr>
            <w:tcW w:w="6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ind w:left="980"/>
              <w:spacing w:after="0" w:line="124" w:lineRule="exact"/>
              <w:rPr>
                <w:sz w:val="20"/>
                <w:szCs w:val="20"/>
                <w:color w:val="auto"/>
              </w:rPr>
            </w:pPr>
            <w:r>
              <w:rPr>
                <w:rFonts w:ascii="Arial" w:cs="Arial" w:eastAsia="Arial" w:hAnsi="Arial"/>
                <w:sz w:val="12"/>
                <w:szCs w:val="12"/>
                <w:b w:val="1"/>
                <w:bCs w:val="1"/>
                <w:color w:val="auto"/>
              </w:rPr>
              <w:t>(US$’000)</w:t>
            </w:r>
          </w:p>
        </w:tc>
        <w:tc>
          <w:tcPr>
            <w:tcW w:w="880" w:type="dxa"/>
            <w:vAlign w:val="bottom"/>
            <w:tcBorders>
              <w:bottom w:val="single" w:sz="8" w:color="auto"/>
            </w:tcBorders>
          </w:tcPr>
          <w:p>
            <w:pPr>
              <w:spacing w:after="0"/>
              <w:rPr>
                <w:sz w:val="10"/>
                <w:szCs w:val="10"/>
                <w:color w:val="auto"/>
              </w:rPr>
            </w:pPr>
          </w:p>
        </w:tc>
      </w:tr>
      <w:tr>
        <w:trPr>
          <w:trHeight w:val="157"/>
        </w:trPr>
        <w:tc>
          <w:tcPr>
            <w:tcW w:w="628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Financial assets - amortized cost</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6"/>
        </w:trPr>
        <w:tc>
          <w:tcPr>
            <w:tcW w:w="6280" w:type="dxa"/>
            <w:vAlign w:val="bottom"/>
          </w:tcPr>
          <w:p>
            <w:pPr>
              <w:ind w:left="20"/>
              <w:spacing w:after="0" w:line="166" w:lineRule="exact"/>
              <w:rPr>
                <w:sz w:val="20"/>
                <w:szCs w:val="20"/>
                <w:color w:val="auto"/>
              </w:rPr>
            </w:pPr>
            <w:r>
              <w:rPr>
                <w:rFonts w:ascii="Arial" w:cs="Arial" w:eastAsia="Arial" w:hAnsi="Arial"/>
                <w:sz w:val="15"/>
                <w:szCs w:val="15"/>
                <w:color w:val="auto"/>
              </w:rPr>
              <w:t>Deposits</w:t>
            </w:r>
          </w:p>
        </w:tc>
        <w:tc>
          <w:tcPr>
            <w:tcW w:w="13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4,556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4,446</w:t>
            </w:r>
          </w:p>
        </w:tc>
      </w:tr>
      <w:tr>
        <w:trPr>
          <w:trHeight w:val="166"/>
        </w:trPr>
        <w:tc>
          <w:tcPr>
            <w:tcW w:w="62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Trade receivables</w:t>
            </w:r>
          </w:p>
        </w:tc>
        <w:tc>
          <w:tcPr>
            <w:tcW w:w="13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75,323</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66,689</w:t>
            </w:r>
          </w:p>
        </w:tc>
      </w:tr>
      <w:tr>
        <w:trPr>
          <w:trHeight w:val="166"/>
        </w:trPr>
        <w:tc>
          <w:tcPr>
            <w:tcW w:w="6280" w:type="dxa"/>
            <w:vAlign w:val="bottom"/>
          </w:tcPr>
          <w:p>
            <w:pPr>
              <w:ind w:left="20"/>
              <w:spacing w:after="0" w:line="166" w:lineRule="exact"/>
              <w:rPr>
                <w:sz w:val="20"/>
                <w:szCs w:val="20"/>
                <w:color w:val="auto"/>
              </w:rPr>
            </w:pPr>
            <w:r>
              <w:rPr>
                <w:rFonts w:ascii="Arial" w:cs="Arial" w:eastAsia="Arial" w:hAnsi="Arial"/>
                <w:sz w:val="15"/>
                <w:szCs w:val="15"/>
                <w:color w:val="auto"/>
              </w:rPr>
              <w:t>Other receivables</w:t>
            </w:r>
          </w:p>
        </w:tc>
        <w:tc>
          <w:tcPr>
            <w:tcW w:w="13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3,561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1,223</w:t>
            </w:r>
          </w:p>
        </w:tc>
      </w:tr>
      <w:tr>
        <w:trPr>
          <w:trHeight w:val="166"/>
        </w:trPr>
        <w:tc>
          <w:tcPr>
            <w:tcW w:w="628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Due from related parties</w:t>
            </w:r>
          </w:p>
        </w:tc>
        <w:tc>
          <w:tcPr>
            <w:tcW w:w="13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108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1,755</w:t>
            </w:r>
          </w:p>
        </w:tc>
      </w:tr>
      <w:tr>
        <w:trPr>
          <w:trHeight w:val="166"/>
        </w:trPr>
        <w:tc>
          <w:tcPr>
            <w:tcW w:w="6280" w:type="dxa"/>
            <w:vAlign w:val="bottom"/>
          </w:tcPr>
          <w:p>
            <w:pPr>
              <w:ind w:left="20"/>
              <w:spacing w:after="0" w:line="166" w:lineRule="exact"/>
              <w:rPr>
                <w:sz w:val="20"/>
                <w:szCs w:val="20"/>
                <w:color w:val="auto"/>
              </w:rPr>
            </w:pPr>
            <w:r>
              <w:rPr>
                <w:rFonts w:ascii="Arial" w:cs="Arial" w:eastAsia="Arial" w:hAnsi="Arial"/>
                <w:sz w:val="15"/>
                <w:szCs w:val="15"/>
                <w:color w:val="auto"/>
              </w:rPr>
              <w:t>Cash and cash equivalents</w:t>
            </w:r>
          </w:p>
        </w:tc>
        <w:tc>
          <w:tcPr>
            <w:tcW w:w="132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48,831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57,842</w:t>
            </w:r>
          </w:p>
        </w:tc>
      </w:tr>
      <w:tr>
        <w:trPr>
          <w:trHeight w:val="157"/>
        </w:trPr>
        <w:tc>
          <w:tcPr>
            <w:tcW w:w="62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132,379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131,955</w:t>
            </w:r>
          </w:p>
        </w:tc>
      </w:tr>
      <w:tr>
        <w:trPr>
          <w:trHeight w:val="20"/>
        </w:trPr>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9"/>
        </w:trPr>
        <w:tc>
          <w:tcPr>
            <w:tcW w:w="6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Majority of the Group’s financial assets are represented by trade receivables, due from related parties and cash and cash equivalents which are not materially deteriorated.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2" w:name="page193"/>
    <w:bookmarkEnd w:id="19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Group’s top three clients based on respective fiscal year revenue are shown below:</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8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10"/>
          </w:tcPr>
          <w:p>
            <w:pPr>
              <w:jc w:val="right"/>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12"/>
          </w:tcPr>
          <w:p>
            <w:pPr>
              <w:jc w:val="right"/>
              <w:ind w:right="920"/>
              <w:spacing w:after="0" w:line="124" w:lineRule="exact"/>
              <w:rPr>
                <w:sz w:val="20"/>
                <w:szCs w:val="20"/>
                <w:color w:val="auto"/>
              </w:rPr>
            </w:pPr>
            <w:r>
              <w:rPr>
                <w:rFonts w:ascii="Arial" w:cs="Arial" w:eastAsia="Arial" w:hAnsi="Arial"/>
                <w:sz w:val="12"/>
                <w:szCs w:val="12"/>
                <w:b w:val="1"/>
                <w:bCs w:val="1"/>
                <w:color w:val="auto"/>
              </w:rPr>
              <w:t>Revenue</w:t>
            </w:r>
          </w:p>
        </w:tc>
        <w:tc>
          <w:tcPr>
            <w:tcW w:w="1900" w:type="dxa"/>
            <w:vAlign w:val="bottom"/>
            <w:gridSpan w:val="5"/>
          </w:tcPr>
          <w:p>
            <w:pPr>
              <w:ind w:left="340"/>
              <w:spacing w:after="0" w:line="124" w:lineRule="exact"/>
              <w:rPr>
                <w:sz w:val="20"/>
                <w:szCs w:val="20"/>
                <w:color w:val="auto"/>
              </w:rPr>
            </w:pPr>
            <w:r>
              <w:rPr>
                <w:rFonts w:ascii="Arial" w:cs="Arial" w:eastAsia="Arial" w:hAnsi="Arial"/>
                <w:sz w:val="12"/>
                <w:szCs w:val="12"/>
                <w:b w:val="1"/>
                <w:bCs w:val="1"/>
                <w:color w:val="auto"/>
              </w:rPr>
              <w:t>Trade debts gross</w:t>
            </w:r>
          </w:p>
        </w:tc>
      </w:tr>
      <w:tr>
        <w:trPr>
          <w:trHeight w:val="116"/>
        </w:trPr>
        <w:tc>
          <w:tcPr>
            <w:tcW w:w="20" w:type="dxa"/>
            <w:vAlign w:val="bottom"/>
          </w:tcPr>
          <w:p>
            <w:pPr>
              <w:spacing w:after="0"/>
              <w:rPr>
                <w:sz w:val="10"/>
                <w:szCs w:val="10"/>
                <w:color w:val="auto"/>
              </w:rPr>
            </w:pPr>
          </w:p>
        </w:tc>
        <w:tc>
          <w:tcPr>
            <w:tcW w:w="4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w w:val="96"/>
              </w:rPr>
              <w:t>Amount</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rPr>
              <w:t>Amount</w:t>
            </w: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4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(US$’000)</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2"/>
                <w:szCs w:val="12"/>
                <w:b w:val="1"/>
                <w:bCs w:val="1"/>
                <w:color w:val="auto"/>
              </w:rPr>
              <w:t>% of total</w:t>
            </w:r>
          </w:p>
        </w:tc>
        <w:tc>
          <w:tcPr>
            <w:tcW w:w="9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2"/>
                <w:szCs w:val="12"/>
                <w:b w:val="1"/>
                <w:bCs w:val="1"/>
                <w:color w:val="auto"/>
                <w:w w:val="98"/>
              </w:rPr>
              <w:t>(US$’000)</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 of total</w:t>
            </w:r>
          </w:p>
        </w:tc>
      </w:tr>
      <w:tr>
        <w:trPr>
          <w:trHeight w:val="157"/>
        </w:trPr>
        <w:tc>
          <w:tcPr>
            <w:tcW w:w="20" w:type="dxa"/>
            <w:vAlign w:val="bottom"/>
          </w:tcPr>
          <w:p>
            <w:pPr>
              <w:spacing w:after="0"/>
              <w:rPr>
                <w:sz w:val="13"/>
                <w:szCs w:val="13"/>
                <w:color w:val="auto"/>
              </w:rPr>
            </w:pPr>
          </w:p>
        </w:tc>
        <w:tc>
          <w:tcPr>
            <w:tcW w:w="484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Client 1</w:t>
            </w:r>
          </w:p>
        </w:tc>
        <w:tc>
          <w:tcPr>
            <w:tcW w:w="9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5"/>
                <w:szCs w:val="15"/>
                <w:color w:val="auto"/>
              </w:rPr>
              <w:t>59,570</w:t>
            </w:r>
          </w:p>
        </w:tc>
        <w:tc>
          <w:tcPr>
            <w:tcW w:w="1240" w:type="dxa"/>
            <w:vAlign w:val="bottom"/>
            <w:gridSpan w:val="10"/>
            <w:shd w:val="clear" w:color="auto" w:fill="CCEEFF"/>
          </w:tcPr>
          <w:p>
            <w:pPr>
              <w:jc w:val="right"/>
              <w:ind w:right="66"/>
              <w:spacing w:after="0" w:line="157" w:lineRule="exact"/>
              <w:rPr>
                <w:sz w:val="20"/>
                <w:szCs w:val="20"/>
                <w:color w:val="auto"/>
              </w:rPr>
            </w:pPr>
            <w:r>
              <w:rPr>
                <w:rFonts w:ascii="Arial" w:cs="Arial" w:eastAsia="Arial" w:hAnsi="Arial"/>
                <w:sz w:val="15"/>
                <w:szCs w:val="15"/>
                <w:color w:val="auto"/>
              </w:rPr>
              <w:t>12 %</w:t>
            </w: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9,966</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13 %</w:t>
            </w:r>
          </w:p>
        </w:tc>
        <w:tc>
          <w:tcPr>
            <w:tcW w:w="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4840" w:type="dxa"/>
            <w:vAlign w:val="bottom"/>
          </w:tcPr>
          <w:p>
            <w:pPr>
              <w:spacing w:after="0" w:line="166" w:lineRule="exact"/>
              <w:rPr>
                <w:sz w:val="20"/>
                <w:szCs w:val="20"/>
                <w:color w:val="auto"/>
              </w:rPr>
            </w:pPr>
            <w:r>
              <w:rPr>
                <w:rFonts w:ascii="Arial" w:cs="Arial" w:eastAsia="Arial" w:hAnsi="Arial"/>
                <w:sz w:val="15"/>
                <w:szCs w:val="15"/>
                <w:color w:val="auto"/>
              </w:rPr>
              <w:t>Client 2</w:t>
            </w:r>
          </w:p>
        </w:tc>
        <w:tc>
          <w:tcPr>
            <w:tcW w:w="94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36,814</w:t>
            </w:r>
          </w:p>
        </w:tc>
        <w:tc>
          <w:tcPr>
            <w:tcW w:w="1240" w:type="dxa"/>
            <w:vAlign w:val="bottom"/>
            <w:gridSpan w:val="10"/>
          </w:tcPr>
          <w:p>
            <w:pPr>
              <w:jc w:val="right"/>
              <w:ind w:right="66"/>
              <w:spacing w:after="0" w:line="166" w:lineRule="exact"/>
              <w:rPr>
                <w:sz w:val="20"/>
                <w:szCs w:val="20"/>
                <w:color w:val="auto"/>
              </w:rPr>
            </w:pPr>
            <w:r>
              <w:rPr>
                <w:rFonts w:ascii="Arial" w:cs="Arial" w:eastAsia="Arial" w:hAnsi="Arial"/>
                <w:sz w:val="15"/>
                <w:szCs w:val="15"/>
                <w:color w:val="auto"/>
              </w:rPr>
              <w:t>8 %</w:t>
            </w:r>
          </w:p>
        </w:tc>
        <w:tc>
          <w:tcPr>
            <w:tcW w:w="2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5,725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5"/>
                <w:szCs w:val="15"/>
                <w:color w:val="auto"/>
              </w:rPr>
              <w:t>7 %</w:t>
            </w:r>
          </w:p>
        </w:tc>
        <w:tc>
          <w:tcPr>
            <w:tcW w:w="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8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Client 3</w:t>
            </w:r>
          </w:p>
        </w:tc>
        <w:tc>
          <w:tcPr>
            <w:tcW w:w="9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35,827</w:t>
            </w:r>
          </w:p>
        </w:tc>
        <w:tc>
          <w:tcPr>
            <w:tcW w:w="1240" w:type="dxa"/>
            <w:vAlign w:val="bottom"/>
            <w:gridSpan w:val="10"/>
            <w:shd w:val="clear" w:color="auto" w:fill="CCEEFF"/>
          </w:tcPr>
          <w:p>
            <w:pPr>
              <w:jc w:val="right"/>
              <w:ind w:right="66"/>
              <w:spacing w:after="0" w:line="166" w:lineRule="exact"/>
              <w:rPr>
                <w:sz w:val="20"/>
                <w:szCs w:val="20"/>
                <w:color w:val="auto"/>
              </w:rPr>
            </w:pPr>
            <w:r>
              <w:rPr>
                <w:rFonts w:ascii="Arial" w:cs="Arial" w:eastAsia="Arial" w:hAnsi="Arial"/>
                <w:sz w:val="15"/>
                <w:szCs w:val="15"/>
                <w:color w:val="auto"/>
              </w:rPr>
              <w:t>7 %</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4,369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6 %</w:t>
            </w:r>
          </w:p>
        </w:tc>
        <w:tc>
          <w:tcPr>
            <w:tcW w:w="20" w:type="dxa"/>
            <w:vAlign w:val="bottom"/>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840" w:type="dxa"/>
            <w:vAlign w:val="bottom"/>
          </w:tcPr>
          <w:p>
            <w:pPr>
              <w:spacing w:after="0" w:line="166" w:lineRule="exact"/>
              <w:rPr>
                <w:sz w:val="20"/>
                <w:szCs w:val="20"/>
                <w:color w:val="auto"/>
              </w:rPr>
            </w:pPr>
            <w:r>
              <w:rPr>
                <w:rFonts w:ascii="Arial" w:cs="Arial" w:eastAsia="Arial" w:hAnsi="Arial"/>
                <w:sz w:val="15"/>
                <w:szCs w:val="15"/>
                <w:b w:val="1"/>
                <w:bCs w:val="1"/>
                <w:color w:val="auto"/>
              </w:rPr>
              <w:t>Subtotal</w:t>
            </w:r>
          </w:p>
        </w:tc>
        <w:tc>
          <w:tcPr>
            <w:tcW w:w="940" w:type="dxa"/>
            <w:vAlign w:val="bottom"/>
            <w:gridSpan w:val="3"/>
          </w:tcPr>
          <w:p>
            <w:pPr>
              <w:jc w:val="right"/>
              <w:spacing w:after="0" w:line="166" w:lineRule="exact"/>
              <w:rPr>
                <w:sz w:val="20"/>
                <w:szCs w:val="20"/>
                <w:color w:val="auto"/>
              </w:rPr>
            </w:pPr>
            <w:r>
              <w:rPr>
                <w:rFonts w:ascii="Arial" w:cs="Arial" w:eastAsia="Arial" w:hAnsi="Arial"/>
                <w:sz w:val="15"/>
                <w:szCs w:val="15"/>
                <w:b w:val="1"/>
                <w:bCs w:val="1"/>
                <w:color w:val="auto"/>
              </w:rPr>
              <w:t>132,211</w:t>
            </w:r>
          </w:p>
        </w:tc>
        <w:tc>
          <w:tcPr>
            <w:tcW w:w="1240" w:type="dxa"/>
            <w:vAlign w:val="bottom"/>
            <w:gridSpan w:val="10"/>
          </w:tcPr>
          <w:p>
            <w:pPr>
              <w:jc w:val="right"/>
              <w:ind w:right="66"/>
              <w:spacing w:after="0" w:line="166" w:lineRule="exact"/>
              <w:rPr>
                <w:sz w:val="20"/>
                <w:szCs w:val="20"/>
                <w:color w:val="auto"/>
              </w:rPr>
            </w:pPr>
            <w:r>
              <w:rPr>
                <w:rFonts w:ascii="Arial" w:cs="Arial" w:eastAsia="Arial" w:hAnsi="Arial"/>
                <w:sz w:val="15"/>
                <w:szCs w:val="15"/>
                <w:b w:val="1"/>
                <w:bCs w:val="1"/>
                <w:color w:val="auto"/>
              </w:rPr>
              <w:t xml:space="preserve">27 </w:t>
            </w: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b w:val="1"/>
                <w:bCs w:val="1"/>
                <w:color w:val="auto"/>
              </w:rPr>
              <w:t>20,060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5"/>
                <w:szCs w:val="15"/>
                <w:b w:val="1"/>
                <w:bCs w:val="1"/>
                <w:color w:val="auto"/>
              </w:rPr>
              <w:t xml:space="preserve">26 </w:t>
            </w: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8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Others</w:t>
            </w:r>
          </w:p>
        </w:tc>
        <w:tc>
          <w:tcPr>
            <w:tcW w:w="9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361,361</w:t>
            </w:r>
          </w:p>
        </w:tc>
        <w:tc>
          <w:tcPr>
            <w:tcW w:w="1240" w:type="dxa"/>
            <w:vAlign w:val="bottom"/>
            <w:gridSpan w:val="10"/>
            <w:shd w:val="clear" w:color="auto" w:fill="CCEEFF"/>
          </w:tcPr>
          <w:p>
            <w:pPr>
              <w:jc w:val="right"/>
              <w:ind w:right="66"/>
              <w:spacing w:after="0" w:line="166" w:lineRule="exact"/>
              <w:rPr>
                <w:sz w:val="20"/>
                <w:szCs w:val="20"/>
                <w:color w:val="auto"/>
              </w:rPr>
            </w:pPr>
            <w:r>
              <w:rPr>
                <w:rFonts w:ascii="Arial" w:cs="Arial" w:eastAsia="Arial" w:hAnsi="Arial"/>
                <w:sz w:val="15"/>
                <w:szCs w:val="15"/>
                <w:color w:val="auto"/>
              </w:rPr>
              <w:t>73 %</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56,648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74 %</w:t>
            </w:r>
          </w:p>
        </w:tc>
        <w:tc>
          <w:tcPr>
            <w:tcW w:w="20" w:type="dxa"/>
            <w:vAlign w:val="bottom"/>
            <w:shd w:val="clear" w:color="auto" w:fill="CCEEFF"/>
          </w:tcPr>
          <w:p>
            <w:pPr>
              <w:spacing w:after="0"/>
              <w:rPr>
                <w:sz w:val="14"/>
                <w:szCs w:val="14"/>
                <w:color w:val="auto"/>
              </w:rPr>
            </w:pPr>
          </w:p>
        </w:tc>
      </w:tr>
      <w:tr>
        <w:trPr>
          <w:trHeight w:val="197"/>
        </w:trPr>
        <w:tc>
          <w:tcPr>
            <w:tcW w:w="486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Revenue from external customers</w:t>
            </w:r>
          </w:p>
        </w:tc>
        <w:tc>
          <w:tcPr>
            <w:tcW w:w="940" w:type="dxa"/>
            <w:vAlign w:val="bottom"/>
            <w:tcBorders>
              <w:top w:val="single" w:sz="8" w:color="auto"/>
              <w:bottom w:val="single" w:sz="8" w:color="auto"/>
            </w:tcBorders>
            <w:gridSpan w:val="3"/>
          </w:tcPr>
          <w:p>
            <w:pPr>
              <w:jc w:val="right"/>
              <w:spacing w:after="0" w:line="157" w:lineRule="exact"/>
              <w:rPr>
                <w:sz w:val="20"/>
                <w:szCs w:val="20"/>
                <w:color w:val="auto"/>
              </w:rPr>
            </w:pPr>
            <w:r>
              <w:rPr>
                <w:rFonts w:ascii="Arial" w:cs="Arial" w:eastAsia="Arial" w:hAnsi="Arial"/>
                <w:sz w:val="15"/>
                <w:szCs w:val="15"/>
                <w:color w:val="auto"/>
              </w:rPr>
              <w:t>493,572</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Arial" w:cs="Arial" w:eastAsia="Arial" w:hAnsi="Arial"/>
                <w:sz w:val="15"/>
                <w:szCs w:val="15"/>
                <w:color w:val="auto"/>
              </w:rPr>
              <w:t>100</w:t>
            </w: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gridSpan w:val="2"/>
          </w:tcPr>
          <w:p>
            <w:pPr>
              <w:jc w:val="right"/>
              <w:ind w:right="66"/>
              <w:spacing w:after="0" w:line="157" w:lineRule="exact"/>
              <w:rPr>
                <w:sz w:val="20"/>
                <w:szCs w:val="20"/>
                <w:color w:val="auto"/>
              </w:rPr>
            </w:pPr>
            <w:r>
              <w:rPr>
                <w:rFonts w:ascii="Arial" w:cs="Arial" w:eastAsia="Arial" w:hAnsi="Arial"/>
                <w:sz w:val="15"/>
                <w:szCs w:val="15"/>
                <w:color w:val="auto"/>
                <w:w w:val="74"/>
              </w:rPr>
              <w:t>%</w:t>
            </w:r>
          </w:p>
        </w:tc>
        <w:tc>
          <w:tcPr>
            <w:tcW w:w="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76,708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100 %</w:t>
            </w:r>
          </w:p>
        </w:tc>
        <w:tc>
          <w:tcPr>
            <w:tcW w:w="20" w:type="dxa"/>
            <w:vAlign w:val="bottom"/>
            <w:tcBorders>
              <w:top w:val="single" w:sz="8" w:color="auto"/>
              <w:bottom w:val="single" w:sz="8" w:color="auto"/>
            </w:tcBorders>
          </w:tcPr>
          <w:p>
            <w:pPr>
              <w:spacing w:after="0"/>
              <w:rPr>
                <w:sz w:val="17"/>
                <w:szCs w:val="17"/>
                <w:color w:val="auto"/>
              </w:rPr>
            </w:pPr>
          </w:p>
        </w:tc>
      </w:tr>
      <w:tr>
        <w:trPr>
          <w:trHeight w:val="139"/>
        </w:trPr>
        <w:tc>
          <w:tcPr>
            <w:tcW w:w="20" w:type="dxa"/>
            <w:vAlign w:val="bottom"/>
          </w:tcPr>
          <w:p>
            <w:pPr>
              <w:spacing w:after="0"/>
              <w:rPr>
                <w:sz w:val="12"/>
                <w:szCs w:val="12"/>
                <w:color w:val="auto"/>
              </w:rPr>
            </w:pPr>
          </w:p>
        </w:tc>
        <w:tc>
          <w:tcPr>
            <w:tcW w:w="4840" w:type="dxa"/>
            <w:vAlign w:val="bottom"/>
            <w:tcBorders>
              <w:top w:val="single" w:sz="8" w:color="CCEEFF"/>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24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gridSpan w:val="3"/>
          </w:tcPr>
          <w:p>
            <w:pPr>
              <w:spacing w:after="0"/>
              <w:rPr>
                <w:sz w:val="14"/>
                <w:szCs w:val="14"/>
                <w:color w:val="auto"/>
              </w:rPr>
            </w:pPr>
          </w:p>
        </w:tc>
        <w:tc>
          <w:tcPr>
            <w:tcW w:w="16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tcBorders>
            <w:gridSpan w:val="3"/>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10"/>
          </w:tcPr>
          <w:p>
            <w:pPr>
              <w:jc w:val="right"/>
              <w:spacing w:after="0" w:line="124" w:lineRule="exact"/>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12"/>
          </w:tcPr>
          <w:p>
            <w:pPr>
              <w:jc w:val="right"/>
              <w:ind w:right="780"/>
              <w:spacing w:after="0" w:line="124" w:lineRule="exact"/>
              <w:rPr>
                <w:sz w:val="20"/>
                <w:szCs w:val="20"/>
                <w:color w:val="auto"/>
              </w:rPr>
            </w:pPr>
            <w:r>
              <w:rPr>
                <w:rFonts w:ascii="Arial" w:cs="Arial" w:eastAsia="Arial" w:hAnsi="Arial"/>
                <w:sz w:val="12"/>
                <w:szCs w:val="12"/>
                <w:b w:val="1"/>
                <w:bCs w:val="1"/>
                <w:color w:val="auto"/>
              </w:rPr>
              <w:t>Revenue</w:t>
            </w:r>
          </w:p>
        </w:tc>
        <w:tc>
          <w:tcPr>
            <w:tcW w:w="1880" w:type="dxa"/>
            <w:vAlign w:val="bottom"/>
            <w:tcBorders>
              <w:bottom w:val="single" w:sz="8" w:color="auto"/>
            </w:tcBorders>
            <w:gridSpan w:val="4"/>
          </w:tcPr>
          <w:p>
            <w:pPr>
              <w:ind w:left="340"/>
              <w:spacing w:after="0" w:line="124" w:lineRule="exact"/>
              <w:rPr>
                <w:sz w:val="20"/>
                <w:szCs w:val="20"/>
                <w:color w:val="auto"/>
              </w:rPr>
            </w:pPr>
            <w:r>
              <w:rPr>
                <w:rFonts w:ascii="Arial" w:cs="Arial" w:eastAsia="Arial" w:hAnsi="Arial"/>
                <w:sz w:val="12"/>
                <w:szCs w:val="12"/>
                <w:b w:val="1"/>
                <w:bCs w:val="1"/>
                <w:color w:val="auto"/>
              </w:rPr>
              <w:t>Trade debts gross</w:t>
            </w:r>
          </w:p>
        </w:tc>
        <w:tc>
          <w:tcPr>
            <w:tcW w:w="2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rPr>
              <w:t>Amount</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8"/>
              </w:rPr>
              <w:t>(US$’000)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 of total</w:t>
            </w:r>
          </w:p>
        </w:tc>
        <w:tc>
          <w:tcPr>
            <w:tcW w:w="9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8"/>
              </w:rPr>
              <w:t>(US$’000)</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 of total</w:t>
            </w:r>
          </w:p>
        </w:tc>
      </w:tr>
      <w:tr>
        <w:trPr>
          <w:trHeight w:val="157"/>
        </w:trPr>
        <w:tc>
          <w:tcPr>
            <w:tcW w:w="4860" w:type="dxa"/>
            <w:vAlign w:val="bottom"/>
            <w:tcBorders>
              <w:top w:val="single" w:sz="8" w:color="auto"/>
            </w:tcBorders>
            <w:gridSpan w:val="2"/>
            <w:shd w:val="clear" w:color="auto" w:fill="CCEEFF"/>
          </w:tcPr>
          <w:p>
            <w:pPr>
              <w:ind w:left="20"/>
              <w:spacing w:after="0" w:line="157" w:lineRule="exact"/>
              <w:rPr>
                <w:sz w:val="20"/>
                <w:szCs w:val="20"/>
                <w:color w:val="auto"/>
              </w:rPr>
            </w:pPr>
            <w:r>
              <w:rPr>
                <w:rFonts w:ascii="Arial" w:cs="Arial" w:eastAsia="Arial" w:hAnsi="Arial"/>
                <w:sz w:val="15"/>
                <w:szCs w:val="15"/>
                <w:color w:val="auto"/>
              </w:rPr>
              <w:t>Client 1</w:t>
            </w:r>
          </w:p>
        </w:tc>
        <w:tc>
          <w:tcPr>
            <w:tcW w:w="940" w:type="dxa"/>
            <w:vAlign w:val="bottom"/>
            <w:tcBorders>
              <w:top w:val="single" w:sz="8" w:color="auto"/>
            </w:tcBorders>
            <w:gridSpan w:val="3"/>
            <w:shd w:val="clear" w:color="auto" w:fill="CCEEFF"/>
          </w:tcPr>
          <w:p>
            <w:pPr>
              <w:jc w:val="right"/>
              <w:spacing w:after="0" w:line="157" w:lineRule="exact"/>
              <w:rPr>
                <w:sz w:val="20"/>
                <w:szCs w:val="20"/>
                <w:color w:val="auto"/>
              </w:rPr>
            </w:pPr>
            <w:r>
              <w:rPr>
                <w:rFonts w:ascii="Arial" w:cs="Arial" w:eastAsia="Arial" w:hAnsi="Arial"/>
                <w:sz w:val="15"/>
                <w:szCs w:val="15"/>
                <w:color w:val="auto"/>
              </w:rPr>
              <w:t>55,181</w:t>
            </w:r>
          </w:p>
        </w:tc>
        <w:tc>
          <w:tcPr>
            <w:tcW w:w="1240" w:type="dxa"/>
            <w:vAlign w:val="bottom"/>
            <w:tcBorders>
              <w:top w:val="single" w:sz="8" w:color="auto"/>
            </w:tcBorders>
            <w:gridSpan w:val="10"/>
            <w:shd w:val="clear" w:color="auto" w:fill="CCEEFF"/>
          </w:tcPr>
          <w:p>
            <w:pPr>
              <w:jc w:val="right"/>
              <w:ind w:right="66"/>
              <w:spacing w:after="0" w:line="157" w:lineRule="exact"/>
              <w:rPr>
                <w:sz w:val="20"/>
                <w:szCs w:val="20"/>
                <w:color w:val="auto"/>
              </w:rPr>
            </w:pPr>
            <w:r>
              <w:rPr>
                <w:rFonts w:ascii="Arial" w:cs="Arial" w:eastAsia="Arial" w:hAnsi="Arial"/>
                <w:sz w:val="15"/>
                <w:szCs w:val="15"/>
                <w:color w:val="auto"/>
              </w:rPr>
              <w:t>12 %</w:t>
            </w:r>
          </w:p>
        </w:tc>
        <w:tc>
          <w:tcPr>
            <w:tcW w:w="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7,247</w:t>
            </w:r>
          </w:p>
        </w:tc>
        <w:tc>
          <w:tcPr>
            <w:tcW w:w="1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10 %</w:t>
            </w:r>
          </w:p>
        </w:tc>
        <w:tc>
          <w:tcPr>
            <w:tcW w:w="20" w:type="dxa"/>
            <w:vAlign w:val="bottom"/>
          </w:tcPr>
          <w:p>
            <w:pPr>
              <w:spacing w:after="0"/>
              <w:rPr>
                <w:sz w:val="13"/>
                <w:szCs w:val="13"/>
                <w:color w:val="auto"/>
              </w:rPr>
            </w:pPr>
          </w:p>
        </w:tc>
      </w:tr>
      <w:tr>
        <w:trPr>
          <w:trHeight w:val="166"/>
        </w:trPr>
        <w:tc>
          <w:tcPr>
            <w:tcW w:w="48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Client 2</w:t>
            </w:r>
          </w:p>
        </w:tc>
        <w:tc>
          <w:tcPr>
            <w:tcW w:w="94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51,991</w:t>
            </w:r>
          </w:p>
        </w:tc>
        <w:tc>
          <w:tcPr>
            <w:tcW w:w="1240" w:type="dxa"/>
            <w:vAlign w:val="bottom"/>
            <w:gridSpan w:val="10"/>
          </w:tcPr>
          <w:p>
            <w:pPr>
              <w:jc w:val="right"/>
              <w:ind w:right="66"/>
              <w:spacing w:after="0" w:line="166" w:lineRule="exact"/>
              <w:rPr>
                <w:sz w:val="20"/>
                <w:szCs w:val="20"/>
                <w:color w:val="auto"/>
              </w:rPr>
            </w:pPr>
            <w:r>
              <w:rPr>
                <w:rFonts w:ascii="Arial" w:cs="Arial" w:eastAsia="Arial" w:hAnsi="Arial"/>
                <w:sz w:val="15"/>
                <w:szCs w:val="15"/>
                <w:color w:val="auto"/>
              </w:rPr>
              <w:t>12 %</w:t>
            </w:r>
          </w:p>
        </w:tc>
        <w:tc>
          <w:tcPr>
            <w:tcW w:w="2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6,169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5"/>
                <w:szCs w:val="15"/>
                <w:color w:val="auto"/>
              </w:rPr>
              <w:t>9 %</w:t>
            </w:r>
          </w:p>
        </w:tc>
        <w:tc>
          <w:tcPr>
            <w:tcW w:w="20" w:type="dxa"/>
            <w:vAlign w:val="bottom"/>
          </w:tcPr>
          <w:p>
            <w:pPr>
              <w:spacing w:after="0"/>
              <w:rPr>
                <w:sz w:val="14"/>
                <w:szCs w:val="14"/>
                <w:color w:val="auto"/>
              </w:rPr>
            </w:pPr>
          </w:p>
        </w:tc>
      </w:tr>
      <w:tr>
        <w:trPr>
          <w:trHeight w:val="166"/>
        </w:trPr>
        <w:tc>
          <w:tcPr>
            <w:tcW w:w="48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Client 3</w:t>
            </w:r>
          </w:p>
        </w:tc>
        <w:tc>
          <w:tcPr>
            <w:tcW w:w="9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48,245</w:t>
            </w:r>
          </w:p>
        </w:tc>
        <w:tc>
          <w:tcPr>
            <w:tcW w:w="1240" w:type="dxa"/>
            <w:vAlign w:val="bottom"/>
            <w:gridSpan w:val="10"/>
            <w:shd w:val="clear" w:color="auto" w:fill="CCEEFF"/>
          </w:tcPr>
          <w:p>
            <w:pPr>
              <w:jc w:val="right"/>
              <w:ind w:right="66"/>
              <w:spacing w:after="0" w:line="166" w:lineRule="exact"/>
              <w:rPr>
                <w:sz w:val="20"/>
                <w:szCs w:val="20"/>
                <w:color w:val="auto"/>
              </w:rPr>
            </w:pPr>
            <w:r>
              <w:rPr>
                <w:rFonts w:ascii="Arial" w:cs="Arial" w:eastAsia="Arial" w:hAnsi="Arial"/>
                <w:sz w:val="15"/>
                <w:szCs w:val="15"/>
                <w:color w:val="auto"/>
              </w:rPr>
              <w:t>11 %</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4,936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7 %</w:t>
            </w:r>
          </w:p>
        </w:tc>
        <w:tc>
          <w:tcPr>
            <w:tcW w:w="20" w:type="dxa"/>
            <w:vAlign w:val="bottom"/>
          </w:tcPr>
          <w:p>
            <w:pPr>
              <w:spacing w:after="0"/>
              <w:rPr>
                <w:sz w:val="14"/>
                <w:szCs w:val="14"/>
                <w:color w:val="auto"/>
              </w:rPr>
            </w:pPr>
          </w:p>
        </w:tc>
      </w:tr>
      <w:tr>
        <w:trPr>
          <w:trHeight w:val="166"/>
        </w:trPr>
        <w:tc>
          <w:tcPr>
            <w:tcW w:w="4860" w:type="dxa"/>
            <w:vAlign w:val="bottom"/>
            <w:gridSpan w:val="2"/>
          </w:tcPr>
          <w:p>
            <w:pPr>
              <w:ind w:left="20"/>
              <w:spacing w:after="0" w:line="166" w:lineRule="exact"/>
              <w:rPr>
                <w:sz w:val="20"/>
                <w:szCs w:val="20"/>
                <w:color w:val="auto"/>
              </w:rPr>
            </w:pPr>
            <w:r>
              <w:rPr>
                <w:rFonts w:ascii="Arial" w:cs="Arial" w:eastAsia="Arial" w:hAnsi="Arial"/>
                <w:sz w:val="15"/>
                <w:szCs w:val="15"/>
                <w:b w:val="1"/>
                <w:bCs w:val="1"/>
                <w:color w:val="auto"/>
              </w:rPr>
              <w:t>Subtotal</w:t>
            </w:r>
          </w:p>
        </w:tc>
        <w:tc>
          <w:tcPr>
            <w:tcW w:w="940" w:type="dxa"/>
            <w:vAlign w:val="bottom"/>
            <w:gridSpan w:val="3"/>
          </w:tcPr>
          <w:p>
            <w:pPr>
              <w:jc w:val="right"/>
              <w:spacing w:after="0" w:line="166" w:lineRule="exact"/>
              <w:rPr>
                <w:sz w:val="20"/>
                <w:szCs w:val="20"/>
                <w:color w:val="auto"/>
              </w:rPr>
            </w:pPr>
            <w:r>
              <w:rPr>
                <w:rFonts w:ascii="Arial" w:cs="Arial" w:eastAsia="Arial" w:hAnsi="Arial"/>
                <w:sz w:val="15"/>
                <w:szCs w:val="15"/>
                <w:b w:val="1"/>
                <w:bCs w:val="1"/>
                <w:color w:val="auto"/>
              </w:rPr>
              <w:t>155,417</w:t>
            </w:r>
          </w:p>
        </w:tc>
        <w:tc>
          <w:tcPr>
            <w:tcW w:w="1240" w:type="dxa"/>
            <w:vAlign w:val="bottom"/>
            <w:gridSpan w:val="10"/>
          </w:tcPr>
          <w:p>
            <w:pPr>
              <w:jc w:val="right"/>
              <w:ind w:right="66"/>
              <w:spacing w:after="0" w:line="166" w:lineRule="exact"/>
              <w:rPr>
                <w:sz w:val="20"/>
                <w:szCs w:val="20"/>
                <w:color w:val="auto"/>
              </w:rPr>
            </w:pPr>
            <w:r>
              <w:rPr>
                <w:rFonts w:ascii="Arial" w:cs="Arial" w:eastAsia="Arial" w:hAnsi="Arial"/>
                <w:sz w:val="15"/>
                <w:szCs w:val="15"/>
                <w:b w:val="1"/>
                <w:bCs w:val="1"/>
                <w:color w:val="auto"/>
              </w:rPr>
              <w:t xml:space="preserve">35 </w:t>
            </w: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b w:val="1"/>
                <w:bCs w:val="1"/>
                <w:color w:val="auto"/>
              </w:rPr>
              <w:t>18,352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5"/>
                <w:szCs w:val="15"/>
                <w:b w:val="1"/>
                <w:bCs w:val="1"/>
                <w:color w:val="auto"/>
              </w:rPr>
              <w:t xml:space="preserve">26 </w:t>
            </w: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6"/>
        </w:trPr>
        <w:tc>
          <w:tcPr>
            <w:tcW w:w="48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Others</w:t>
            </w:r>
          </w:p>
        </w:tc>
        <w:tc>
          <w:tcPr>
            <w:tcW w:w="9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288,245</w:t>
            </w:r>
          </w:p>
        </w:tc>
        <w:tc>
          <w:tcPr>
            <w:tcW w:w="1240" w:type="dxa"/>
            <w:vAlign w:val="bottom"/>
            <w:gridSpan w:val="10"/>
            <w:shd w:val="clear" w:color="auto" w:fill="CCEEFF"/>
          </w:tcPr>
          <w:p>
            <w:pPr>
              <w:jc w:val="right"/>
              <w:ind w:right="66"/>
              <w:spacing w:after="0" w:line="166" w:lineRule="exact"/>
              <w:rPr>
                <w:sz w:val="20"/>
                <w:szCs w:val="20"/>
                <w:color w:val="auto"/>
              </w:rPr>
            </w:pPr>
            <w:r>
              <w:rPr>
                <w:rFonts w:ascii="Arial" w:cs="Arial" w:eastAsia="Arial" w:hAnsi="Arial"/>
                <w:sz w:val="15"/>
                <w:szCs w:val="15"/>
                <w:color w:val="auto"/>
              </w:rPr>
              <w:t>65 %</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51,363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74 %</w:t>
            </w:r>
          </w:p>
        </w:tc>
        <w:tc>
          <w:tcPr>
            <w:tcW w:w="20" w:type="dxa"/>
            <w:vAlign w:val="bottom"/>
          </w:tcPr>
          <w:p>
            <w:pPr>
              <w:spacing w:after="0"/>
              <w:rPr>
                <w:sz w:val="14"/>
                <w:szCs w:val="14"/>
                <w:color w:val="auto"/>
              </w:rPr>
            </w:pPr>
          </w:p>
        </w:tc>
      </w:tr>
      <w:tr>
        <w:trPr>
          <w:trHeight w:val="197"/>
        </w:trPr>
        <w:tc>
          <w:tcPr>
            <w:tcW w:w="4860" w:type="dxa"/>
            <w:vAlign w:val="bottom"/>
            <w:tcBorders>
              <w:bottom w:val="single" w:sz="8" w:color="CCEEFF"/>
            </w:tcBorders>
            <w:gridSpan w:val="2"/>
          </w:tcPr>
          <w:p>
            <w:pPr>
              <w:ind w:left="20"/>
              <w:spacing w:after="0" w:line="157" w:lineRule="exact"/>
              <w:rPr>
                <w:sz w:val="20"/>
                <w:szCs w:val="20"/>
                <w:color w:val="auto"/>
              </w:rPr>
            </w:pPr>
            <w:r>
              <w:rPr>
                <w:rFonts w:ascii="Arial" w:cs="Arial" w:eastAsia="Arial" w:hAnsi="Arial"/>
                <w:sz w:val="15"/>
                <w:szCs w:val="15"/>
                <w:color w:val="auto"/>
              </w:rPr>
              <w:t>Revenue from external customers</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Arial" w:cs="Arial" w:eastAsia="Arial" w:hAnsi="Arial"/>
                <w:sz w:val="15"/>
                <w:szCs w:val="15"/>
                <w:color w:val="auto"/>
              </w:rPr>
              <w:t>443,662</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gridSpan w:val="3"/>
          </w:tcPr>
          <w:p>
            <w:pPr>
              <w:jc w:val="right"/>
              <w:spacing w:after="0" w:line="157" w:lineRule="exact"/>
              <w:rPr>
                <w:sz w:val="20"/>
                <w:szCs w:val="20"/>
                <w:color w:val="auto"/>
              </w:rPr>
            </w:pPr>
            <w:r>
              <w:rPr>
                <w:rFonts w:ascii="Arial" w:cs="Arial" w:eastAsia="Arial" w:hAnsi="Arial"/>
                <w:sz w:val="15"/>
                <w:szCs w:val="15"/>
                <w:color w:val="auto"/>
              </w:rPr>
              <w:t>100</w:t>
            </w:r>
          </w:p>
        </w:tc>
        <w:tc>
          <w:tcPr>
            <w:tcW w:w="280" w:type="dxa"/>
            <w:vAlign w:val="bottom"/>
            <w:tcBorders>
              <w:bottom w:val="single" w:sz="8" w:color="CCEEFF"/>
            </w:tcBorders>
            <w:gridSpan w:val="3"/>
          </w:tcPr>
          <w:p>
            <w:pPr>
              <w:jc w:val="right"/>
              <w:ind w:right="66"/>
              <w:spacing w:after="0" w:line="157" w:lineRule="exact"/>
              <w:rPr>
                <w:sz w:val="20"/>
                <w:szCs w:val="20"/>
                <w:color w:val="auto"/>
              </w:rPr>
            </w:pPr>
            <w:r>
              <w:rPr>
                <w:rFonts w:ascii="Arial" w:cs="Arial" w:eastAsia="Arial" w:hAnsi="Arial"/>
                <w:sz w:val="15"/>
                <w:szCs w:val="15"/>
                <w:color w:val="auto"/>
                <w:w w:val="89"/>
              </w:rPr>
              <w:t>%</w:t>
            </w:r>
          </w:p>
        </w:tc>
        <w:tc>
          <w:tcPr>
            <w:tcW w:w="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69,715</w:t>
            </w:r>
          </w:p>
        </w:tc>
        <w:tc>
          <w:tcPr>
            <w:tcW w:w="1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100 %</w:t>
            </w:r>
          </w:p>
        </w:tc>
        <w:tc>
          <w:tcPr>
            <w:tcW w:w="20" w:type="dxa"/>
            <w:vAlign w:val="bottom"/>
          </w:tcPr>
          <w:p>
            <w:pPr>
              <w:spacing w:after="0"/>
              <w:rPr>
                <w:sz w:val="17"/>
                <w:szCs w:val="17"/>
                <w:color w:val="auto"/>
              </w:rPr>
            </w:pPr>
          </w:p>
        </w:tc>
      </w:tr>
      <w:tr>
        <w:trPr>
          <w:trHeight w:val="139"/>
        </w:trPr>
        <w:tc>
          <w:tcPr>
            <w:tcW w:w="20" w:type="dxa"/>
            <w:vAlign w:val="bottom"/>
            <w:tcBorders>
              <w:bottom w:val="single" w:sz="8" w:color="auto"/>
            </w:tcBorders>
            <w:shd w:val="clear" w:color="auto" w:fill="CCEEFF"/>
          </w:tcPr>
          <w:p>
            <w:pPr>
              <w:spacing w:after="0"/>
              <w:rPr>
                <w:sz w:val="12"/>
                <w:szCs w:val="12"/>
                <w:color w:val="auto"/>
              </w:rPr>
            </w:pPr>
          </w:p>
        </w:tc>
        <w:tc>
          <w:tcPr>
            <w:tcW w:w="48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11"/>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11"/>
          </w:tcPr>
          <w:p>
            <w:pPr>
              <w:jc w:val="right"/>
              <w:ind w:right="20"/>
              <w:spacing w:after="0" w:line="124" w:lineRule="exact"/>
              <w:rPr>
                <w:sz w:val="20"/>
                <w:szCs w:val="20"/>
                <w:color w:val="auto"/>
              </w:rPr>
            </w:pPr>
            <w:r>
              <w:rPr>
                <w:rFonts w:ascii="Arial" w:cs="Arial" w:eastAsia="Arial" w:hAnsi="Arial"/>
                <w:sz w:val="12"/>
                <w:szCs w:val="12"/>
                <w:b w:val="1"/>
                <w:bCs w:val="1"/>
                <w:color w:val="auto"/>
              </w:rPr>
              <w:t>2020</w:t>
            </w: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11"/>
          </w:tcPr>
          <w:p>
            <w:pPr>
              <w:jc w:val="right"/>
              <w:ind w:right="760"/>
              <w:spacing w:after="0" w:line="124" w:lineRule="exact"/>
              <w:rPr>
                <w:sz w:val="20"/>
                <w:szCs w:val="20"/>
                <w:color w:val="auto"/>
              </w:rPr>
            </w:pPr>
            <w:r>
              <w:rPr>
                <w:rFonts w:ascii="Arial" w:cs="Arial" w:eastAsia="Arial" w:hAnsi="Arial"/>
                <w:sz w:val="12"/>
                <w:szCs w:val="12"/>
                <w:b w:val="1"/>
                <w:bCs w:val="1"/>
                <w:color w:val="auto"/>
                <w:w w:val="95"/>
              </w:rPr>
              <w:t>Revenue</w:t>
            </w:r>
          </w:p>
        </w:tc>
        <w:tc>
          <w:tcPr>
            <w:tcW w:w="1880" w:type="dxa"/>
            <w:vAlign w:val="bottom"/>
            <w:tcBorders>
              <w:bottom w:val="single" w:sz="8" w:color="auto"/>
            </w:tcBorders>
            <w:gridSpan w:val="4"/>
          </w:tcPr>
          <w:p>
            <w:pPr>
              <w:ind w:left="360"/>
              <w:spacing w:after="0" w:line="124" w:lineRule="exact"/>
              <w:rPr>
                <w:sz w:val="20"/>
                <w:szCs w:val="20"/>
                <w:color w:val="auto"/>
              </w:rPr>
            </w:pPr>
            <w:r>
              <w:rPr>
                <w:rFonts w:ascii="Arial" w:cs="Arial" w:eastAsia="Arial" w:hAnsi="Arial"/>
                <w:sz w:val="12"/>
                <w:szCs w:val="12"/>
                <w:b w:val="1"/>
                <w:bCs w:val="1"/>
                <w:color w:val="auto"/>
              </w:rPr>
              <w:t>Trade debts gross</w:t>
            </w:r>
          </w:p>
        </w:tc>
        <w:tc>
          <w:tcPr>
            <w:tcW w:w="2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ind w:right="59"/>
              <w:spacing w:after="0" w:line="116"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right="160"/>
              <w:spacing w:after="0" w:line="116" w:lineRule="exact"/>
              <w:rPr>
                <w:sz w:val="20"/>
                <w:szCs w:val="20"/>
                <w:color w:val="auto"/>
              </w:rPr>
            </w:pPr>
            <w:r>
              <w:rPr>
                <w:rFonts w:ascii="Arial" w:cs="Arial" w:eastAsia="Arial" w:hAnsi="Arial"/>
                <w:sz w:val="12"/>
                <w:szCs w:val="12"/>
                <w:b w:val="1"/>
                <w:bCs w:val="1"/>
                <w:color w:val="auto"/>
              </w:rPr>
              <w:t>Amount</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ind w:right="19"/>
              <w:spacing w:after="0"/>
              <w:rPr>
                <w:sz w:val="20"/>
                <w:szCs w:val="20"/>
                <w:color w:val="auto"/>
              </w:rPr>
            </w:pPr>
            <w:r>
              <w:rPr>
                <w:rFonts w:ascii="Arial" w:cs="Arial" w:eastAsia="Arial" w:hAnsi="Arial"/>
                <w:sz w:val="12"/>
                <w:szCs w:val="12"/>
                <w:b w:val="1"/>
                <w:bCs w:val="1"/>
                <w:color w:val="auto"/>
              </w:rPr>
              <w:t>(US$’000)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 of total</w:t>
            </w:r>
          </w:p>
        </w:tc>
        <w:tc>
          <w:tcPr>
            <w:tcW w:w="9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8"/>
              </w:rPr>
              <w:t>(US$’000)</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 of total</w:t>
            </w:r>
          </w:p>
        </w:tc>
      </w:tr>
      <w:tr>
        <w:trPr>
          <w:trHeight w:val="157"/>
        </w:trPr>
        <w:tc>
          <w:tcPr>
            <w:tcW w:w="4860" w:type="dxa"/>
            <w:vAlign w:val="bottom"/>
            <w:tcBorders>
              <w:top w:val="single" w:sz="8" w:color="auto"/>
            </w:tcBorders>
            <w:gridSpan w:val="2"/>
            <w:shd w:val="clear" w:color="auto" w:fill="CCEEFF"/>
          </w:tcPr>
          <w:p>
            <w:pPr>
              <w:ind w:left="20"/>
              <w:spacing w:after="0" w:line="157" w:lineRule="exact"/>
              <w:rPr>
                <w:sz w:val="20"/>
                <w:szCs w:val="20"/>
                <w:color w:val="auto"/>
              </w:rPr>
            </w:pPr>
            <w:r>
              <w:rPr>
                <w:rFonts w:ascii="Arial" w:cs="Arial" w:eastAsia="Arial" w:hAnsi="Arial"/>
                <w:sz w:val="15"/>
                <w:szCs w:val="15"/>
                <w:color w:val="auto"/>
              </w:rPr>
              <w:t>Client 1</w:t>
            </w:r>
          </w:p>
        </w:tc>
        <w:tc>
          <w:tcPr>
            <w:tcW w:w="940" w:type="dxa"/>
            <w:vAlign w:val="bottom"/>
            <w:tcBorders>
              <w:top w:val="single" w:sz="8" w:color="auto"/>
            </w:tcBorders>
            <w:gridSpan w:val="3"/>
            <w:shd w:val="clear" w:color="auto" w:fill="CCEEFF"/>
          </w:tcPr>
          <w:p>
            <w:pPr>
              <w:jc w:val="right"/>
              <w:spacing w:after="0" w:line="157" w:lineRule="exact"/>
              <w:rPr>
                <w:sz w:val="20"/>
                <w:szCs w:val="20"/>
                <w:color w:val="auto"/>
              </w:rPr>
            </w:pPr>
            <w:r>
              <w:rPr>
                <w:rFonts w:ascii="Arial" w:cs="Arial" w:eastAsia="Arial" w:hAnsi="Arial"/>
                <w:sz w:val="15"/>
                <w:szCs w:val="15"/>
                <w:color w:val="auto"/>
              </w:rPr>
              <w:t>73,743</w:t>
            </w:r>
          </w:p>
        </w:tc>
        <w:tc>
          <w:tcPr>
            <w:tcW w:w="1240" w:type="dxa"/>
            <w:vAlign w:val="bottom"/>
            <w:tcBorders>
              <w:top w:val="single" w:sz="8" w:color="auto"/>
            </w:tcBorders>
            <w:gridSpan w:val="10"/>
            <w:shd w:val="clear" w:color="auto" w:fill="CCEEFF"/>
          </w:tcPr>
          <w:p>
            <w:pPr>
              <w:jc w:val="right"/>
              <w:ind w:right="46"/>
              <w:spacing w:after="0" w:line="157" w:lineRule="exact"/>
              <w:rPr>
                <w:sz w:val="20"/>
                <w:szCs w:val="20"/>
                <w:color w:val="auto"/>
              </w:rPr>
            </w:pPr>
            <w:r>
              <w:rPr>
                <w:rFonts w:ascii="Arial" w:cs="Arial" w:eastAsia="Arial" w:hAnsi="Arial"/>
                <w:sz w:val="15"/>
                <w:szCs w:val="15"/>
                <w:color w:val="auto"/>
              </w:rPr>
              <w:t>18 %</w:t>
            </w:r>
          </w:p>
        </w:tc>
        <w:tc>
          <w:tcPr>
            <w:tcW w:w="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114</w:t>
            </w:r>
          </w:p>
        </w:tc>
        <w:tc>
          <w:tcPr>
            <w:tcW w:w="1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0 %</w:t>
            </w:r>
          </w:p>
        </w:tc>
        <w:tc>
          <w:tcPr>
            <w:tcW w:w="20" w:type="dxa"/>
            <w:vAlign w:val="bottom"/>
          </w:tcPr>
          <w:p>
            <w:pPr>
              <w:spacing w:after="0"/>
              <w:rPr>
                <w:sz w:val="13"/>
                <w:szCs w:val="13"/>
                <w:color w:val="auto"/>
              </w:rPr>
            </w:pPr>
          </w:p>
        </w:tc>
      </w:tr>
      <w:tr>
        <w:trPr>
          <w:trHeight w:val="166"/>
        </w:trPr>
        <w:tc>
          <w:tcPr>
            <w:tcW w:w="48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Client 2</w:t>
            </w:r>
          </w:p>
        </w:tc>
        <w:tc>
          <w:tcPr>
            <w:tcW w:w="94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64,937</w:t>
            </w:r>
          </w:p>
        </w:tc>
        <w:tc>
          <w:tcPr>
            <w:tcW w:w="1240" w:type="dxa"/>
            <w:vAlign w:val="bottom"/>
            <w:gridSpan w:val="10"/>
          </w:tcPr>
          <w:p>
            <w:pPr>
              <w:jc w:val="right"/>
              <w:ind w:right="46"/>
              <w:spacing w:after="0" w:line="166" w:lineRule="exact"/>
              <w:rPr>
                <w:sz w:val="20"/>
                <w:szCs w:val="20"/>
                <w:color w:val="auto"/>
              </w:rPr>
            </w:pPr>
            <w:r>
              <w:rPr>
                <w:rFonts w:ascii="Arial" w:cs="Arial" w:eastAsia="Arial" w:hAnsi="Arial"/>
                <w:sz w:val="15"/>
                <w:szCs w:val="15"/>
                <w:color w:val="auto"/>
              </w:rPr>
              <w:t>16 %</w:t>
            </w:r>
          </w:p>
        </w:tc>
        <w:tc>
          <w:tcPr>
            <w:tcW w:w="2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7,425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5"/>
                <w:szCs w:val="15"/>
                <w:color w:val="auto"/>
              </w:rPr>
              <w:t>13 %</w:t>
            </w:r>
          </w:p>
        </w:tc>
        <w:tc>
          <w:tcPr>
            <w:tcW w:w="20" w:type="dxa"/>
            <w:vAlign w:val="bottom"/>
          </w:tcPr>
          <w:p>
            <w:pPr>
              <w:spacing w:after="0"/>
              <w:rPr>
                <w:sz w:val="14"/>
                <w:szCs w:val="14"/>
                <w:color w:val="auto"/>
              </w:rPr>
            </w:pPr>
          </w:p>
        </w:tc>
      </w:tr>
      <w:tr>
        <w:trPr>
          <w:trHeight w:val="166"/>
        </w:trPr>
        <w:tc>
          <w:tcPr>
            <w:tcW w:w="48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Client 3</w:t>
            </w:r>
          </w:p>
        </w:tc>
        <w:tc>
          <w:tcPr>
            <w:tcW w:w="9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38,528</w:t>
            </w:r>
          </w:p>
        </w:tc>
        <w:tc>
          <w:tcPr>
            <w:tcW w:w="1240" w:type="dxa"/>
            <w:vAlign w:val="bottom"/>
            <w:gridSpan w:val="10"/>
            <w:shd w:val="clear" w:color="auto" w:fill="CCEEFF"/>
          </w:tcPr>
          <w:p>
            <w:pPr>
              <w:jc w:val="right"/>
              <w:ind w:right="46"/>
              <w:spacing w:after="0" w:line="166" w:lineRule="exact"/>
              <w:rPr>
                <w:sz w:val="20"/>
                <w:szCs w:val="20"/>
                <w:color w:val="auto"/>
              </w:rPr>
            </w:pPr>
            <w:r>
              <w:rPr>
                <w:rFonts w:ascii="Arial" w:cs="Arial" w:eastAsia="Arial" w:hAnsi="Arial"/>
                <w:sz w:val="15"/>
                <w:szCs w:val="15"/>
                <w:color w:val="auto"/>
              </w:rPr>
              <w:t>10 %</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9,012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16 %</w:t>
            </w:r>
          </w:p>
        </w:tc>
        <w:tc>
          <w:tcPr>
            <w:tcW w:w="20" w:type="dxa"/>
            <w:vAlign w:val="bottom"/>
          </w:tcPr>
          <w:p>
            <w:pPr>
              <w:spacing w:after="0"/>
              <w:rPr>
                <w:sz w:val="14"/>
                <w:szCs w:val="14"/>
                <w:color w:val="auto"/>
              </w:rPr>
            </w:pPr>
          </w:p>
        </w:tc>
      </w:tr>
      <w:tr>
        <w:trPr>
          <w:trHeight w:val="166"/>
        </w:trPr>
        <w:tc>
          <w:tcPr>
            <w:tcW w:w="4860" w:type="dxa"/>
            <w:vAlign w:val="bottom"/>
            <w:gridSpan w:val="2"/>
          </w:tcPr>
          <w:p>
            <w:pPr>
              <w:ind w:left="20"/>
              <w:spacing w:after="0" w:line="166" w:lineRule="exact"/>
              <w:rPr>
                <w:sz w:val="20"/>
                <w:szCs w:val="20"/>
                <w:color w:val="auto"/>
              </w:rPr>
            </w:pPr>
            <w:r>
              <w:rPr>
                <w:rFonts w:ascii="Arial" w:cs="Arial" w:eastAsia="Arial" w:hAnsi="Arial"/>
                <w:sz w:val="15"/>
                <w:szCs w:val="15"/>
                <w:b w:val="1"/>
                <w:bCs w:val="1"/>
                <w:color w:val="auto"/>
              </w:rPr>
              <w:t>Subtotal</w:t>
            </w:r>
          </w:p>
        </w:tc>
        <w:tc>
          <w:tcPr>
            <w:tcW w:w="940" w:type="dxa"/>
            <w:vAlign w:val="bottom"/>
            <w:gridSpan w:val="3"/>
          </w:tcPr>
          <w:p>
            <w:pPr>
              <w:jc w:val="right"/>
              <w:spacing w:after="0" w:line="166" w:lineRule="exact"/>
              <w:rPr>
                <w:sz w:val="20"/>
                <w:szCs w:val="20"/>
                <w:color w:val="auto"/>
              </w:rPr>
            </w:pPr>
            <w:r>
              <w:rPr>
                <w:rFonts w:ascii="Arial" w:cs="Arial" w:eastAsia="Arial" w:hAnsi="Arial"/>
                <w:sz w:val="15"/>
                <w:szCs w:val="15"/>
                <w:b w:val="1"/>
                <w:bCs w:val="1"/>
                <w:color w:val="auto"/>
              </w:rPr>
              <w:t>177,208</w:t>
            </w:r>
          </w:p>
        </w:tc>
        <w:tc>
          <w:tcPr>
            <w:tcW w:w="1240" w:type="dxa"/>
            <w:vAlign w:val="bottom"/>
            <w:gridSpan w:val="10"/>
          </w:tcPr>
          <w:p>
            <w:pPr>
              <w:jc w:val="right"/>
              <w:ind w:right="46"/>
              <w:spacing w:after="0" w:line="166" w:lineRule="exact"/>
              <w:rPr>
                <w:sz w:val="20"/>
                <w:szCs w:val="20"/>
                <w:color w:val="auto"/>
              </w:rPr>
            </w:pPr>
            <w:r>
              <w:rPr>
                <w:rFonts w:ascii="Arial" w:cs="Arial" w:eastAsia="Arial" w:hAnsi="Arial"/>
                <w:sz w:val="15"/>
                <w:szCs w:val="15"/>
                <w:b w:val="1"/>
                <w:bCs w:val="1"/>
                <w:color w:val="auto"/>
              </w:rPr>
              <w:t xml:space="preserve">44 </w:t>
            </w: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b w:val="1"/>
                <w:bCs w:val="1"/>
                <w:color w:val="auto"/>
              </w:rPr>
              <w:t>16,551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5"/>
                <w:szCs w:val="15"/>
                <w:b w:val="1"/>
                <w:bCs w:val="1"/>
                <w:color w:val="auto"/>
              </w:rPr>
              <w:t xml:space="preserve">30 </w:t>
            </w: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6"/>
        </w:trPr>
        <w:tc>
          <w:tcPr>
            <w:tcW w:w="486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Others</w:t>
            </w:r>
          </w:p>
        </w:tc>
        <w:tc>
          <w:tcPr>
            <w:tcW w:w="940" w:type="dxa"/>
            <w:vAlign w:val="bottom"/>
            <w:gridSpan w:val="3"/>
            <w:shd w:val="clear" w:color="auto" w:fill="CCEEFF"/>
          </w:tcPr>
          <w:p>
            <w:pPr>
              <w:jc w:val="right"/>
              <w:spacing w:after="0" w:line="166" w:lineRule="exact"/>
              <w:rPr>
                <w:sz w:val="20"/>
                <w:szCs w:val="20"/>
                <w:color w:val="auto"/>
              </w:rPr>
            </w:pPr>
            <w:r>
              <w:rPr>
                <w:rFonts w:ascii="Arial" w:cs="Arial" w:eastAsia="Arial" w:hAnsi="Arial"/>
                <w:sz w:val="15"/>
                <w:szCs w:val="15"/>
                <w:color w:val="auto"/>
              </w:rPr>
              <w:t>227,927</w:t>
            </w:r>
          </w:p>
        </w:tc>
        <w:tc>
          <w:tcPr>
            <w:tcW w:w="1240" w:type="dxa"/>
            <w:vAlign w:val="bottom"/>
            <w:gridSpan w:val="10"/>
            <w:shd w:val="clear" w:color="auto" w:fill="CCEEFF"/>
          </w:tcPr>
          <w:p>
            <w:pPr>
              <w:jc w:val="right"/>
              <w:ind w:right="46"/>
              <w:spacing w:after="0" w:line="166" w:lineRule="exact"/>
              <w:rPr>
                <w:sz w:val="20"/>
                <w:szCs w:val="20"/>
                <w:color w:val="auto"/>
              </w:rPr>
            </w:pPr>
            <w:r>
              <w:rPr>
                <w:rFonts w:ascii="Arial" w:cs="Arial" w:eastAsia="Arial" w:hAnsi="Arial"/>
                <w:sz w:val="15"/>
                <w:szCs w:val="15"/>
                <w:color w:val="auto"/>
              </w:rPr>
              <w:t>56 %</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39,311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70 %</w:t>
            </w:r>
          </w:p>
        </w:tc>
        <w:tc>
          <w:tcPr>
            <w:tcW w:w="20" w:type="dxa"/>
            <w:vAlign w:val="bottom"/>
          </w:tcPr>
          <w:p>
            <w:pPr>
              <w:spacing w:after="0"/>
              <w:rPr>
                <w:sz w:val="14"/>
                <w:szCs w:val="14"/>
                <w:color w:val="auto"/>
              </w:rPr>
            </w:pPr>
          </w:p>
        </w:tc>
      </w:tr>
      <w:tr>
        <w:trPr>
          <w:trHeight w:val="197"/>
        </w:trPr>
        <w:tc>
          <w:tcPr>
            <w:tcW w:w="4860" w:type="dxa"/>
            <w:vAlign w:val="bottom"/>
            <w:tcBorders>
              <w:bottom w:val="single" w:sz="8" w:color="CCEEFF"/>
            </w:tcBorders>
            <w:gridSpan w:val="2"/>
          </w:tcPr>
          <w:p>
            <w:pPr>
              <w:ind w:left="20"/>
              <w:spacing w:after="0" w:line="157" w:lineRule="exact"/>
              <w:rPr>
                <w:sz w:val="20"/>
                <w:szCs w:val="20"/>
                <w:color w:val="auto"/>
              </w:rPr>
            </w:pPr>
            <w:r>
              <w:rPr>
                <w:rFonts w:ascii="Arial" w:cs="Arial" w:eastAsia="Arial" w:hAnsi="Arial"/>
                <w:sz w:val="15"/>
                <w:szCs w:val="15"/>
                <w:color w:val="auto"/>
              </w:rPr>
              <w:t>Revenue from external customers</w:t>
            </w:r>
          </w:p>
        </w:tc>
        <w:tc>
          <w:tcPr>
            <w:tcW w:w="180" w:type="dxa"/>
            <w:vAlign w:val="bottom"/>
            <w:tcBorders>
              <w:bottom w:val="single" w:sz="8" w:color="CCEEFF"/>
            </w:tcBorders>
            <w:gridSpan w:val="2"/>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405,135</w:t>
            </w:r>
          </w:p>
        </w:tc>
        <w:tc>
          <w:tcPr>
            <w:tcW w:w="60" w:type="dxa"/>
            <w:vAlign w:val="bottom"/>
            <w:tcBorders>
              <w:top w:val="single" w:sz="8" w:color="auto"/>
              <w:bottom w:val="single" w:sz="8" w:color="auto"/>
            </w:tcBorders>
            <w:gridSpan w:val="3"/>
          </w:tcPr>
          <w:p>
            <w:pPr>
              <w:spacing w:after="0"/>
              <w:rPr>
                <w:sz w:val="17"/>
                <w:szCs w:val="17"/>
                <w:color w:val="auto"/>
              </w:rPr>
            </w:pPr>
          </w:p>
        </w:tc>
        <w:tc>
          <w:tcPr>
            <w:tcW w:w="160" w:type="dxa"/>
            <w:vAlign w:val="bottom"/>
            <w:tcBorders>
              <w:bottom w:val="single" w:sz="8" w:color="CCEEFF"/>
            </w:tcBorders>
            <w:gridSpan w:val="3"/>
          </w:tcPr>
          <w:p>
            <w:pPr>
              <w:spacing w:after="0"/>
              <w:rPr>
                <w:sz w:val="17"/>
                <w:szCs w:val="17"/>
                <w:color w:val="auto"/>
              </w:rPr>
            </w:pPr>
          </w:p>
        </w:tc>
        <w:tc>
          <w:tcPr>
            <w:tcW w:w="780" w:type="dxa"/>
            <w:vAlign w:val="bottom"/>
            <w:tcBorders>
              <w:top w:val="single" w:sz="8" w:color="auto"/>
              <w:bottom w:val="single" w:sz="8" w:color="auto"/>
            </w:tcBorders>
            <w:gridSpan w:val="3"/>
          </w:tcPr>
          <w:p>
            <w:pPr>
              <w:jc w:val="right"/>
              <w:spacing w:after="0" w:line="157" w:lineRule="exact"/>
              <w:rPr>
                <w:sz w:val="20"/>
                <w:szCs w:val="20"/>
                <w:color w:val="auto"/>
              </w:rPr>
            </w:pPr>
            <w:r>
              <w:rPr>
                <w:rFonts w:ascii="Arial" w:cs="Arial" w:eastAsia="Arial" w:hAnsi="Arial"/>
                <w:sz w:val="15"/>
                <w:szCs w:val="15"/>
                <w:color w:val="auto"/>
              </w:rPr>
              <w:t>100</w:t>
            </w:r>
          </w:p>
        </w:tc>
        <w:tc>
          <w:tcPr>
            <w:tcW w:w="240" w:type="dxa"/>
            <w:vAlign w:val="bottom"/>
            <w:tcBorders>
              <w:bottom w:val="single" w:sz="8" w:color="CCEEFF"/>
            </w:tcBorders>
          </w:tcPr>
          <w:p>
            <w:pPr>
              <w:jc w:val="right"/>
              <w:ind w:right="46"/>
              <w:spacing w:after="0" w:line="157" w:lineRule="exact"/>
              <w:rPr>
                <w:sz w:val="20"/>
                <w:szCs w:val="20"/>
                <w:color w:val="auto"/>
              </w:rPr>
            </w:pPr>
            <w:r>
              <w:rPr>
                <w:rFonts w:ascii="Arial" w:cs="Arial" w:eastAsia="Arial" w:hAnsi="Arial"/>
                <w:sz w:val="15"/>
                <w:szCs w:val="15"/>
                <w:color w:val="auto"/>
                <w:w w:val="74"/>
              </w:rPr>
              <w:t>%</w:t>
            </w:r>
          </w:p>
        </w:tc>
        <w:tc>
          <w:tcPr>
            <w:tcW w:w="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55,862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100 %</w:t>
            </w:r>
          </w:p>
        </w:tc>
        <w:tc>
          <w:tcPr>
            <w:tcW w:w="20" w:type="dxa"/>
            <w:vAlign w:val="bottom"/>
          </w:tcPr>
          <w:p>
            <w:pPr>
              <w:spacing w:after="0"/>
              <w:rPr>
                <w:sz w:val="17"/>
                <w:szCs w:val="17"/>
                <w:color w:val="auto"/>
              </w:rPr>
            </w:pPr>
          </w:p>
        </w:tc>
      </w:tr>
      <w:tr>
        <w:trPr>
          <w:trHeight w:val="139"/>
        </w:trPr>
        <w:tc>
          <w:tcPr>
            <w:tcW w:w="20" w:type="dxa"/>
            <w:vAlign w:val="bottom"/>
            <w:tcBorders>
              <w:bottom w:val="single" w:sz="8" w:color="auto"/>
            </w:tcBorders>
            <w:shd w:val="clear" w:color="auto" w:fill="CCEEFF"/>
          </w:tcPr>
          <w:p>
            <w:pPr>
              <w:spacing w:after="0"/>
              <w:rPr>
                <w:sz w:val="12"/>
                <w:szCs w:val="12"/>
                <w:color w:val="auto"/>
              </w:rPr>
            </w:pPr>
          </w:p>
        </w:tc>
        <w:tc>
          <w:tcPr>
            <w:tcW w:w="48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Group continuously monitors defaults of customers and other counterparties, identified either individually or by group, and incorporate this information into its credit risk controls.</w:t>
      </w:r>
    </w:p>
    <w:p>
      <w:pPr>
        <w:spacing w:after="0" w:line="135" w:lineRule="exact"/>
        <w:rPr>
          <w:sz w:val="20"/>
          <w:szCs w:val="20"/>
          <w:color w:val="auto"/>
        </w:rPr>
      </w:pPr>
    </w:p>
    <w:p>
      <w:pPr>
        <w:jc w:val="both"/>
        <w:ind w:left="40" w:right="39"/>
        <w:spacing w:after="0" w:line="235" w:lineRule="auto"/>
        <w:rPr>
          <w:sz w:val="20"/>
          <w:szCs w:val="20"/>
          <w:color w:val="auto"/>
        </w:rPr>
      </w:pPr>
      <w:r>
        <w:rPr>
          <w:rFonts w:ascii="Arial" w:cs="Arial" w:eastAsia="Arial" w:hAnsi="Arial"/>
          <w:sz w:val="15"/>
          <w:szCs w:val="15"/>
          <w:color w:val="auto"/>
        </w:rPr>
        <w:t>The consolidated entities recognizes a loss allowance for expected credit losses on financial assets which are measured at amortized cost. The measurement of the loss allowance depends upon the assessment at the end of each reporting period as to whether the financial instrument’s credit risk has increased significantly since initial recognition, based on reasonable and supportable information that is available, without undue cost or effort to obtain. Based on the historic trend and expected performance of the customers, the Group believes that the below expected credit loss allowance sufficiently covers the risk of default. Trade receivable balances are reviewed closely for changes in creditworthiness, including those related to COVID-19, are integrated into assessment of credit risk and expected credit losses. Forward-looking information including macroeconomic factors such as GDP, unemployment and inflation rate in the countries where Group operates. Based on the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3" w:name="page194"/>
    <w:bookmarkEnd w:id="19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current knowledge of COVID-19 developments, the Company assumes that there will be no material deterioration on the trade receivable balances.</w:t>
      </w:r>
    </w:p>
    <w:p>
      <w:pPr>
        <w:spacing w:after="0" w:line="135"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In measuring expected credit losses, trade receivables are assessed on a collective basis as they possess shared credit risk characteristics. Trade receivables are grouped based on days past due and also according to the geographical location of customers.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On the above basis the expected credit loss for trade receivables as at June 30, 2022 and June 30, 2021 was determined as follows:</w:t>
      </w:r>
    </w:p>
    <w:p>
      <w:pPr>
        <w:spacing w:after="0" w:line="192" w:lineRule="exact"/>
        <w:rPr>
          <w:sz w:val="20"/>
          <w:szCs w:val="20"/>
          <w:color w:val="auto"/>
        </w:rPr>
      </w:pPr>
    </w:p>
    <w:p>
      <w:pPr>
        <w:jc w:val="center"/>
        <w:ind w:left="1960"/>
        <w:spacing w:after="0"/>
        <w:rPr>
          <w:sz w:val="20"/>
          <w:szCs w:val="20"/>
          <w:color w:val="auto"/>
        </w:rPr>
      </w:pPr>
      <w:r>
        <w:rPr>
          <w:rFonts w:ascii="Arial" w:cs="Arial" w:eastAsia="Arial" w:hAnsi="Arial"/>
          <w:sz w:val="10"/>
          <w:szCs w:val="10"/>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6985</wp:posOffset>
            </wp:positionV>
            <wp:extent cx="567499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5674995" cy="698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-69850</wp:posOffset>
            </wp:positionV>
            <wp:extent cx="567499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5674995" cy="6985"/>
                    </a:xfrm>
                    <a:prstGeom prst="rect">
                      <a:avLst/>
                    </a:prstGeom>
                    <a:noFill/>
                  </pic:spPr>
                </pic:pic>
              </a:graphicData>
            </a:graphic>
          </wp:anchor>
        </w:drawing>
      </w:r>
    </w:p>
    <w:p>
      <w:pPr>
        <w:jc w:val="center"/>
        <w:ind w:left="1960"/>
        <w:spacing w:after="0"/>
        <w:rPr>
          <w:sz w:val="20"/>
          <w:szCs w:val="20"/>
          <w:color w:val="auto"/>
        </w:rPr>
      </w:pPr>
      <w:r>
        <w:rPr>
          <w:rFonts w:ascii="Arial" w:cs="Arial" w:eastAsia="Arial" w:hAnsi="Arial"/>
          <w:sz w:val="10"/>
          <w:szCs w:val="10"/>
          <w:b w:val="1"/>
          <w:bCs w:val="1"/>
          <w:color w:val="auto"/>
        </w:rPr>
        <w:t>(US$’000)</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87"/>
        </w:trPr>
        <w:tc>
          <w:tcPr>
            <w:tcW w:w="18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0"/>
                <w:szCs w:val="10"/>
                <w:b w:val="1"/>
                <w:bCs w:val="1"/>
                <w:color w:val="auto"/>
              </w:rPr>
              <w:t>Not overdue</w:t>
            </w:r>
          </w:p>
        </w:tc>
        <w:tc>
          <w:tcPr>
            <w:tcW w:w="1080" w:type="dxa"/>
            <w:vAlign w:val="bottom"/>
            <w:tcBorders>
              <w:top w:val="single" w:sz="8" w:color="auto"/>
            </w:tcBorders>
          </w:tcPr>
          <w:p>
            <w:pPr>
              <w:jc w:val="right"/>
              <w:ind w:right="368"/>
              <w:spacing w:after="0" w:line="87" w:lineRule="exact"/>
              <w:rPr>
                <w:sz w:val="20"/>
                <w:szCs w:val="20"/>
                <w:color w:val="auto"/>
              </w:rPr>
            </w:pPr>
            <w:r>
              <w:rPr>
                <w:rFonts w:ascii="Arial" w:cs="Arial" w:eastAsia="Arial" w:hAnsi="Arial"/>
                <w:sz w:val="10"/>
                <w:szCs w:val="10"/>
                <w:b w:val="1"/>
                <w:bCs w:val="1"/>
                <w:color w:val="auto"/>
              </w:rPr>
              <w:t>Due: 0 to 30</w:t>
            </w:r>
          </w:p>
        </w:tc>
        <w:tc>
          <w:tcPr>
            <w:tcW w:w="1020" w:type="dxa"/>
            <w:vAlign w:val="bottom"/>
            <w:tcBorders>
              <w:top w:val="single" w:sz="8" w:color="auto"/>
            </w:tcBorders>
          </w:tcPr>
          <w:p>
            <w:pPr>
              <w:jc w:val="center"/>
              <w:ind w:right="168"/>
              <w:spacing w:after="0" w:line="87" w:lineRule="exact"/>
              <w:rPr>
                <w:sz w:val="20"/>
                <w:szCs w:val="20"/>
                <w:color w:val="auto"/>
              </w:rPr>
            </w:pPr>
            <w:r>
              <w:rPr>
                <w:rFonts w:ascii="Arial" w:cs="Arial" w:eastAsia="Arial" w:hAnsi="Arial"/>
                <w:sz w:val="10"/>
                <w:szCs w:val="10"/>
                <w:b w:val="1"/>
                <w:bCs w:val="1"/>
                <w:color w:val="auto"/>
              </w:rPr>
              <w:t>Due: 31 - 60</w:t>
            </w:r>
          </w:p>
        </w:tc>
        <w:tc>
          <w:tcPr>
            <w:tcW w:w="1100" w:type="dxa"/>
            <w:vAlign w:val="bottom"/>
            <w:tcBorders>
              <w:top w:val="single" w:sz="8" w:color="auto"/>
            </w:tcBorders>
          </w:tcPr>
          <w:p>
            <w:pPr>
              <w:jc w:val="center"/>
              <w:ind w:right="188"/>
              <w:spacing w:after="0" w:line="87" w:lineRule="exact"/>
              <w:rPr>
                <w:sz w:val="20"/>
                <w:szCs w:val="20"/>
                <w:color w:val="auto"/>
              </w:rPr>
            </w:pPr>
            <w:r>
              <w:rPr>
                <w:rFonts w:ascii="Arial" w:cs="Arial" w:eastAsia="Arial" w:hAnsi="Arial"/>
                <w:sz w:val="10"/>
                <w:szCs w:val="10"/>
                <w:b w:val="1"/>
                <w:bCs w:val="1"/>
                <w:color w:val="auto"/>
              </w:rPr>
              <w:t>Due: 61 to 90</w:t>
            </w:r>
          </w:p>
        </w:tc>
        <w:tc>
          <w:tcPr>
            <w:tcW w:w="1060" w:type="dxa"/>
            <w:vAlign w:val="bottom"/>
            <w:tcBorders>
              <w:top w:val="single" w:sz="8" w:color="auto"/>
            </w:tcBorders>
          </w:tcPr>
          <w:p>
            <w:pPr>
              <w:jc w:val="center"/>
              <w:ind w:right="148"/>
              <w:spacing w:after="0" w:line="87" w:lineRule="exact"/>
              <w:rPr>
                <w:sz w:val="20"/>
                <w:szCs w:val="20"/>
                <w:color w:val="auto"/>
              </w:rPr>
            </w:pPr>
            <w:r>
              <w:rPr>
                <w:rFonts w:ascii="Arial" w:cs="Arial" w:eastAsia="Arial" w:hAnsi="Arial"/>
                <w:sz w:val="10"/>
                <w:szCs w:val="10"/>
                <w:b w:val="1"/>
                <w:bCs w:val="1"/>
                <w:color w:val="auto"/>
              </w:rPr>
              <w:t>Due: 91 - 180</w:t>
            </w:r>
          </w:p>
        </w:tc>
        <w:tc>
          <w:tcPr>
            <w:tcW w:w="1100" w:type="dxa"/>
            <w:vAlign w:val="bottom"/>
            <w:tcBorders>
              <w:top w:val="single" w:sz="8" w:color="auto"/>
            </w:tcBorders>
            <w:gridSpan w:val="3"/>
          </w:tcPr>
          <w:p>
            <w:pPr>
              <w:jc w:val="center"/>
              <w:ind w:right="120"/>
              <w:spacing w:after="0" w:line="87" w:lineRule="exact"/>
              <w:rPr>
                <w:sz w:val="20"/>
                <w:szCs w:val="20"/>
                <w:color w:val="auto"/>
              </w:rPr>
            </w:pPr>
            <w:r>
              <w:rPr>
                <w:rFonts w:ascii="Arial" w:cs="Arial" w:eastAsia="Arial" w:hAnsi="Arial"/>
                <w:sz w:val="10"/>
                <w:szCs w:val="10"/>
                <w:b w:val="1"/>
                <w:bCs w:val="1"/>
                <w:color w:val="auto"/>
              </w:rPr>
              <w:t>Due: over 180</w:t>
            </w:r>
          </w:p>
        </w:tc>
        <w:tc>
          <w:tcPr>
            <w:tcW w:w="680" w:type="dxa"/>
            <w:vAlign w:val="bottom"/>
            <w:tcBorders>
              <w:top w:val="single" w:sz="8" w:color="auto"/>
            </w:tcBorders>
            <w:vMerge w:val="restart"/>
          </w:tcPr>
          <w:p>
            <w:pPr>
              <w:jc w:val="right"/>
              <w:ind w:right="124"/>
              <w:spacing w:after="0"/>
              <w:rPr>
                <w:sz w:val="20"/>
                <w:szCs w:val="20"/>
                <w:color w:val="auto"/>
              </w:rPr>
            </w:pPr>
            <w:r>
              <w:rPr>
                <w:rFonts w:ascii="Arial" w:cs="Arial" w:eastAsia="Arial" w:hAnsi="Arial"/>
                <w:sz w:val="10"/>
                <w:szCs w:val="10"/>
                <w:b w:val="1"/>
                <w:bCs w:val="1"/>
                <w:color w:val="auto"/>
              </w:rPr>
              <w:t>Total</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8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0"/>
                <w:szCs w:val="10"/>
                <w:b w:val="1"/>
                <w:bCs w:val="1"/>
                <w:color w:val="auto"/>
              </w:rPr>
              <w:t>days</w:t>
            </w: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0"/>
                <w:szCs w:val="10"/>
                <w:b w:val="1"/>
                <w:bCs w:val="1"/>
                <w:color w:val="auto"/>
                <w:w w:val="96"/>
              </w:rPr>
              <w:t>days</w:t>
            </w:r>
          </w:p>
        </w:tc>
        <w:tc>
          <w:tcPr>
            <w:tcW w:w="1100" w:type="dxa"/>
            <w:vAlign w:val="bottom"/>
            <w:tcBorders>
              <w:bottom w:val="single" w:sz="8" w:color="auto"/>
            </w:tcBorders>
          </w:tcPr>
          <w:p>
            <w:pPr>
              <w:jc w:val="center"/>
              <w:ind w:right="168"/>
              <w:spacing w:after="0"/>
              <w:rPr>
                <w:sz w:val="20"/>
                <w:szCs w:val="20"/>
                <w:color w:val="auto"/>
              </w:rPr>
            </w:pPr>
            <w:r>
              <w:rPr>
                <w:rFonts w:ascii="Arial" w:cs="Arial" w:eastAsia="Arial" w:hAnsi="Arial"/>
                <w:sz w:val="10"/>
                <w:szCs w:val="10"/>
                <w:b w:val="1"/>
                <w:bCs w:val="1"/>
                <w:color w:val="auto"/>
              </w:rPr>
              <w:t>days</w:t>
            </w: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0"/>
                <w:szCs w:val="10"/>
                <w:b w:val="1"/>
                <w:bCs w:val="1"/>
                <w:color w:val="auto"/>
              </w:rPr>
              <w:t>days</w:t>
            </w: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rPr>
              <w:t>days</w:t>
            </w:r>
          </w:p>
        </w:tc>
        <w:tc>
          <w:tcPr>
            <w:tcW w:w="680" w:type="dxa"/>
            <w:vAlign w:val="bottom"/>
            <w:tcBorders>
              <w:bottom w:val="single" w:sz="8" w:color="auto"/>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88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color w:val="auto"/>
              </w:rPr>
              <w:t>Expected credit loss rate</w:t>
            </w:r>
          </w:p>
        </w:tc>
        <w:tc>
          <w:tcPr>
            <w:tcW w:w="1020" w:type="dxa"/>
            <w:vAlign w:val="bottom"/>
            <w:shd w:val="clear" w:color="auto" w:fill="CCEEFF"/>
          </w:tcPr>
          <w:p>
            <w:pPr>
              <w:jc w:val="right"/>
              <w:ind w:right="8"/>
              <w:spacing w:after="0" w:line="102" w:lineRule="exact"/>
              <w:rPr>
                <w:sz w:val="20"/>
                <w:szCs w:val="20"/>
                <w:color w:val="auto"/>
              </w:rPr>
            </w:pPr>
            <w:r>
              <w:rPr>
                <w:rFonts w:ascii="Arial" w:cs="Arial" w:eastAsia="Arial" w:hAnsi="Arial"/>
                <w:sz w:val="10"/>
                <w:szCs w:val="10"/>
                <w:color w:val="auto"/>
              </w:rPr>
              <w:t>0 %</w:t>
            </w:r>
          </w:p>
        </w:tc>
        <w:tc>
          <w:tcPr>
            <w:tcW w:w="1080" w:type="dxa"/>
            <w:vAlign w:val="bottom"/>
            <w:shd w:val="clear" w:color="auto" w:fill="CCEEFF"/>
          </w:tcPr>
          <w:p>
            <w:pPr>
              <w:jc w:val="right"/>
              <w:ind w:right="48"/>
              <w:spacing w:after="0" w:line="102" w:lineRule="exact"/>
              <w:rPr>
                <w:sz w:val="20"/>
                <w:szCs w:val="20"/>
                <w:color w:val="auto"/>
              </w:rPr>
            </w:pPr>
            <w:r>
              <w:rPr>
                <w:rFonts w:ascii="Arial" w:cs="Arial" w:eastAsia="Arial" w:hAnsi="Arial"/>
                <w:sz w:val="10"/>
                <w:szCs w:val="10"/>
                <w:color w:val="auto"/>
              </w:rPr>
              <w:t>0 %</w:t>
            </w:r>
          </w:p>
        </w:tc>
        <w:tc>
          <w:tcPr>
            <w:tcW w:w="1020" w:type="dxa"/>
            <w:vAlign w:val="bottom"/>
            <w:shd w:val="clear" w:color="auto" w:fill="CCEEFF"/>
          </w:tcPr>
          <w:p>
            <w:pPr>
              <w:jc w:val="right"/>
              <w:ind w:right="48"/>
              <w:spacing w:after="0" w:line="102" w:lineRule="exact"/>
              <w:rPr>
                <w:sz w:val="20"/>
                <w:szCs w:val="20"/>
                <w:color w:val="auto"/>
              </w:rPr>
            </w:pPr>
            <w:r>
              <w:rPr>
                <w:rFonts w:ascii="Arial" w:cs="Arial" w:eastAsia="Arial" w:hAnsi="Arial"/>
                <w:sz w:val="10"/>
                <w:szCs w:val="10"/>
                <w:color w:val="auto"/>
              </w:rPr>
              <w:t>3 %</w:t>
            </w:r>
          </w:p>
        </w:tc>
        <w:tc>
          <w:tcPr>
            <w:tcW w:w="1100" w:type="dxa"/>
            <w:vAlign w:val="bottom"/>
            <w:shd w:val="clear" w:color="auto" w:fill="CCEEFF"/>
          </w:tcPr>
          <w:p>
            <w:pPr>
              <w:jc w:val="right"/>
              <w:ind w:right="48"/>
              <w:spacing w:after="0" w:line="102" w:lineRule="exact"/>
              <w:rPr>
                <w:sz w:val="20"/>
                <w:szCs w:val="20"/>
                <w:color w:val="auto"/>
              </w:rPr>
            </w:pPr>
            <w:r>
              <w:rPr>
                <w:rFonts w:ascii="Arial" w:cs="Arial" w:eastAsia="Arial" w:hAnsi="Arial"/>
                <w:sz w:val="10"/>
                <w:szCs w:val="10"/>
                <w:color w:val="auto"/>
              </w:rPr>
              <w:t>15 %</w:t>
            </w:r>
          </w:p>
        </w:tc>
        <w:tc>
          <w:tcPr>
            <w:tcW w:w="1060" w:type="dxa"/>
            <w:vAlign w:val="bottom"/>
            <w:shd w:val="clear" w:color="auto" w:fill="CCEEFF"/>
          </w:tcPr>
          <w:p>
            <w:pPr>
              <w:jc w:val="right"/>
              <w:ind w:right="28"/>
              <w:spacing w:after="0" w:line="102" w:lineRule="exact"/>
              <w:rPr>
                <w:sz w:val="20"/>
                <w:szCs w:val="20"/>
                <w:color w:val="auto"/>
              </w:rPr>
            </w:pPr>
            <w:r>
              <w:rPr>
                <w:rFonts w:ascii="Arial" w:cs="Arial" w:eastAsia="Arial" w:hAnsi="Arial"/>
                <w:sz w:val="10"/>
                <w:szCs w:val="10"/>
                <w:color w:val="auto"/>
              </w:rPr>
              <w:t>31 %</w:t>
            </w:r>
          </w:p>
        </w:tc>
        <w:tc>
          <w:tcPr>
            <w:tcW w:w="1100" w:type="dxa"/>
            <w:vAlign w:val="bottom"/>
            <w:gridSpan w:val="3"/>
            <w:shd w:val="clear" w:color="auto" w:fill="CCEEFF"/>
          </w:tcPr>
          <w:p>
            <w:pPr>
              <w:jc w:val="right"/>
              <w:ind w:right="20"/>
              <w:spacing w:after="0" w:line="102" w:lineRule="exact"/>
              <w:rPr>
                <w:sz w:val="20"/>
                <w:szCs w:val="20"/>
                <w:color w:val="auto"/>
              </w:rPr>
            </w:pPr>
            <w:r>
              <w:rPr>
                <w:rFonts w:ascii="Arial" w:cs="Arial" w:eastAsia="Arial" w:hAnsi="Arial"/>
                <w:sz w:val="10"/>
                <w:szCs w:val="10"/>
                <w:color w:val="auto"/>
              </w:rPr>
              <w:t>98 %</w:t>
            </w:r>
          </w:p>
        </w:tc>
        <w:tc>
          <w:tcPr>
            <w:tcW w:w="68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80" w:type="dxa"/>
            <w:vAlign w:val="bottom"/>
          </w:tcPr>
          <w:p>
            <w:pPr>
              <w:ind w:left="20"/>
              <w:spacing w:after="0" w:line="111" w:lineRule="exact"/>
              <w:rPr>
                <w:sz w:val="20"/>
                <w:szCs w:val="20"/>
                <w:color w:val="auto"/>
              </w:rPr>
            </w:pPr>
            <w:r>
              <w:rPr>
                <w:rFonts w:ascii="Arial" w:cs="Arial" w:eastAsia="Arial" w:hAnsi="Arial"/>
                <w:sz w:val="10"/>
                <w:szCs w:val="10"/>
                <w:color w:val="auto"/>
              </w:rPr>
              <w:t>Gross carrying amount</w:t>
            </w:r>
          </w:p>
        </w:tc>
        <w:tc>
          <w:tcPr>
            <w:tcW w:w="1020" w:type="dxa"/>
            <w:vAlign w:val="bottom"/>
          </w:tcPr>
          <w:p>
            <w:pPr>
              <w:jc w:val="right"/>
              <w:ind w:right="128"/>
              <w:spacing w:after="0" w:line="111" w:lineRule="exact"/>
              <w:rPr>
                <w:sz w:val="20"/>
                <w:szCs w:val="20"/>
                <w:color w:val="auto"/>
              </w:rPr>
            </w:pPr>
            <w:r>
              <w:rPr>
                <w:rFonts w:ascii="Arial" w:cs="Arial" w:eastAsia="Arial" w:hAnsi="Arial"/>
                <w:sz w:val="10"/>
                <w:szCs w:val="10"/>
                <w:color w:val="auto"/>
              </w:rPr>
              <w:t>73,524</w:t>
            </w:r>
          </w:p>
        </w:tc>
        <w:tc>
          <w:tcPr>
            <w:tcW w:w="1080" w:type="dxa"/>
            <w:vAlign w:val="bottom"/>
          </w:tcPr>
          <w:p>
            <w:pPr>
              <w:jc w:val="right"/>
              <w:ind w:right="168"/>
              <w:spacing w:after="0" w:line="111" w:lineRule="exact"/>
              <w:rPr>
                <w:sz w:val="20"/>
                <w:szCs w:val="20"/>
                <w:color w:val="auto"/>
              </w:rPr>
            </w:pPr>
            <w:r>
              <w:rPr>
                <w:rFonts w:ascii="Arial" w:cs="Arial" w:eastAsia="Arial" w:hAnsi="Arial"/>
                <w:sz w:val="10"/>
                <w:szCs w:val="10"/>
                <w:color w:val="auto"/>
              </w:rPr>
              <w:t>1,302</w:t>
            </w:r>
          </w:p>
        </w:tc>
        <w:tc>
          <w:tcPr>
            <w:tcW w:w="1020" w:type="dxa"/>
            <w:vAlign w:val="bottom"/>
          </w:tcPr>
          <w:p>
            <w:pPr>
              <w:jc w:val="right"/>
              <w:ind w:right="188"/>
              <w:spacing w:after="0" w:line="111" w:lineRule="exact"/>
              <w:rPr>
                <w:sz w:val="20"/>
                <w:szCs w:val="20"/>
                <w:color w:val="auto"/>
              </w:rPr>
            </w:pPr>
            <w:r>
              <w:rPr>
                <w:rFonts w:ascii="Arial" w:cs="Arial" w:eastAsia="Arial" w:hAnsi="Arial"/>
                <w:sz w:val="10"/>
                <w:szCs w:val="10"/>
                <w:color w:val="auto"/>
              </w:rPr>
              <w:t>238</w:t>
            </w:r>
          </w:p>
        </w:tc>
        <w:tc>
          <w:tcPr>
            <w:tcW w:w="1100" w:type="dxa"/>
            <w:vAlign w:val="bottom"/>
          </w:tcPr>
          <w:p>
            <w:pPr>
              <w:jc w:val="right"/>
              <w:ind w:right="188"/>
              <w:spacing w:after="0" w:line="111" w:lineRule="exact"/>
              <w:rPr>
                <w:sz w:val="20"/>
                <w:szCs w:val="20"/>
                <w:color w:val="auto"/>
              </w:rPr>
            </w:pPr>
            <w:r>
              <w:rPr>
                <w:rFonts w:ascii="Arial" w:cs="Arial" w:eastAsia="Arial" w:hAnsi="Arial"/>
                <w:sz w:val="10"/>
                <w:szCs w:val="10"/>
                <w:color w:val="auto"/>
              </w:rPr>
              <w:t>196</w:t>
            </w:r>
          </w:p>
        </w:tc>
        <w:tc>
          <w:tcPr>
            <w:tcW w:w="1060" w:type="dxa"/>
            <w:vAlign w:val="bottom"/>
          </w:tcPr>
          <w:p>
            <w:pPr>
              <w:jc w:val="right"/>
              <w:ind w:right="148"/>
              <w:spacing w:after="0" w:line="111" w:lineRule="exact"/>
              <w:rPr>
                <w:sz w:val="20"/>
                <w:szCs w:val="20"/>
                <w:color w:val="auto"/>
              </w:rPr>
            </w:pPr>
            <w:r>
              <w:rPr>
                <w:rFonts w:ascii="Arial" w:cs="Arial" w:eastAsia="Arial" w:hAnsi="Arial"/>
                <w:sz w:val="10"/>
                <w:szCs w:val="10"/>
                <w:color w:val="auto"/>
              </w:rPr>
              <w:t>261</w:t>
            </w:r>
          </w:p>
        </w:tc>
        <w:tc>
          <w:tcPr>
            <w:tcW w:w="1000" w:type="dxa"/>
            <w:vAlign w:val="bottom"/>
            <w:gridSpan w:val="2"/>
          </w:tcPr>
          <w:p>
            <w:pPr>
              <w:jc w:val="right"/>
              <w:ind w:right="60"/>
              <w:spacing w:after="0" w:line="111" w:lineRule="exact"/>
              <w:rPr>
                <w:sz w:val="20"/>
                <w:szCs w:val="20"/>
                <w:color w:val="auto"/>
              </w:rPr>
            </w:pPr>
            <w:r>
              <w:rPr>
                <w:rFonts w:ascii="Arial" w:cs="Arial" w:eastAsia="Arial" w:hAnsi="Arial"/>
                <w:sz w:val="10"/>
                <w:szCs w:val="10"/>
                <w:color w:val="auto"/>
              </w:rPr>
              <w:t>1,187</w:t>
            </w:r>
          </w:p>
        </w:tc>
        <w:tc>
          <w:tcPr>
            <w:tcW w:w="1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0"/>
                <w:szCs w:val="10"/>
                <w:b w:val="1"/>
                <w:bCs w:val="1"/>
                <w:color w:val="auto"/>
              </w:rPr>
              <w:t>76,708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80" w:type="dxa"/>
            <w:vAlign w:val="bottom"/>
            <w:tcBorders>
              <w:bottom w:val="single" w:sz="8" w:color="auto"/>
            </w:tcBorders>
            <w:shd w:val="clear" w:color="auto" w:fill="CCEEFF"/>
          </w:tcPr>
          <w:p>
            <w:pPr>
              <w:ind w:left="20"/>
              <w:spacing w:after="0" w:line="111" w:lineRule="exact"/>
              <w:rPr>
                <w:sz w:val="20"/>
                <w:szCs w:val="20"/>
                <w:color w:val="auto"/>
              </w:rPr>
            </w:pPr>
            <w:r>
              <w:rPr>
                <w:rFonts w:ascii="Arial" w:cs="Arial" w:eastAsia="Arial" w:hAnsi="Arial"/>
                <w:sz w:val="10"/>
                <w:szCs w:val="10"/>
                <w:color w:val="auto"/>
              </w:rPr>
              <w:t>Lifetime expected credit loss</w:t>
            </w:r>
          </w:p>
        </w:tc>
        <w:tc>
          <w:tcPr>
            <w:tcW w:w="1020" w:type="dxa"/>
            <w:vAlign w:val="bottom"/>
            <w:tcBorders>
              <w:bottom w:val="single" w:sz="8" w:color="auto"/>
            </w:tcBorders>
            <w:shd w:val="clear" w:color="auto" w:fill="CCEEFF"/>
          </w:tcPr>
          <w:p>
            <w:pPr>
              <w:jc w:val="right"/>
              <w:ind w:right="128"/>
              <w:spacing w:after="0" w:line="111" w:lineRule="exact"/>
              <w:rPr>
                <w:sz w:val="20"/>
                <w:szCs w:val="20"/>
                <w:color w:val="auto"/>
              </w:rPr>
            </w:pPr>
            <w:r>
              <w:rPr>
                <w:rFonts w:ascii="Arial" w:cs="Arial" w:eastAsia="Arial" w:hAnsi="Arial"/>
                <w:sz w:val="10"/>
                <w:szCs w:val="10"/>
                <w:color w:val="auto"/>
              </w:rPr>
              <w:t>4</w:t>
            </w:r>
          </w:p>
        </w:tc>
        <w:tc>
          <w:tcPr>
            <w:tcW w:w="1080" w:type="dxa"/>
            <w:vAlign w:val="bottom"/>
            <w:tcBorders>
              <w:bottom w:val="single" w:sz="8" w:color="auto"/>
            </w:tcBorders>
            <w:shd w:val="clear" w:color="auto" w:fill="CCEEFF"/>
          </w:tcPr>
          <w:p>
            <w:pPr>
              <w:jc w:val="right"/>
              <w:ind w:right="188"/>
              <w:spacing w:after="0" w:line="111" w:lineRule="exact"/>
              <w:rPr>
                <w:sz w:val="20"/>
                <w:szCs w:val="20"/>
                <w:color w:val="auto"/>
              </w:rPr>
            </w:pPr>
            <w:r>
              <w:rPr>
                <w:rFonts w:ascii="Arial" w:cs="Arial" w:eastAsia="Arial" w:hAnsi="Arial"/>
                <w:sz w:val="10"/>
                <w:szCs w:val="10"/>
                <w:color w:val="auto"/>
              </w:rPr>
              <w:t>1</w:t>
            </w:r>
          </w:p>
        </w:tc>
        <w:tc>
          <w:tcPr>
            <w:tcW w:w="1020" w:type="dxa"/>
            <w:vAlign w:val="bottom"/>
            <w:tcBorders>
              <w:bottom w:val="single" w:sz="8" w:color="auto"/>
            </w:tcBorders>
            <w:shd w:val="clear" w:color="auto" w:fill="CCEEFF"/>
          </w:tcPr>
          <w:p>
            <w:pPr>
              <w:jc w:val="right"/>
              <w:ind w:right="188"/>
              <w:spacing w:after="0" w:line="111" w:lineRule="exact"/>
              <w:rPr>
                <w:sz w:val="20"/>
                <w:szCs w:val="20"/>
                <w:color w:val="auto"/>
              </w:rPr>
            </w:pPr>
            <w:r>
              <w:rPr>
                <w:rFonts w:ascii="Arial" w:cs="Arial" w:eastAsia="Arial" w:hAnsi="Arial"/>
                <w:sz w:val="10"/>
                <w:szCs w:val="10"/>
                <w:color w:val="auto"/>
              </w:rPr>
              <w:t>7</w:t>
            </w:r>
          </w:p>
        </w:tc>
        <w:tc>
          <w:tcPr>
            <w:tcW w:w="1100" w:type="dxa"/>
            <w:vAlign w:val="bottom"/>
            <w:tcBorders>
              <w:bottom w:val="single" w:sz="8" w:color="auto"/>
            </w:tcBorders>
            <w:shd w:val="clear" w:color="auto" w:fill="CCEEFF"/>
          </w:tcPr>
          <w:p>
            <w:pPr>
              <w:jc w:val="right"/>
              <w:ind w:right="188"/>
              <w:spacing w:after="0" w:line="111" w:lineRule="exact"/>
              <w:rPr>
                <w:sz w:val="20"/>
                <w:szCs w:val="20"/>
                <w:color w:val="auto"/>
              </w:rPr>
            </w:pPr>
            <w:r>
              <w:rPr>
                <w:rFonts w:ascii="Arial" w:cs="Arial" w:eastAsia="Arial" w:hAnsi="Arial"/>
                <w:sz w:val="10"/>
                <w:szCs w:val="10"/>
                <w:color w:val="auto"/>
              </w:rPr>
              <w:t>29</w:t>
            </w:r>
          </w:p>
        </w:tc>
        <w:tc>
          <w:tcPr>
            <w:tcW w:w="1060" w:type="dxa"/>
            <w:vAlign w:val="bottom"/>
            <w:tcBorders>
              <w:bottom w:val="single" w:sz="8" w:color="auto"/>
            </w:tcBorders>
            <w:shd w:val="clear" w:color="auto" w:fill="CCEEFF"/>
          </w:tcPr>
          <w:p>
            <w:pPr>
              <w:jc w:val="right"/>
              <w:ind w:right="148"/>
              <w:spacing w:after="0" w:line="111" w:lineRule="exact"/>
              <w:rPr>
                <w:sz w:val="20"/>
                <w:szCs w:val="20"/>
                <w:color w:val="auto"/>
              </w:rPr>
            </w:pPr>
            <w:r>
              <w:rPr>
                <w:rFonts w:ascii="Arial" w:cs="Arial" w:eastAsia="Arial" w:hAnsi="Arial"/>
                <w:sz w:val="10"/>
                <w:szCs w:val="10"/>
                <w:color w:val="auto"/>
              </w:rPr>
              <w:t>80</w:t>
            </w:r>
          </w:p>
        </w:tc>
        <w:tc>
          <w:tcPr>
            <w:tcW w:w="1000" w:type="dxa"/>
            <w:vAlign w:val="bottom"/>
            <w:tcBorders>
              <w:bottom w:val="single" w:sz="8" w:color="auto"/>
            </w:tcBorders>
            <w:gridSpan w:val="2"/>
            <w:shd w:val="clear" w:color="auto" w:fill="CCEEFF"/>
          </w:tcPr>
          <w:p>
            <w:pPr>
              <w:jc w:val="right"/>
              <w:ind w:right="60"/>
              <w:spacing w:after="0" w:line="111" w:lineRule="exact"/>
              <w:rPr>
                <w:sz w:val="20"/>
                <w:szCs w:val="20"/>
                <w:color w:val="auto"/>
              </w:rPr>
            </w:pPr>
            <w:r>
              <w:rPr>
                <w:rFonts w:ascii="Arial" w:cs="Arial" w:eastAsia="Arial" w:hAnsi="Arial"/>
                <w:sz w:val="10"/>
                <w:szCs w:val="10"/>
                <w:color w:val="auto"/>
              </w:rPr>
              <w:t>1,169</w:t>
            </w:r>
          </w:p>
        </w:tc>
        <w:tc>
          <w:tcPr>
            <w:tcW w:w="10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b w:val="1"/>
                <w:bCs w:val="1"/>
                <w:color w:val="auto"/>
              </w:rPr>
              <w:t>1,290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auto"/>
            </w:tcBorders>
          </w:tcPr>
          <w:p>
            <w:pPr>
              <w:ind w:left="20"/>
              <w:spacing w:after="0" w:line="102" w:lineRule="exact"/>
              <w:rPr>
                <w:sz w:val="20"/>
                <w:szCs w:val="20"/>
                <w:color w:val="auto"/>
              </w:rPr>
            </w:pPr>
            <w:r>
              <w:rPr>
                <w:rFonts w:ascii="Arial" w:cs="Arial" w:eastAsia="Arial" w:hAnsi="Arial"/>
                <w:sz w:val="10"/>
                <w:szCs w:val="10"/>
                <w:color w:val="auto"/>
              </w:rPr>
              <w:t>Individually impaired trade receivables</w:t>
            </w:r>
          </w:p>
        </w:tc>
        <w:tc>
          <w:tcPr>
            <w:tcW w:w="10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10"/>
                <w:szCs w:val="10"/>
                <w:color w:val="auto"/>
              </w:rPr>
              <w:t>Total allowance for credit losses</w:t>
            </w:r>
          </w:p>
        </w:tc>
        <w:tc>
          <w:tcPr>
            <w:tcW w:w="102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1,290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8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right"/>
              <w:ind w:right="248"/>
              <w:spacing w:after="0" w:line="102" w:lineRule="exact"/>
              <w:rPr>
                <w:sz w:val="20"/>
                <w:szCs w:val="20"/>
                <w:color w:val="auto"/>
              </w:rPr>
            </w:pPr>
            <w:r>
              <w:rPr>
                <w:rFonts w:ascii="Arial" w:cs="Arial" w:eastAsia="Arial" w:hAnsi="Arial"/>
                <w:sz w:val="10"/>
                <w:szCs w:val="10"/>
                <w:b w:val="1"/>
                <w:bCs w:val="1"/>
                <w:color w:val="auto"/>
              </w:rPr>
              <w:t>June 30, 2021</w:t>
            </w:r>
          </w:p>
        </w:tc>
        <w:tc>
          <w:tcPr>
            <w:tcW w:w="10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right"/>
              <w:ind w:right="348"/>
              <w:spacing w:after="0" w:line="102" w:lineRule="exact"/>
              <w:rPr>
                <w:sz w:val="20"/>
                <w:szCs w:val="20"/>
                <w:color w:val="auto"/>
              </w:rPr>
            </w:pPr>
            <w:r>
              <w:rPr>
                <w:rFonts w:ascii="Arial" w:cs="Arial" w:eastAsia="Arial" w:hAnsi="Arial"/>
                <w:sz w:val="10"/>
                <w:szCs w:val="10"/>
                <w:b w:val="1"/>
                <w:bCs w:val="1"/>
                <w:color w:val="auto"/>
              </w:rPr>
              <w:t>(US$’000)</w:t>
            </w:r>
          </w:p>
        </w:tc>
        <w:tc>
          <w:tcPr>
            <w:tcW w:w="10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880" w:type="dxa"/>
            <w:vAlign w:val="bottom"/>
          </w:tcPr>
          <w:p>
            <w:pPr>
              <w:spacing w:after="0"/>
              <w:rPr>
                <w:sz w:val="7"/>
                <w:szCs w:val="7"/>
                <w:color w:val="auto"/>
              </w:rPr>
            </w:pPr>
          </w:p>
        </w:tc>
        <w:tc>
          <w:tcPr>
            <w:tcW w:w="1020" w:type="dxa"/>
            <w:vAlign w:val="bottom"/>
            <w:vMerge w:val="restart"/>
          </w:tcPr>
          <w:p>
            <w:pPr>
              <w:jc w:val="right"/>
              <w:ind w:right="268"/>
              <w:spacing w:after="0"/>
              <w:rPr>
                <w:sz w:val="20"/>
                <w:szCs w:val="20"/>
                <w:color w:val="auto"/>
              </w:rPr>
            </w:pPr>
            <w:r>
              <w:rPr>
                <w:rFonts w:ascii="Arial" w:cs="Arial" w:eastAsia="Arial" w:hAnsi="Arial"/>
                <w:sz w:val="10"/>
                <w:szCs w:val="10"/>
                <w:b w:val="1"/>
                <w:bCs w:val="1"/>
                <w:color w:val="auto"/>
              </w:rPr>
              <w:t>Not overdue</w:t>
            </w:r>
          </w:p>
        </w:tc>
        <w:tc>
          <w:tcPr>
            <w:tcW w:w="1080" w:type="dxa"/>
            <w:vAlign w:val="bottom"/>
          </w:tcPr>
          <w:p>
            <w:pPr>
              <w:jc w:val="center"/>
              <w:ind w:right="128"/>
              <w:spacing w:after="0" w:line="87" w:lineRule="exact"/>
              <w:rPr>
                <w:sz w:val="20"/>
                <w:szCs w:val="20"/>
                <w:color w:val="auto"/>
              </w:rPr>
            </w:pPr>
            <w:r>
              <w:rPr>
                <w:rFonts w:ascii="Arial" w:cs="Arial" w:eastAsia="Arial" w:hAnsi="Arial"/>
                <w:sz w:val="10"/>
                <w:szCs w:val="10"/>
                <w:b w:val="1"/>
                <w:bCs w:val="1"/>
                <w:color w:val="auto"/>
              </w:rPr>
              <w:t>Due: 0 to 30</w:t>
            </w:r>
          </w:p>
        </w:tc>
        <w:tc>
          <w:tcPr>
            <w:tcW w:w="1020" w:type="dxa"/>
            <w:vAlign w:val="bottom"/>
          </w:tcPr>
          <w:p>
            <w:pPr>
              <w:jc w:val="center"/>
              <w:ind w:right="168"/>
              <w:spacing w:after="0" w:line="87" w:lineRule="exact"/>
              <w:rPr>
                <w:sz w:val="20"/>
                <w:szCs w:val="20"/>
                <w:color w:val="auto"/>
              </w:rPr>
            </w:pPr>
            <w:r>
              <w:rPr>
                <w:rFonts w:ascii="Arial" w:cs="Arial" w:eastAsia="Arial" w:hAnsi="Arial"/>
                <w:sz w:val="10"/>
                <w:szCs w:val="10"/>
                <w:b w:val="1"/>
                <w:bCs w:val="1"/>
                <w:color w:val="auto"/>
              </w:rPr>
              <w:t>Due: 31 - 60</w:t>
            </w:r>
          </w:p>
        </w:tc>
        <w:tc>
          <w:tcPr>
            <w:tcW w:w="1100" w:type="dxa"/>
            <w:vAlign w:val="bottom"/>
          </w:tcPr>
          <w:p>
            <w:pPr>
              <w:jc w:val="center"/>
              <w:ind w:right="188"/>
              <w:spacing w:after="0" w:line="87" w:lineRule="exact"/>
              <w:rPr>
                <w:sz w:val="20"/>
                <w:szCs w:val="20"/>
                <w:color w:val="auto"/>
              </w:rPr>
            </w:pPr>
            <w:r>
              <w:rPr>
                <w:rFonts w:ascii="Arial" w:cs="Arial" w:eastAsia="Arial" w:hAnsi="Arial"/>
                <w:sz w:val="10"/>
                <w:szCs w:val="10"/>
                <w:b w:val="1"/>
                <w:bCs w:val="1"/>
                <w:color w:val="auto"/>
              </w:rPr>
              <w:t>Due: 61 to 90</w:t>
            </w:r>
          </w:p>
        </w:tc>
        <w:tc>
          <w:tcPr>
            <w:tcW w:w="1060" w:type="dxa"/>
            <w:vAlign w:val="bottom"/>
          </w:tcPr>
          <w:p>
            <w:pPr>
              <w:jc w:val="center"/>
              <w:ind w:right="148"/>
              <w:spacing w:after="0" w:line="87" w:lineRule="exact"/>
              <w:rPr>
                <w:sz w:val="20"/>
                <w:szCs w:val="20"/>
                <w:color w:val="auto"/>
              </w:rPr>
            </w:pPr>
            <w:r>
              <w:rPr>
                <w:rFonts w:ascii="Arial" w:cs="Arial" w:eastAsia="Arial" w:hAnsi="Arial"/>
                <w:sz w:val="10"/>
                <w:szCs w:val="10"/>
                <w:b w:val="1"/>
                <w:bCs w:val="1"/>
                <w:color w:val="auto"/>
              </w:rPr>
              <w:t>Due: 91 - 180</w:t>
            </w:r>
          </w:p>
        </w:tc>
        <w:tc>
          <w:tcPr>
            <w:tcW w:w="1100" w:type="dxa"/>
            <w:vAlign w:val="bottom"/>
            <w:gridSpan w:val="3"/>
          </w:tcPr>
          <w:p>
            <w:pPr>
              <w:jc w:val="center"/>
              <w:ind w:right="120"/>
              <w:spacing w:after="0" w:line="87" w:lineRule="exact"/>
              <w:rPr>
                <w:sz w:val="20"/>
                <w:szCs w:val="20"/>
                <w:color w:val="auto"/>
              </w:rPr>
            </w:pPr>
            <w:r>
              <w:rPr>
                <w:rFonts w:ascii="Arial" w:cs="Arial" w:eastAsia="Arial" w:hAnsi="Arial"/>
                <w:sz w:val="10"/>
                <w:szCs w:val="10"/>
                <w:b w:val="1"/>
                <w:bCs w:val="1"/>
                <w:color w:val="auto"/>
              </w:rPr>
              <w:t>Due: over 180</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18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tcPr>
          <w:p>
            <w:pPr>
              <w:jc w:val="center"/>
              <w:ind w:right="108"/>
              <w:spacing w:after="0"/>
              <w:rPr>
                <w:sz w:val="20"/>
                <w:szCs w:val="20"/>
                <w:color w:val="auto"/>
              </w:rPr>
            </w:pPr>
            <w:r>
              <w:rPr>
                <w:rFonts w:ascii="Arial" w:cs="Arial" w:eastAsia="Arial" w:hAnsi="Arial"/>
                <w:sz w:val="10"/>
                <w:szCs w:val="10"/>
                <w:b w:val="1"/>
                <w:bCs w:val="1"/>
                <w:color w:val="auto"/>
              </w:rPr>
              <w:t>days</w:t>
            </w:r>
          </w:p>
        </w:tc>
        <w:tc>
          <w:tcPr>
            <w:tcW w:w="1020" w:type="dxa"/>
            <w:vAlign w:val="bottom"/>
          </w:tcPr>
          <w:p>
            <w:pPr>
              <w:jc w:val="center"/>
              <w:ind w:right="148"/>
              <w:spacing w:after="0"/>
              <w:rPr>
                <w:sz w:val="20"/>
                <w:szCs w:val="20"/>
                <w:color w:val="auto"/>
              </w:rPr>
            </w:pPr>
            <w:r>
              <w:rPr>
                <w:rFonts w:ascii="Arial" w:cs="Arial" w:eastAsia="Arial" w:hAnsi="Arial"/>
                <w:sz w:val="10"/>
                <w:szCs w:val="10"/>
                <w:b w:val="1"/>
                <w:bCs w:val="1"/>
                <w:color w:val="auto"/>
                <w:w w:val="96"/>
              </w:rPr>
              <w:t>days</w:t>
            </w:r>
          </w:p>
        </w:tc>
        <w:tc>
          <w:tcPr>
            <w:tcW w:w="1100" w:type="dxa"/>
            <w:vAlign w:val="bottom"/>
          </w:tcPr>
          <w:p>
            <w:pPr>
              <w:jc w:val="center"/>
              <w:ind w:right="168"/>
              <w:spacing w:after="0"/>
              <w:rPr>
                <w:sz w:val="20"/>
                <w:szCs w:val="20"/>
                <w:color w:val="auto"/>
              </w:rPr>
            </w:pPr>
            <w:r>
              <w:rPr>
                <w:rFonts w:ascii="Arial" w:cs="Arial" w:eastAsia="Arial" w:hAnsi="Arial"/>
                <w:sz w:val="10"/>
                <w:szCs w:val="10"/>
                <w:b w:val="1"/>
                <w:bCs w:val="1"/>
                <w:color w:val="auto"/>
              </w:rPr>
              <w:t>days</w:t>
            </w:r>
          </w:p>
        </w:tc>
        <w:tc>
          <w:tcPr>
            <w:tcW w:w="1060" w:type="dxa"/>
            <w:vAlign w:val="bottom"/>
          </w:tcPr>
          <w:p>
            <w:pPr>
              <w:jc w:val="center"/>
              <w:ind w:right="128"/>
              <w:spacing w:after="0"/>
              <w:rPr>
                <w:sz w:val="20"/>
                <w:szCs w:val="20"/>
                <w:color w:val="auto"/>
              </w:rPr>
            </w:pPr>
            <w:r>
              <w:rPr>
                <w:rFonts w:ascii="Arial" w:cs="Arial" w:eastAsia="Arial" w:hAnsi="Arial"/>
                <w:sz w:val="10"/>
                <w:szCs w:val="10"/>
                <w:b w:val="1"/>
                <w:bCs w:val="1"/>
                <w:color w:val="auto"/>
              </w:rPr>
              <w:t>days</w:t>
            </w:r>
          </w:p>
        </w:tc>
        <w:tc>
          <w:tcPr>
            <w:tcW w:w="11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days</w:t>
            </w: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880" w:type="dxa"/>
            <w:vAlign w:val="bottom"/>
            <w:tcBorders>
              <w:top w:val="single" w:sz="8" w:color="auto"/>
            </w:tcBorders>
            <w:shd w:val="clear" w:color="auto" w:fill="CCEEFF"/>
          </w:tcPr>
          <w:p>
            <w:pPr>
              <w:ind w:left="20"/>
              <w:spacing w:after="0" w:line="102" w:lineRule="exact"/>
              <w:rPr>
                <w:sz w:val="20"/>
                <w:szCs w:val="20"/>
                <w:color w:val="auto"/>
              </w:rPr>
            </w:pPr>
            <w:r>
              <w:rPr>
                <w:rFonts w:ascii="Arial" w:cs="Arial" w:eastAsia="Arial" w:hAnsi="Arial"/>
                <w:sz w:val="10"/>
                <w:szCs w:val="10"/>
                <w:color w:val="auto"/>
              </w:rPr>
              <w:t>Expected credit loss rate</w:t>
            </w:r>
          </w:p>
        </w:tc>
        <w:tc>
          <w:tcPr>
            <w:tcW w:w="1020" w:type="dxa"/>
            <w:vAlign w:val="bottom"/>
            <w:tcBorders>
              <w:top w:val="single" w:sz="8" w:color="auto"/>
            </w:tcBorders>
            <w:shd w:val="clear" w:color="auto" w:fill="CCEEFF"/>
          </w:tcPr>
          <w:p>
            <w:pPr>
              <w:jc w:val="right"/>
              <w:ind w:right="8"/>
              <w:spacing w:after="0" w:line="102" w:lineRule="exact"/>
              <w:rPr>
                <w:sz w:val="20"/>
                <w:szCs w:val="20"/>
                <w:color w:val="auto"/>
              </w:rPr>
            </w:pPr>
            <w:r>
              <w:rPr>
                <w:rFonts w:ascii="Arial" w:cs="Arial" w:eastAsia="Arial" w:hAnsi="Arial"/>
                <w:sz w:val="10"/>
                <w:szCs w:val="10"/>
                <w:color w:val="auto"/>
              </w:rPr>
              <w:t>0 %</w:t>
            </w:r>
          </w:p>
        </w:tc>
        <w:tc>
          <w:tcPr>
            <w:tcW w:w="1080" w:type="dxa"/>
            <w:vAlign w:val="bottom"/>
            <w:tcBorders>
              <w:top w:val="single" w:sz="8" w:color="auto"/>
            </w:tcBorders>
            <w:shd w:val="clear" w:color="auto" w:fill="CCEEFF"/>
          </w:tcPr>
          <w:p>
            <w:pPr>
              <w:jc w:val="right"/>
              <w:ind w:right="48"/>
              <w:spacing w:after="0" w:line="102" w:lineRule="exact"/>
              <w:rPr>
                <w:sz w:val="20"/>
                <w:szCs w:val="20"/>
                <w:color w:val="auto"/>
              </w:rPr>
            </w:pPr>
            <w:r>
              <w:rPr>
                <w:rFonts w:ascii="Arial" w:cs="Arial" w:eastAsia="Arial" w:hAnsi="Arial"/>
                <w:sz w:val="10"/>
                <w:szCs w:val="10"/>
                <w:color w:val="auto"/>
              </w:rPr>
              <w:t>0 %</w:t>
            </w:r>
          </w:p>
        </w:tc>
        <w:tc>
          <w:tcPr>
            <w:tcW w:w="1020" w:type="dxa"/>
            <w:vAlign w:val="bottom"/>
            <w:tcBorders>
              <w:top w:val="single" w:sz="8" w:color="auto"/>
            </w:tcBorders>
            <w:shd w:val="clear" w:color="auto" w:fill="CCEEFF"/>
          </w:tcPr>
          <w:p>
            <w:pPr>
              <w:jc w:val="right"/>
              <w:ind w:right="48"/>
              <w:spacing w:after="0" w:line="102" w:lineRule="exact"/>
              <w:rPr>
                <w:sz w:val="20"/>
                <w:szCs w:val="20"/>
                <w:color w:val="auto"/>
              </w:rPr>
            </w:pPr>
            <w:r>
              <w:rPr>
                <w:rFonts w:ascii="Arial" w:cs="Arial" w:eastAsia="Arial" w:hAnsi="Arial"/>
                <w:sz w:val="10"/>
                <w:szCs w:val="10"/>
                <w:color w:val="auto"/>
              </w:rPr>
              <w:t>1 %</w:t>
            </w:r>
          </w:p>
        </w:tc>
        <w:tc>
          <w:tcPr>
            <w:tcW w:w="1100" w:type="dxa"/>
            <w:vAlign w:val="bottom"/>
            <w:tcBorders>
              <w:top w:val="single" w:sz="8" w:color="auto"/>
            </w:tcBorders>
            <w:shd w:val="clear" w:color="auto" w:fill="CCEEFF"/>
          </w:tcPr>
          <w:p>
            <w:pPr>
              <w:jc w:val="right"/>
              <w:ind w:right="48"/>
              <w:spacing w:after="0" w:line="102" w:lineRule="exact"/>
              <w:rPr>
                <w:sz w:val="20"/>
                <w:szCs w:val="20"/>
                <w:color w:val="auto"/>
              </w:rPr>
            </w:pPr>
            <w:r>
              <w:rPr>
                <w:rFonts w:ascii="Arial" w:cs="Arial" w:eastAsia="Arial" w:hAnsi="Arial"/>
                <w:sz w:val="10"/>
                <w:szCs w:val="10"/>
                <w:color w:val="auto"/>
              </w:rPr>
              <w:t>17 %</w:t>
            </w:r>
          </w:p>
        </w:tc>
        <w:tc>
          <w:tcPr>
            <w:tcW w:w="1060" w:type="dxa"/>
            <w:vAlign w:val="bottom"/>
            <w:tcBorders>
              <w:top w:val="single" w:sz="8" w:color="auto"/>
            </w:tcBorders>
            <w:shd w:val="clear" w:color="auto" w:fill="CCEEFF"/>
          </w:tcPr>
          <w:p>
            <w:pPr>
              <w:jc w:val="right"/>
              <w:ind w:right="28"/>
              <w:spacing w:after="0" w:line="102" w:lineRule="exact"/>
              <w:rPr>
                <w:sz w:val="20"/>
                <w:szCs w:val="20"/>
                <w:color w:val="auto"/>
              </w:rPr>
            </w:pPr>
            <w:r>
              <w:rPr>
                <w:rFonts w:ascii="Arial" w:cs="Arial" w:eastAsia="Arial" w:hAnsi="Arial"/>
                <w:sz w:val="10"/>
                <w:szCs w:val="10"/>
                <w:color w:val="auto"/>
              </w:rPr>
              <w:t>25 %</w:t>
            </w:r>
          </w:p>
        </w:tc>
        <w:tc>
          <w:tcPr>
            <w:tcW w:w="1100" w:type="dxa"/>
            <w:vAlign w:val="bottom"/>
            <w:tcBorders>
              <w:top w:val="single" w:sz="8" w:color="auto"/>
            </w:tcBorders>
            <w:gridSpan w:val="3"/>
            <w:shd w:val="clear" w:color="auto" w:fill="CCEEFF"/>
          </w:tcPr>
          <w:p>
            <w:pPr>
              <w:jc w:val="right"/>
              <w:ind w:right="20"/>
              <w:spacing w:after="0" w:line="102" w:lineRule="exact"/>
              <w:rPr>
                <w:sz w:val="20"/>
                <w:szCs w:val="20"/>
                <w:color w:val="auto"/>
              </w:rPr>
            </w:pPr>
            <w:r>
              <w:rPr>
                <w:rFonts w:ascii="Arial" w:cs="Arial" w:eastAsia="Arial" w:hAnsi="Arial"/>
                <w:sz w:val="10"/>
                <w:szCs w:val="10"/>
                <w:color w:val="auto"/>
              </w:rPr>
              <w:t>77 %</w:t>
            </w:r>
          </w:p>
        </w:tc>
        <w:tc>
          <w:tcPr>
            <w:tcW w:w="6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80" w:type="dxa"/>
            <w:vAlign w:val="bottom"/>
          </w:tcPr>
          <w:p>
            <w:pPr>
              <w:ind w:left="20"/>
              <w:spacing w:after="0" w:line="111" w:lineRule="exact"/>
              <w:rPr>
                <w:sz w:val="20"/>
                <w:szCs w:val="20"/>
                <w:color w:val="auto"/>
              </w:rPr>
            </w:pPr>
            <w:r>
              <w:rPr>
                <w:rFonts w:ascii="Arial" w:cs="Arial" w:eastAsia="Arial" w:hAnsi="Arial"/>
                <w:sz w:val="10"/>
                <w:szCs w:val="10"/>
                <w:color w:val="auto"/>
              </w:rPr>
              <w:t>Gross carrying amount</w:t>
            </w:r>
          </w:p>
        </w:tc>
        <w:tc>
          <w:tcPr>
            <w:tcW w:w="1020" w:type="dxa"/>
            <w:vAlign w:val="bottom"/>
          </w:tcPr>
          <w:p>
            <w:pPr>
              <w:jc w:val="right"/>
              <w:ind w:right="128"/>
              <w:spacing w:after="0" w:line="111" w:lineRule="exact"/>
              <w:rPr>
                <w:sz w:val="20"/>
                <w:szCs w:val="20"/>
                <w:color w:val="auto"/>
              </w:rPr>
            </w:pPr>
            <w:r>
              <w:rPr>
                <w:rFonts w:ascii="Arial" w:cs="Arial" w:eastAsia="Arial" w:hAnsi="Arial"/>
                <w:sz w:val="10"/>
                <w:szCs w:val="10"/>
                <w:color w:val="auto"/>
              </w:rPr>
              <w:t>65,090</w:t>
            </w:r>
          </w:p>
        </w:tc>
        <w:tc>
          <w:tcPr>
            <w:tcW w:w="1080" w:type="dxa"/>
            <w:vAlign w:val="bottom"/>
          </w:tcPr>
          <w:p>
            <w:pPr>
              <w:jc w:val="right"/>
              <w:ind w:right="168"/>
              <w:spacing w:after="0" w:line="111" w:lineRule="exact"/>
              <w:rPr>
                <w:sz w:val="20"/>
                <w:szCs w:val="20"/>
                <w:color w:val="auto"/>
              </w:rPr>
            </w:pPr>
            <w:r>
              <w:rPr>
                <w:rFonts w:ascii="Arial" w:cs="Arial" w:eastAsia="Arial" w:hAnsi="Arial"/>
                <w:sz w:val="10"/>
                <w:szCs w:val="10"/>
                <w:color w:val="auto"/>
              </w:rPr>
              <w:t>1,933</w:t>
            </w:r>
          </w:p>
        </w:tc>
        <w:tc>
          <w:tcPr>
            <w:tcW w:w="1020" w:type="dxa"/>
            <w:vAlign w:val="bottom"/>
          </w:tcPr>
          <w:p>
            <w:pPr>
              <w:jc w:val="right"/>
              <w:ind w:right="188"/>
              <w:spacing w:after="0" w:line="111" w:lineRule="exact"/>
              <w:rPr>
                <w:sz w:val="20"/>
                <w:szCs w:val="20"/>
                <w:color w:val="auto"/>
              </w:rPr>
            </w:pPr>
            <w:r>
              <w:rPr>
                <w:rFonts w:ascii="Arial" w:cs="Arial" w:eastAsia="Arial" w:hAnsi="Arial"/>
                <w:sz w:val="10"/>
                <w:szCs w:val="10"/>
                <w:color w:val="auto"/>
              </w:rPr>
              <w:t>192</w:t>
            </w:r>
          </w:p>
        </w:tc>
        <w:tc>
          <w:tcPr>
            <w:tcW w:w="1100" w:type="dxa"/>
            <w:vAlign w:val="bottom"/>
          </w:tcPr>
          <w:p>
            <w:pPr>
              <w:jc w:val="right"/>
              <w:ind w:right="188"/>
              <w:spacing w:after="0" w:line="111" w:lineRule="exact"/>
              <w:rPr>
                <w:sz w:val="20"/>
                <w:szCs w:val="20"/>
                <w:color w:val="auto"/>
              </w:rPr>
            </w:pPr>
            <w:r>
              <w:rPr>
                <w:rFonts w:ascii="Arial" w:cs="Arial" w:eastAsia="Arial" w:hAnsi="Arial"/>
                <w:sz w:val="10"/>
                <w:szCs w:val="10"/>
                <w:color w:val="auto"/>
              </w:rPr>
              <w:t>190</w:t>
            </w:r>
          </w:p>
        </w:tc>
        <w:tc>
          <w:tcPr>
            <w:tcW w:w="1060" w:type="dxa"/>
            <w:vAlign w:val="bottom"/>
          </w:tcPr>
          <w:p>
            <w:pPr>
              <w:jc w:val="right"/>
              <w:ind w:right="148"/>
              <w:spacing w:after="0" w:line="111" w:lineRule="exact"/>
              <w:rPr>
                <w:sz w:val="20"/>
                <w:szCs w:val="20"/>
                <w:color w:val="auto"/>
              </w:rPr>
            </w:pPr>
            <w:r>
              <w:rPr>
                <w:rFonts w:ascii="Arial" w:cs="Arial" w:eastAsia="Arial" w:hAnsi="Arial"/>
                <w:sz w:val="10"/>
                <w:szCs w:val="10"/>
                <w:color w:val="auto"/>
              </w:rPr>
              <w:t>300</w:t>
            </w:r>
          </w:p>
        </w:tc>
        <w:tc>
          <w:tcPr>
            <w:tcW w:w="1000" w:type="dxa"/>
            <w:vAlign w:val="bottom"/>
            <w:gridSpan w:val="2"/>
          </w:tcPr>
          <w:p>
            <w:pPr>
              <w:jc w:val="right"/>
              <w:ind w:right="60"/>
              <w:spacing w:after="0" w:line="111" w:lineRule="exact"/>
              <w:rPr>
                <w:sz w:val="20"/>
                <w:szCs w:val="20"/>
                <w:color w:val="auto"/>
              </w:rPr>
            </w:pPr>
            <w:r>
              <w:rPr>
                <w:rFonts w:ascii="Arial" w:cs="Arial" w:eastAsia="Arial" w:hAnsi="Arial"/>
                <w:sz w:val="10"/>
                <w:szCs w:val="10"/>
                <w:color w:val="auto"/>
              </w:rPr>
              <w:t>2,010</w:t>
            </w:r>
          </w:p>
        </w:tc>
        <w:tc>
          <w:tcPr>
            <w:tcW w:w="1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0"/>
                <w:szCs w:val="10"/>
                <w:b w:val="1"/>
                <w:bCs w:val="1"/>
                <w:color w:val="auto"/>
              </w:rPr>
              <w:t>69,715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80" w:type="dxa"/>
            <w:vAlign w:val="bottom"/>
            <w:tcBorders>
              <w:bottom w:val="single" w:sz="8" w:color="auto"/>
            </w:tcBorders>
            <w:shd w:val="clear" w:color="auto" w:fill="CCEEFF"/>
          </w:tcPr>
          <w:p>
            <w:pPr>
              <w:ind w:left="20"/>
              <w:spacing w:after="0" w:line="111" w:lineRule="exact"/>
              <w:rPr>
                <w:sz w:val="20"/>
                <w:szCs w:val="20"/>
                <w:color w:val="auto"/>
              </w:rPr>
            </w:pPr>
            <w:r>
              <w:rPr>
                <w:rFonts w:ascii="Arial" w:cs="Arial" w:eastAsia="Arial" w:hAnsi="Arial"/>
                <w:sz w:val="10"/>
                <w:szCs w:val="10"/>
                <w:color w:val="auto"/>
              </w:rPr>
              <w:t>Lifetime expected credit loss</w:t>
            </w:r>
          </w:p>
        </w:tc>
        <w:tc>
          <w:tcPr>
            <w:tcW w:w="1020" w:type="dxa"/>
            <w:vAlign w:val="bottom"/>
            <w:tcBorders>
              <w:bottom w:val="single" w:sz="8" w:color="auto"/>
            </w:tcBorders>
            <w:shd w:val="clear" w:color="auto" w:fill="CCEEFF"/>
          </w:tcPr>
          <w:p>
            <w:pPr>
              <w:jc w:val="right"/>
              <w:ind w:right="128"/>
              <w:spacing w:after="0" w:line="111" w:lineRule="exact"/>
              <w:rPr>
                <w:sz w:val="20"/>
                <w:szCs w:val="20"/>
                <w:color w:val="auto"/>
              </w:rPr>
            </w:pPr>
            <w:r>
              <w:rPr>
                <w:rFonts w:ascii="Arial" w:cs="Arial" w:eastAsia="Arial" w:hAnsi="Arial"/>
                <w:sz w:val="10"/>
                <w:szCs w:val="10"/>
                <w:color w:val="auto"/>
              </w:rPr>
              <w:t>4</w:t>
            </w:r>
          </w:p>
        </w:tc>
        <w:tc>
          <w:tcPr>
            <w:tcW w:w="1080" w:type="dxa"/>
            <w:vAlign w:val="bottom"/>
            <w:tcBorders>
              <w:bottom w:val="single" w:sz="8" w:color="auto"/>
            </w:tcBorders>
            <w:shd w:val="clear" w:color="auto" w:fill="CCEEFF"/>
          </w:tcPr>
          <w:p>
            <w:pPr>
              <w:jc w:val="right"/>
              <w:ind w:right="188"/>
              <w:spacing w:after="0" w:line="111" w:lineRule="exact"/>
              <w:rPr>
                <w:sz w:val="20"/>
                <w:szCs w:val="20"/>
                <w:color w:val="auto"/>
              </w:rPr>
            </w:pPr>
            <w:r>
              <w:rPr>
                <w:rFonts w:ascii="Arial" w:cs="Arial" w:eastAsia="Arial" w:hAnsi="Arial"/>
                <w:sz w:val="10"/>
                <w:szCs w:val="10"/>
                <w:color w:val="auto"/>
              </w:rPr>
              <w:t>6</w:t>
            </w:r>
          </w:p>
        </w:tc>
        <w:tc>
          <w:tcPr>
            <w:tcW w:w="1020" w:type="dxa"/>
            <w:vAlign w:val="bottom"/>
            <w:tcBorders>
              <w:bottom w:val="single" w:sz="8" w:color="auto"/>
            </w:tcBorders>
            <w:shd w:val="clear" w:color="auto" w:fill="CCEEFF"/>
          </w:tcPr>
          <w:p>
            <w:pPr>
              <w:jc w:val="right"/>
              <w:ind w:right="188"/>
              <w:spacing w:after="0" w:line="111" w:lineRule="exact"/>
              <w:rPr>
                <w:sz w:val="20"/>
                <w:szCs w:val="20"/>
                <w:color w:val="auto"/>
              </w:rPr>
            </w:pPr>
            <w:r>
              <w:rPr>
                <w:rFonts w:ascii="Arial" w:cs="Arial" w:eastAsia="Arial" w:hAnsi="Arial"/>
                <w:sz w:val="10"/>
                <w:szCs w:val="10"/>
                <w:color w:val="auto"/>
              </w:rPr>
              <w:t>1</w:t>
            </w:r>
          </w:p>
        </w:tc>
        <w:tc>
          <w:tcPr>
            <w:tcW w:w="1100" w:type="dxa"/>
            <w:vAlign w:val="bottom"/>
            <w:tcBorders>
              <w:bottom w:val="single" w:sz="8" w:color="auto"/>
            </w:tcBorders>
            <w:shd w:val="clear" w:color="auto" w:fill="CCEEFF"/>
          </w:tcPr>
          <w:p>
            <w:pPr>
              <w:jc w:val="right"/>
              <w:ind w:right="188"/>
              <w:spacing w:after="0" w:line="111" w:lineRule="exact"/>
              <w:rPr>
                <w:sz w:val="20"/>
                <w:szCs w:val="20"/>
                <w:color w:val="auto"/>
              </w:rPr>
            </w:pPr>
            <w:r>
              <w:rPr>
                <w:rFonts w:ascii="Arial" w:cs="Arial" w:eastAsia="Arial" w:hAnsi="Arial"/>
                <w:sz w:val="10"/>
                <w:szCs w:val="10"/>
                <w:color w:val="auto"/>
              </w:rPr>
              <w:t>33</w:t>
            </w:r>
          </w:p>
        </w:tc>
        <w:tc>
          <w:tcPr>
            <w:tcW w:w="1060" w:type="dxa"/>
            <w:vAlign w:val="bottom"/>
            <w:tcBorders>
              <w:bottom w:val="single" w:sz="8" w:color="auto"/>
            </w:tcBorders>
            <w:shd w:val="clear" w:color="auto" w:fill="CCEEFF"/>
          </w:tcPr>
          <w:p>
            <w:pPr>
              <w:jc w:val="right"/>
              <w:ind w:right="148"/>
              <w:spacing w:after="0" w:line="111" w:lineRule="exact"/>
              <w:rPr>
                <w:sz w:val="20"/>
                <w:szCs w:val="20"/>
                <w:color w:val="auto"/>
              </w:rPr>
            </w:pPr>
            <w:r>
              <w:rPr>
                <w:rFonts w:ascii="Arial" w:cs="Arial" w:eastAsia="Arial" w:hAnsi="Arial"/>
                <w:sz w:val="10"/>
                <w:szCs w:val="10"/>
                <w:color w:val="auto"/>
              </w:rPr>
              <w:t>74</w:t>
            </w:r>
          </w:p>
        </w:tc>
        <w:tc>
          <w:tcPr>
            <w:tcW w:w="1000" w:type="dxa"/>
            <w:vAlign w:val="bottom"/>
            <w:tcBorders>
              <w:bottom w:val="single" w:sz="8" w:color="auto"/>
            </w:tcBorders>
            <w:gridSpan w:val="2"/>
            <w:shd w:val="clear" w:color="auto" w:fill="CCEEFF"/>
          </w:tcPr>
          <w:p>
            <w:pPr>
              <w:jc w:val="right"/>
              <w:ind w:right="60"/>
              <w:spacing w:after="0" w:line="111" w:lineRule="exact"/>
              <w:rPr>
                <w:sz w:val="20"/>
                <w:szCs w:val="20"/>
                <w:color w:val="auto"/>
              </w:rPr>
            </w:pPr>
            <w:r>
              <w:rPr>
                <w:rFonts w:ascii="Arial" w:cs="Arial" w:eastAsia="Arial" w:hAnsi="Arial"/>
                <w:sz w:val="10"/>
                <w:szCs w:val="10"/>
                <w:color w:val="auto"/>
              </w:rPr>
              <w:t>1,545</w:t>
            </w:r>
          </w:p>
        </w:tc>
        <w:tc>
          <w:tcPr>
            <w:tcW w:w="10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b w:val="1"/>
                <w:bCs w:val="1"/>
                <w:color w:val="auto"/>
              </w:rPr>
              <w:t>1,663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auto"/>
            </w:tcBorders>
          </w:tcPr>
          <w:p>
            <w:pPr>
              <w:ind w:left="20"/>
              <w:spacing w:after="0" w:line="102" w:lineRule="exact"/>
              <w:rPr>
                <w:sz w:val="20"/>
                <w:szCs w:val="20"/>
                <w:color w:val="auto"/>
              </w:rPr>
            </w:pPr>
            <w:r>
              <w:rPr>
                <w:rFonts w:ascii="Arial" w:cs="Arial" w:eastAsia="Arial" w:hAnsi="Arial"/>
                <w:sz w:val="10"/>
                <w:szCs w:val="10"/>
                <w:color w:val="auto"/>
              </w:rPr>
              <w:t>Individually impaired trade receivables</w:t>
            </w:r>
          </w:p>
        </w:tc>
        <w:tc>
          <w:tcPr>
            <w:tcW w:w="10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638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auto"/>
            </w:tcBorders>
            <w:shd w:val="clear" w:color="auto" w:fill="CCEEFF"/>
          </w:tcPr>
          <w:p>
            <w:pPr>
              <w:ind w:left="20"/>
              <w:spacing w:after="0" w:line="102" w:lineRule="exact"/>
              <w:rPr>
                <w:sz w:val="20"/>
                <w:szCs w:val="20"/>
                <w:color w:val="auto"/>
              </w:rPr>
            </w:pPr>
            <w:r>
              <w:rPr>
                <w:rFonts w:ascii="Arial" w:cs="Arial" w:eastAsia="Arial" w:hAnsi="Arial"/>
                <w:sz w:val="10"/>
                <w:szCs w:val="10"/>
                <w:color w:val="auto"/>
              </w:rPr>
              <w:t>Total allowance for credit losses</w:t>
            </w:r>
          </w:p>
        </w:tc>
        <w:tc>
          <w:tcPr>
            <w:tcW w:w="102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rPr>
              <w:t>2,301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6100" w:type="dxa"/>
            <w:vAlign w:val="bottom"/>
            <w:gridSpan w:val="5"/>
          </w:tcPr>
          <w:p>
            <w:pPr>
              <w:ind w:left="20"/>
              <w:spacing w:after="0"/>
              <w:rPr>
                <w:sz w:val="20"/>
                <w:szCs w:val="20"/>
                <w:color w:val="auto"/>
              </w:rPr>
            </w:pPr>
            <w:r>
              <w:rPr>
                <w:rFonts w:ascii="Arial" w:cs="Arial" w:eastAsia="Arial" w:hAnsi="Arial"/>
                <w:sz w:val="15"/>
                <w:szCs w:val="15"/>
                <w:color w:val="auto"/>
              </w:rPr>
              <w:t>Below are the details of specific individually credit impaired balances as of June 30, 2022:</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gridSpan w:val="3"/>
          </w:tcPr>
          <w:p>
            <w:pPr>
              <w:spacing w:after="0"/>
              <w:rPr>
                <w:sz w:val="15"/>
                <w:szCs w:val="15"/>
                <w:color w:val="auto"/>
              </w:rPr>
            </w:pPr>
          </w:p>
        </w:tc>
        <w:tc>
          <w:tcPr>
            <w:tcW w:w="7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8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480"/>
              <w:spacing w:after="0" w:line="116" w:lineRule="exact"/>
              <w:rPr>
                <w:sz w:val="20"/>
                <w:szCs w:val="20"/>
                <w:color w:val="auto"/>
              </w:rPr>
            </w:pPr>
            <w:r>
              <w:rPr>
                <w:rFonts w:ascii="Arial" w:cs="Arial" w:eastAsia="Arial" w:hAnsi="Arial"/>
                <w:sz w:val="12"/>
                <w:szCs w:val="12"/>
                <w:b w:val="1"/>
                <w:bCs w:val="1"/>
                <w:color w:val="auto"/>
              </w:rPr>
              <w:t>June 30,</w:t>
            </w:r>
          </w:p>
        </w:tc>
        <w:tc>
          <w:tcPr>
            <w:tcW w:w="680" w:type="dxa"/>
            <w:vAlign w:val="bottom"/>
            <w:tcBorders>
              <w:top w:val="single" w:sz="8" w:color="auto"/>
            </w:tcBorders>
          </w:tcPr>
          <w:p>
            <w:pPr>
              <w:jc w:val="right"/>
              <w:ind w:right="104"/>
              <w:spacing w:after="0" w:line="116" w:lineRule="exact"/>
              <w:rPr>
                <w:sz w:val="20"/>
                <w:szCs w:val="20"/>
                <w:color w:val="auto"/>
              </w:rPr>
            </w:pPr>
            <w:r>
              <w:rPr>
                <w:rFonts w:ascii="Arial" w:cs="Arial" w:eastAsia="Arial" w:hAnsi="Arial"/>
                <w:sz w:val="12"/>
                <w:szCs w:val="12"/>
                <w:b w:val="1"/>
                <w:bCs w:val="1"/>
                <w:color w:val="auto"/>
              </w:rPr>
              <w:t>June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4"/>
          </w:tcPr>
          <w:p>
            <w:pPr>
              <w:jc w:val="right"/>
              <w:ind w:right="564"/>
              <w:spacing w:after="0" w:line="124" w:lineRule="exact"/>
              <w:rPr>
                <w:sz w:val="20"/>
                <w:szCs w:val="20"/>
                <w:color w:val="auto"/>
              </w:rPr>
            </w:pPr>
            <w:r>
              <w:rPr>
                <w:rFonts w:ascii="Arial" w:cs="Arial" w:eastAsia="Arial" w:hAnsi="Arial"/>
                <w:sz w:val="12"/>
                <w:szCs w:val="12"/>
                <w:b w:val="1"/>
                <w:bCs w:val="1"/>
                <w:color w:val="auto"/>
              </w:rPr>
              <w:t>(US$’000)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9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5"/>
                <w:szCs w:val="15"/>
                <w:color w:val="auto"/>
              </w:rPr>
              <w:t>Credit impaired trade receivables - Gross carrying amount</w:t>
            </w:r>
          </w:p>
        </w:tc>
        <w:tc>
          <w:tcPr>
            <w:tcW w:w="10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1,138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90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Expected credit loss allowance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(1,124)</w:t>
            </w:r>
          </w:p>
        </w:tc>
        <w:tc>
          <w:tcPr>
            <w:tcW w:w="1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(2,124)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Group does not hold any collateral against these assets. Financial assets other than trade debts have no material ECL allowances on those balances as of June 30, 2022 and June 30, 2021.</w:t>
      </w:r>
    </w:p>
    <w:p>
      <w:pPr>
        <w:spacing w:after="0" w:line="135"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22.3.</w:t>
      </w:r>
      <w:r>
        <w:rPr>
          <w:sz w:val="20"/>
          <w:szCs w:val="20"/>
          <w:color w:val="auto"/>
        </w:rPr>
        <w:tab/>
      </w:r>
      <w:r>
        <w:rPr>
          <w:rFonts w:ascii="Arial" w:cs="Arial" w:eastAsia="Arial" w:hAnsi="Arial"/>
          <w:sz w:val="14"/>
          <w:szCs w:val="14"/>
          <w:b w:val="1"/>
          <w:bCs w:val="1"/>
          <w:color w:val="auto"/>
        </w:rPr>
        <w:t>Liquidity risk</w:t>
      </w:r>
    </w:p>
    <w:p>
      <w:pPr>
        <w:spacing w:after="0" w:line="170" w:lineRule="exact"/>
        <w:rPr>
          <w:sz w:val="20"/>
          <w:szCs w:val="20"/>
          <w:color w:val="auto"/>
        </w:rPr>
      </w:pPr>
    </w:p>
    <w:p>
      <w:pPr>
        <w:jc w:val="both"/>
        <w:ind w:left="40" w:right="39"/>
        <w:spacing w:after="0" w:line="238" w:lineRule="auto"/>
        <w:rPr>
          <w:sz w:val="20"/>
          <w:szCs w:val="20"/>
          <w:color w:val="auto"/>
        </w:rPr>
      </w:pPr>
      <w:r>
        <w:rPr>
          <w:rFonts w:ascii="Arial" w:cs="Arial" w:eastAsia="Arial" w:hAnsi="Arial"/>
          <w:sz w:val="15"/>
          <w:szCs w:val="15"/>
          <w:color w:val="auto"/>
        </w:rPr>
        <w:t>The Group’s policy is to ensure that it will always have sufficient cash to allow it to meet its liabilities when they become due. To achieve this aim, it seeks to maintain cash balances (or agreed facilities) to meet expected requirements for a period of at least 45 days. The Board receives cash flow projections on a quarterly basis as well as information regarding cash balances and investments. The liquidity risk of each group entity is managed at the entity level. Where facilities of group entities need to be increased, approval must be sought by the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4" w:name="page195"/>
    <w:bookmarkEnd w:id="19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entity’s CFO. Where the amount of the facility is above a certain level, agreement of the Group CFO and the board is needed.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Group’s cash generated from operations for the year ended June 30, 2022, was $61.1 million (June 30, 2021: $40.6 million).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the contractual maturities (liquidity analysis) as of June 30, 2022 and 2021:</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4"/>
          </w:tcPr>
          <w:p>
            <w:pPr>
              <w:jc w:val="center"/>
              <w:ind w:right="180"/>
              <w:spacing w:after="0"/>
              <w:rPr>
                <w:sz w:val="20"/>
                <w:szCs w:val="20"/>
                <w:color w:val="auto"/>
              </w:rPr>
            </w:pPr>
            <w:r>
              <w:rPr>
                <w:rFonts w:ascii="Arial" w:cs="Arial" w:eastAsia="Arial" w:hAnsi="Arial"/>
                <w:sz w:val="12"/>
                <w:szCs w:val="12"/>
                <w:b w:val="1"/>
                <w:bCs w:val="1"/>
                <w:color w:val="auto"/>
                <w:w w:val="99"/>
              </w:rPr>
              <w:t>June 30, 2022</w:t>
            </w:r>
          </w:p>
        </w:tc>
        <w:tc>
          <w:tcPr>
            <w:tcW w:w="8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6"/>
        </w:trPr>
        <w:tc>
          <w:tcPr>
            <w:tcW w:w="5260" w:type="dxa"/>
            <w:vAlign w:val="bottom"/>
          </w:tcPr>
          <w:p>
            <w:pPr>
              <w:spacing w:after="0"/>
              <w:rPr>
                <w:sz w:val="10"/>
                <w:szCs w:val="10"/>
                <w:color w:val="auto"/>
              </w:rPr>
            </w:pPr>
          </w:p>
        </w:tc>
        <w:tc>
          <w:tcPr>
            <w:tcW w:w="1020" w:type="dxa"/>
            <w:vAlign w:val="bottom"/>
            <w:gridSpan w:val="2"/>
          </w:tcPr>
          <w:p>
            <w:pPr>
              <w:jc w:val="center"/>
              <w:ind w:right="160"/>
              <w:spacing w:after="0" w:line="116" w:lineRule="exact"/>
              <w:rPr>
                <w:sz w:val="20"/>
                <w:szCs w:val="20"/>
                <w:color w:val="auto"/>
              </w:rPr>
            </w:pPr>
            <w:r>
              <w:rPr>
                <w:rFonts w:ascii="Arial" w:cs="Arial" w:eastAsia="Arial" w:hAnsi="Arial"/>
                <w:sz w:val="12"/>
                <w:szCs w:val="12"/>
                <w:b w:val="1"/>
                <w:bCs w:val="1"/>
                <w:color w:val="auto"/>
                <w:w w:val="99"/>
              </w:rPr>
              <w:t>Less than 1</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1"/>
        </w:trPr>
        <w:tc>
          <w:tcPr>
            <w:tcW w:w="52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year</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1 - 3 years</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4 - 5 years</w:t>
            </w:r>
          </w:p>
        </w:tc>
        <w:tc>
          <w:tcPr>
            <w:tcW w:w="840" w:type="dxa"/>
            <w:vAlign w:val="bottom"/>
            <w:gridSpan w:val="2"/>
          </w:tcPr>
          <w:p>
            <w:pPr>
              <w:ind w:left="280"/>
              <w:spacing w:after="0"/>
              <w:rPr>
                <w:sz w:val="20"/>
                <w:szCs w:val="20"/>
                <w:color w:val="auto"/>
              </w:rPr>
            </w:pPr>
            <w:r>
              <w:rPr>
                <w:rFonts w:ascii="Arial" w:cs="Arial" w:eastAsia="Arial" w:hAnsi="Arial"/>
                <w:sz w:val="12"/>
                <w:szCs w:val="12"/>
                <w:b w:val="1"/>
                <w:bCs w:val="1"/>
                <w:color w:val="auto"/>
              </w:rPr>
              <w:t>Total</w:t>
            </w:r>
          </w:p>
        </w:tc>
      </w:tr>
      <w:tr>
        <w:trPr>
          <w:trHeight w:val="124"/>
        </w:trPr>
        <w:tc>
          <w:tcPr>
            <w:tcW w:w="52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840" w:type="dxa"/>
            <w:vAlign w:val="bottom"/>
            <w:tcBorders>
              <w:top w:val="single" w:sz="8" w:color="auto"/>
              <w:bottom w:val="single" w:sz="8" w:color="auto"/>
            </w:tcBorders>
            <w:gridSpan w:val="4"/>
          </w:tcPr>
          <w:p>
            <w:pPr>
              <w:jc w:val="center"/>
              <w:ind w:right="180"/>
              <w:spacing w:after="0" w:line="124" w:lineRule="exact"/>
              <w:rPr>
                <w:sz w:val="20"/>
                <w:szCs w:val="20"/>
                <w:color w:val="auto"/>
              </w:rPr>
            </w:pPr>
            <w:r>
              <w:rPr>
                <w:rFonts w:ascii="Arial" w:cs="Arial" w:eastAsia="Arial" w:hAnsi="Arial"/>
                <w:sz w:val="12"/>
                <w:szCs w:val="12"/>
                <w:b w:val="1"/>
                <w:bCs w:val="1"/>
                <w:color w:val="auto"/>
                <w:w w:val="98"/>
              </w:rPr>
              <w:t>(US$’000)</w:t>
            </w:r>
          </w:p>
        </w:tc>
        <w:tc>
          <w:tcPr>
            <w:tcW w:w="82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52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Deposits</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840</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3,716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4,556</w:t>
            </w:r>
          </w:p>
        </w:tc>
        <w:tc>
          <w:tcPr>
            <w:tcW w:w="20" w:type="dxa"/>
            <w:vAlign w:val="bottom"/>
          </w:tcPr>
          <w:p>
            <w:pPr>
              <w:spacing w:after="0"/>
              <w:rPr>
                <w:sz w:val="13"/>
                <w:szCs w:val="13"/>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5"/>
                <w:szCs w:val="15"/>
                <w:color w:val="auto"/>
              </w:rPr>
              <w:t>Trade receivables</w:t>
            </w: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75,323</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75,323</w:t>
            </w:r>
          </w:p>
        </w:tc>
        <w:tc>
          <w:tcPr>
            <w:tcW w:w="20" w:type="dxa"/>
            <w:vAlign w:val="bottom"/>
          </w:tcPr>
          <w:p>
            <w:pPr>
              <w:spacing w:after="0"/>
              <w:rPr>
                <w:sz w:val="14"/>
                <w:szCs w:val="14"/>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Other receivables</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3,561</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3,561</w:t>
            </w:r>
          </w:p>
        </w:tc>
        <w:tc>
          <w:tcPr>
            <w:tcW w:w="20" w:type="dxa"/>
            <w:vAlign w:val="bottom"/>
          </w:tcPr>
          <w:p>
            <w:pPr>
              <w:spacing w:after="0"/>
              <w:rPr>
                <w:sz w:val="14"/>
                <w:szCs w:val="14"/>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5"/>
                <w:szCs w:val="15"/>
                <w:color w:val="auto"/>
              </w:rPr>
              <w:t>Due from related parties</w:t>
            </w: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108</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108</w:t>
            </w:r>
          </w:p>
        </w:tc>
        <w:tc>
          <w:tcPr>
            <w:tcW w:w="20" w:type="dxa"/>
            <w:vAlign w:val="bottom"/>
          </w:tcPr>
          <w:p>
            <w:pPr>
              <w:spacing w:after="0"/>
              <w:rPr>
                <w:sz w:val="14"/>
                <w:szCs w:val="14"/>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Cash and cash equivalents</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48,831</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48,831</w:t>
            </w:r>
          </w:p>
        </w:tc>
        <w:tc>
          <w:tcPr>
            <w:tcW w:w="20" w:type="dxa"/>
            <w:vAlign w:val="bottom"/>
          </w:tcPr>
          <w:p>
            <w:pPr>
              <w:spacing w:after="0"/>
              <w:rPr>
                <w:sz w:val="14"/>
                <w:szCs w:val="14"/>
                <w:color w:val="auto"/>
              </w:rPr>
            </w:pPr>
          </w:p>
        </w:tc>
      </w:tr>
      <w:tr>
        <w:trPr>
          <w:trHeight w:val="157"/>
        </w:trPr>
        <w:tc>
          <w:tcPr>
            <w:tcW w:w="5260" w:type="dxa"/>
            <w:vAlign w:val="bottom"/>
          </w:tcPr>
          <w:p>
            <w:pPr>
              <w:ind w:left="20"/>
              <w:spacing w:after="0" w:line="157" w:lineRule="exact"/>
              <w:rPr>
                <w:sz w:val="20"/>
                <w:szCs w:val="20"/>
                <w:color w:val="auto"/>
              </w:rPr>
            </w:pPr>
            <w:r>
              <w:rPr>
                <w:rFonts w:ascii="Arial" w:cs="Arial" w:eastAsia="Arial" w:hAnsi="Arial"/>
                <w:sz w:val="15"/>
                <w:szCs w:val="15"/>
                <w:b w:val="1"/>
                <w:bCs w:val="1"/>
                <w:color w:val="auto"/>
              </w:rPr>
              <w:t>Subtotal</w:t>
            </w:r>
          </w:p>
        </w:tc>
        <w:tc>
          <w:tcPr>
            <w:tcW w:w="8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128,663</w:t>
            </w:r>
          </w:p>
        </w:tc>
        <w:tc>
          <w:tcPr>
            <w:tcW w:w="180" w:type="dxa"/>
            <w:vAlign w:val="bottom"/>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3,716</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8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132,379</w:t>
            </w:r>
          </w:p>
        </w:tc>
        <w:tc>
          <w:tcPr>
            <w:tcW w:w="20" w:type="dxa"/>
            <w:vAlign w:val="bottom"/>
          </w:tcPr>
          <w:p>
            <w:pPr>
              <w:spacing w:after="0"/>
              <w:rPr>
                <w:sz w:val="13"/>
                <w:szCs w:val="13"/>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Lease liability</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20,333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35,621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60,428</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116,382</w:t>
            </w:r>
          </w:p>
        </w:tc>
        <w:tc>
          <w:tcPr>
            <w:tcW w:w="20" w:type="dxa"/>
            <w:vAlign w:val="bottom"/>
          </w:tcPr>
          <w:p>
            <w:pPr>
              <w:spacing w:after="0"/>
              <w:rPr>
                <w:sz w:val="14"/>
                <w:szCs w:val="14"/>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5"/>
                <w:szCs w:val="15"/>
                <w:color w:val="auto"/>
              </w:rPr>
              <w:t>Long - term other borrowings</w:t>
            </w: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3,587</w:t>
            </w:r>
          </w:p>
        </w:tc>
        <w:tc>
          <w:tcPr>
            <w:tcW w:w="1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343</w:t>
            </w:r>
          </w:p>
        </w:tc>
        <w:tc>
          <w:tcPr>
            <w:tcW w:w="160" w:type="dxa"/>
            <w:vAlign w:val="bottom"/>
          </w:tcPr>
          <w:p>
            <w:pPr>
              <w:spacing w:after="0"/>
              <w:rPr>
                <w:sz w:val="14"/>
                <w:szCs w:val="14"/>
                <w:color w:val="auto"/>
              </w:rPr>
            </w:pPr>
          </w:p>
        </w:tc>
        <w:tc>
          <w:tcPr>
            <w:tcW w:w="9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3,930</w:t>
            </w:r>
          </w:p>
        </w:tc>
        <w:tc>
          <w:tcPr>
            <w:tcW w:w="20" w:type="dxa"/>
            <w:vAlign w:val="bottom"/>
          </w:tcPr>
          <w:p>
            <w:pPr>
              <w:spacing w:after="0"/>
              <w:rPr>
                <w:sz w:val="14"/>
                <w:szCs w:val="14"/>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Line of credit</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11,202</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11,202</w:t>
            </w:r>
          </w:p>
        </w:tc>
        <w:tc>
          <w:tcPr>
            <w:tcW w:w="20" w:type="dxa"/>
            <w:vAlign w:val="bottom"/>
          </w:tcPr>
          <w:p>
            <w:pPr>
              <w:spacing w:after="0"/>
              <w:rPr>
                <w:sz w:val="14"/>
                <w:szCs w:val="14"/>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5"/>
                <w:szCs w:val="15"/>
                <w:color w:val="auto"/>
              </w:rPr>
              <w:t>Trade and other payables</w:t>
            </w: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24,257</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24,257</w:t>
            </w:r>
          </w:p>
        </w:tc>
        <w:tc>
          <w:tcPr>
            <w:tcW w:w="20" w:type="dxa"/>
            <w:vAlign w:val="bottom"/>
          </w:tcPr>
          <w:p>
            <w:pPr>
              <w:spacing w:after="0"/>
              <w:rPr>
                <w:sz w:val="14"/>
                <w:szCs w:val="14"/>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Due to related parties</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2,595</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2,595</w:t>
            </w:r>
          </w:p>
        </w:tc>
        <w:tc>
          <w:tcPr>
            <w:tcW w:w="20" w:type="dxa"/>
            <w:vAlign w:val="bottom"/>
          </w:tcPr>
          <w:p>
            <w:pPr>
              <w:spacing w:after="0"/>
              <w:rPr>
                <w:sz w:val="14"/>
                <w:szCs w:val="14"/>
                <w:color w:val="auto"/>
              </w:rPr>
            </w:pPr>
          </w:p>
        </w:tc>
      </w:tr>
      <w:tr>
        <w:trPr>
          <w:trHeight w:val="157"/>
        </w:trPr>
        <w:tc>
          <w:tcPr>
            <w:tcW w:w="5260" w:type="dxa"/>
            <w:vAlign w:val="bottom"/>
          </w:tcPr>
          <w:p>
            <w:pPr>
              <w:ind w:left="20"/>
              <w:spacing w:after="0" w:line="157" w:lineRule="exact"/>
              <w:rPr>
                <w:sz w:val="20"/>
                <w:szCs w:val="20"/>
                <w:color w:val="auto"/>
              </w:rPr>
            </w:pPr>
            <w:r>
              <w:rPr>
                <w:rFonts w:ascii="Arial" w:cs="Arial" w:eastAsia="Arial" w:hAnsi="Arial"/>
                <w:sz w:val="15"/>
                <w:szCs w:val="15"/>
                <w:b w:val="1"/>
                <w:bCs w:val="1"/>
                <w:color w:val="auto"/>
              </w:rPr>
              <w:t>Subtotal</w:t>
            </w:r>
          </w:p>
        </w:tc>
        <w:tc>
          <w:tcPr>
            <w:tcW w:w="8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61,974</w:t>
            </w:r>
          </w:p>
        </w:tc>
        <w:tc>
          <w:tcPr>
            <w:tcW w:w="180" w:type="dxa"/>
            <w:vAlign w:val="bottom"/>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35,964</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60,428</w:t>
            </w:r>
          </w:p>
        </w:tc>
        <w:tc>
          <w:tcPr>
            <w:tcW w:w="160" w:type="dxa"/>
            <w:vAlign w:val="bottom"/>
          </w:tcPr>
          <w:p>
            <w:pPr>
              <w:spacing w:after="0"/>
              <w:rPr>
                <w:sz w:val="13"/>
                <w:szCs w:val="13"/>
                <w:color w:val="auto"/>
              </w:rPr>
            </w:pPr>
          </w:p>
        </w:tc>
        <w:tc>
          <w:tcPr>
            <w:tcW w:w="8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158,366</w:t>
            </w:r>
          </w:p>
        </w:tc>
        <w:tc>
          <w:tcPr>
            <w:tcW w:w="20" w:type="dxa"/>
            <w:vAlign w:val="bottom"/>
          </w:tcPr>
          <w:p>
            <w:pPr>
              <w:spacing w:after="0"/>
              <w:rPr>
                <w:sz w:val="13"/>
                <w:szCs w:val="13"/>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Net liquidity position</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66,689</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(32,248)</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b w:val="1"/>
                <w:bCs w:val="1"/>
                <w:color w:val="auto"/>
              </w:rPr>
              <w:t>(60,428)</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(25,987)</w:t>
            </w:r>
          </w:p>
        </w:tc>
        <w:tc>
          <w:tcPr>
            <w:tcW w:w="20" w:type="dxa"/>
            <w:vAlign w:val="bottom"/>
          </w:tcPr>
          <w:p>
            <w:pPr>
              <w:spacing w:after="0"/>
              <w:rPr>
                <w:sz w:val="14"/>
                <w:szCs w:val="14"/>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5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5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4"/>
        </w:trPr>
        <w:tc>
          <w:tcPr>
            <w:tcW w:w="5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jc w:val="center"/>
              <w:ind w:right="180"/>
              <w:spacing w:after="0" w:line="124" w:lineRule="exact"/>
              <w:rPr>
                <w:sz w:val="20"/>
                <w:szCs w:val="20"/>
                <w:color w:val="auto"/>
              </w:rPr>
            </w:pPr>
            <w:r>
              <w:rPr>
                <w:rFonts w:ascii="Arial" w:cs="Arial" w:eastAsia="Arial" w:hAnsi="Arial"/>
                <w:sz w:val="12"/>
                <w:szCs w:val="12"/>
                <w:b w:val="1"/>
                <w:bCs w:val="1"/>
                <w:color w:val="auto"/>
                <w:w w:val="99"/>
              </w:rPr>
              <w:t>June 30, 2021</w:t>
            </w: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16"/>
        </w:trPr>
        <w:tc>
          <w:tcPr>
            <w:tcW w:w="5260" w:type="dxa"/>
            <w:vAlign w:val="bottom"/>
          </w:tcPr>
          <w:p>
            <w:pPr>
              <w:spacing w:after="0"/>
              <w:rPr>
                <w:sz w:val="10"/>
                <w:szCs w:val="10"/>
                <w:color w:val="auto"/>
              </w:rPr>
            </w:pPr>
          </w:p>
        </w:tc>
        <w:tc>
          <w:tcPr>
            <w:tcW w:w="1020" w:type="dxa"/>
            <w:vAlign w:val="bottom"/>
            <w:gridSpan w:val="2"/>
          </w:tcPr>
          <w:p>
            <w:pPr>
              <w:jc w:val="center"/>
              <w:ind w:right="160"/>
              <w:spacing w:after="0" w:line="116" w:lineRule="exact"/>
              <w:rPr>
                <w:sz w:val="20"/>
                <w:szCs w:val="20"/>
                <w:color w:val="auto"/>
              </w:rPr>
            </w:pPr>
            <w:r>
              <w:rPr>
                <w:rFonts w:ascii="Arial" w:cs="Arial" w:eastAsia="Arial" w:hAnsi="Arial"/>
                <w:sz w:val="12"/>
                <w:szCs w:val="12"/>
                <w:b w:val="1"/>
                <w:bCs w:val="1"/>
                <w:color w:val="auto"/>
                <w:w w:val="99"/>
              </w:rPr>
              <w:t>Less than 1</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1"/>
        </w:trPr>
        <w:tc>
          <w:tcPr>
            <w:tcW w:w="52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year</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1 - 3 years</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4 - 5 years</w:t>
            </w:r>
          </w:p>
        </w:tc>
        <w:tc>
          <w:tcPr>
            <w:tcW w:w="840" w:type="dxa"/>
            <w:vAlign w:val="bottom"/>
            <w:gridSpan w:val="2"/>
          </w:tcPr>
          <w:p>
            <w:pPr>
              <w:ind w:left="280"/>
              <w:spacing w:after="0"/>
              <w:rPr>
                <w:sz w:val="20"/>
                <w:szCs w:val="20"/>
                <w:color w:val="auto"/>
              </w:rPr>
            </w:pPr>
            <w:r>
              <w:rPr>
                <w:rFonts w:ascii="Arial" w:cs="Arial" w:eastAsia="Arial" w:hAnsi="Arial"/>
                <w:sz w:val="12"/>
                <w:szCs w:val="12"/>
                <w:b w:val="1"/>
                <w:bCs w:val="1"/>
                <w:color w:val="auto"/>
              </w:rPr>
              <w:t>Total</w:t>
            </w:r>
          </w:p>
        </w:tc>
      </w:tr>
      <w:tr>
        <w:trPr>
          <w:trHeight w:val="124"/>
        </w:trPr>
        <w:tc>
          <w:tcPr>
            <w:tcW w:w="52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840" w:type="dxa"/>
            <w:vAlign w:val="bottom"/>
            <w:tcBorders>
              <w:top w:val="single" w:sz="8" w:color="auto"/>
              <w:bottom w:val="single" w:sz="8" w:color="auto"/>
            </w:tcBorders>
            <w:gridSpan w:val="4"/>
          </w:tcPr>
          <w:p>
            <w:pPr>
              <w:jc w:val="center"/>
              <w:ind w:right="180"/>
              <w:spacing w:after="0" w:line="124" w:lineRule="exact"/>
              <w:rPr>
                <w:sz w:val="20"/>
                <w:szCs w:val="20"/>
                <w:color w:val="auto"/>
              </w:rPr>
            </w:pPr>
            <w:r>
              <w:rPr>
                <w:rFonts w:ascii="Arial" w:cs="Arial" w:eastAsia="Arial" w:hAnsi="Arial"/>
                <w:sz w:val="12"/>
                <w:szCs w:val="12"/>
                <w:b w:val="1"/>
                <w:bCs w:val="1"/>
                <w:color w:val="auto"/>
                <w:w w:val="98"/>
              </w:rPr>
              <w:t>(US$’000)</w:t>
            </w:r>
          </w:p>
        </w:tc>
        <w:tc>
          <w:tcPr>
            <w:tcW w:w="82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526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Deposits</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731</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3,715</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4,446</w:t>
            </w:r>
          </w:p>
        </w:tc>
        <w:tc>
          <w:tcPr>
            <w:tcW w:w="20" w:type="dxa"/>
            <w:vAlign w:val="bottom"/>
          </w:tcPr>
          <w:p>
            <w:pPr>
              <w:spacing w:after="0"/>
              <w:rPr>
                <w:sz w:val="13"/>
                <w:szCs w:val="13"/>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5"/>
                <w:szCs w:val="15"/>
                <w:color w:val="auto"/>
              </w:rPr>
              <w:t>Trade receivables</w:t>
            </w: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66,689</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66,689</w:t>
            </w:r>
          </w:p>
        </w:tc>
        <w:tc>
          <w:tcPr>
            <w:tcW w:w="20" w:type="dxa"/>
            <w:vAlign w:val="bottom"/>
          </w:tcPr>
          <w:p>
            <w:pPr>
              <w:spacing w:after="0"/>
              <w:rPr>
                <w:sz w:val="14"/>
                <w:szCs w:val="14"/>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Other receivables</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1,223</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1,223</w:t>
            </w:r>
          </w:p>
        </w:tc>
        <w:tc>
          <w:tcPr>
            <w:tcW w:w="20" w:type="dxa"/>
            <w:vAlign w:val="bottom"/>
          </w:tcPr>
          <w:p>
            <w:pPr>
              <w:spacing w:after="0"/>
              <w:rPr>
                <w:sz w:val="14"/>
                <w:szCs w:val="14"/>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5"/>
                <w:szCs w:val="15"/>
                <w:color w:val="auto"/>
              </w:rPr>
              <w:t>Due from related parties</w:t>
            </w: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1,755</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1,755</w:t>
            </w:r>
          </w:p>
        </w:tc>
        <w:tc>
          <w:tcPr>
            <w:tcW w:w="20" w:type="dxa"/>
            <w:vAlign w:val="bottom"/>
          </w:tcPr>
          <w:p>
            <w:pPr>
              <w:spacing w:after="0"/>
              <w:rPr>
                <w:sz w:val="14"/>
                <w:szCs w:val="14"/>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Cash and cash equivalents</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57,842</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57,842</w:t>
            </w:r>
          </w:p>
        </w:tc>
        <w:tc>
          <w:tcPr>
            <w:tcW w:w="20" w:type="dxa"/>
            <w:vAlign w:val="bottom"/>
          </w:tcPr>
          <w:p>
            <w:pPr>
              <w:spacing w:after="0"/>
              <w:rPr>
                <w:sz w:val="14"/>
                <w:szCs w:val="14"/>
                <w:color w:val="auto"/>
              </w:rPr>
            </w:pPr>
          </w:p>
        </w:tc>
      </w:tr>
      <w:tr>
        <w:trPr>
          <w:trHeight w:val="157"/>
        </w:trPr>
        <w:tc>
          <w:tcPr>
            <w:tcW w:w="5260" w:type="dxa"/>
            <w:vAlign w:val="bottom"/>
          </w:tcPr>
          <w:p>
            <w:pPr>
              <w:ind w:left="20"/>
              <w:spacing w:after="0" w:line="157" w:lineRule="exact"/>
              <w:rPr>
                <w:sz w:val="20"/>
                <w:szCs w:val="20"/>
                <w:color w:val="auto"/>
              </w:rPr>
            </w:pPr>
            <w:r>
              <w:rPr>
                <w:rFonts w:ascii="Arial" w:cs="Arial" w:eastAsia="Arial" w:hAnsi="Arial"/>
                <w:sz w:val="15"/>
                <w:szCs w:val="15"/>
                <w:b w:val="1"/>
                <w:bCs w:val="1"/>
                <w:color w:val="auto"/>
              </w:rPr>
              <w:t>Subtotal</w:t>
            </w:r>
          </w:p>
        </w:tc>
        <w:tc>
          <w:tcPr>
            <w:tcW w:w="8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128,240</w:t>
            </w:r>
          </w:p>
        </w:tc>
        <w:tc>
          <w:tcPr>
            <w:tcW w:w="180" w:type="dxa"/>
            <w:vAlign w:val="bottom"/>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3,715</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8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131,955</w:t>
            </w:r>
          </w:p>
        </w:tc>
        <w:tc>
          <w:tcPr>
            <w:tcW w:w="20" w:type="dxa"/>
            <w:vAlign w:val="bottom"/>
          </w:tcPr>
          <w:p>
            <w:pPr>
              <w:spacing w:after="0"/>
              <w:rPr>
                <w:sz w:val="13"/>
                <w:szCs w:val="13"/>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Lease liability</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18,344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32,811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61,730</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112,885</w:t>
            </w:r>
          </w:p>
        </w:tc>
        <w:tc>
          <w:tcPr>
            <w:tcW w:w="20" w:type="dxa"/>
            <w:vAlign w:val="bottom"/>
          </w:tcPr>
          <w:p>
            <w:pPr>
              <w:spacing w:after="0"/>
              <w:rPr>
                <w:sz w:val="14"/>
                <w:szCs w:val="14"/>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5"/>
                <w:szCs w:val="15"/>
                <w:color w:val="auto"/>
              </w:rPr>
              <w:t>Long - term other borrowings</w:t>
            </w: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4,626</w:t>
            </w:r>
          </w:p>
        </w:tc>
        <w:tc>
          <w:tcPr>
            <w:tcW w:w="1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1,855</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6,481</w:t>
            </w:r>
          </w:p>
        </w:tc>
        <w:tc>
          <w:tcPr>
            <w:tcW w:w="20" w:type="dxa"/>
            <w:vAlign w:val="bottom"/>
          </w:tcPr>
          <w:p>
            <w:pPr>
              <w:spacing w:after="0"/>
              <w:rPr>
                <w:sz w:val="14"/>
                <w:szCs w:val="14"/>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Line of credit</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22,312</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22,312</w:t>
            </w:r>
          </w:p>
        </w:tc>
        <w:tc>
          <w:tcPr>
            <w:tcW w:w="20" w:type="dxa"/>
            <w:vAlign w:val="bottom"/>
          </w:tcPr>
          <w:p>
            <w:pPr>
              <w:spacing w:after="0"/>
              <w:rPr>
                <w:sz w:val="14"/>
                <w:szCs w:val="14"/>
                <w:color w:val="auto"/>
              </w:rPr>
            </w:pPr>
          </w:p>
        </w:tc>
      </w:tr>
      <w:tr>
        <w:trPr>
          <w:trHeight w:val="166"/>
        </w:trPr>
        <w:tc>
          <w:tcPr>
            <w:tcW w:w="5260" w:type="dxa"/>
            <w:vAlign w:val="bottom"/>
          </w:tcPr>
          <w:p>
            <w:pPr>
              <w:ind w:left="20"/>
              <w:spacing w:after="0" w:line="166" w:lineRule="exact"/>
              <w:rPr>
                <w:sz w:val="20"/>
                <w:szCs w:val="20"/>
                <w:color w:val="auto"/>
              </w:rPr>
            </w:pPr>
            <w:r>
              <w:rPr>
                <w:rFonts w:ascii="Arial" w:cs="Arial" w:eastAsia="Arial" w:hAnsi="Arial"/>
                <w:sz w:val="15"/>
                <w:szCs w:val="15"/>
                <w:color w:val="auto"/>
              </w:rPr>
              <w:t>Trade and other payables</w:t>
            </w: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23,011</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6" w:lineRule="exact"/>
              <w:rPr>
                <w:sz w:val="20"/>
                <w:szCs w:val="20"/>
                <w:color w:val="auto"/>
              </w:rPr>
            </w:pPr>
            <w:r>
              <w:rPr>
                <w:rFonts w:ascii="Arial" w:cs="Arial" w:eastAsia="Arial" w:hAnsi="Arial"/>
                <w:sz w:val="15"/>
                <w:szCs w:val="15"/>
                <w:color w:val="auto"/>
              </w:rPr>
              <w:t>23,011</w:t>
            </w:r>
          </w:p>
        </w:tc>
        <w:tc>
          <w:tcPr>
            <w:tcW w:w="20" w:type="dxa"/>
            <w:vAlign w:val="bottom"/>
          </w:tcPr>
          <w:p>
            <w:pPr>
              <w:spacing w:after="0"/>
              <w:rPr>
                <w:sz w:val="14"/>
                <w:szCs w:val="14"/>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Due to related parties</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4,275</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4,275</w:t>
            </w:r>
          </w:p>
        </w:tc>
        <w:tc>
          <w:tcPr>
            <w:tcW w:w="20" w:type="dxa"/>
            <w:vAlign w:val="bottom"/>
          </w:tcPr>
          <w:p>
            <w:pPr>
              <w:spacing w:after="0"/>
              <w:rPr>
                <w:sz w:val="14"/>
                <w:szCs w:val="14"/>
                <w:color w:val="auto"/>
              </w:rPr>
            </w:pPr>
          </w:p>
        </w:tc>
      </w:tr>
      <w:tr>
        <w:trPr>
          <w:trHeight w:val="157"/>
        </w:trPr>
        <w:tc>
          <w:tcPr>
            <w:tcW w:w="5260" w:type="dxa"/>
            <w:vAlign w:val="bottom"/>
          </w:tcPr>
          <w:p>
            <w:pPr>
              <w:ind w:left="20"/>
              <w:spacing w:after="0" w:line="157" w:lineRule="exact"/>
              <w:rPr>
                <w:sz w:val="20"/>
                <w:szCs w:val="20"/>
                <w:color w:val="auto"/>
              </w:rPr>
            </w:pPr>
            <w:r>
              <w:rPr>
                <w:rFonts w:ascii="Arial" w:cs="Arial" w:eastAsia="Arial" w:hAnsi="Arial"/>
                <w:sz w:val="15"/>
                <w:szCs w:val="15"/>
                <w:b w:val="1"/>
                <w:bCs w:val="1"/>
                <w:color w:val="auto"/>
              </w:rPr>
              <w:t>Subtotal</w:t>
            </w:r>
          </w:p>
        </w:tc>
        <w:tc>
          <w:tcPr>
            <w:tcW w:w="8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72,568</w:t>
            </w:r>
          </w:p>
        </w:tc>
        <w:tc>
          <w:tcPr>
            <w:tcW w:w="180" w:type="dxa"/>
            <w:vAlign w:val="bottom"/>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34,666</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61,730</w:t>
            </w:r>
          </w:p>
        </w:tc>
        <w:tc>
          <w:tcPr>
            <w:tcW w:w="160" w:type="dxa"/>
            <w:vAlign w:val="bottom"/>
          </w:tcPr>
          <w:p>
            <w:pPr>
              <w:spacing w:after="0"/>
              <w:rPr>
                <w:sz w:val="13"/>
                <w:szCs w:val="13"/>
                <w:color w:val="auto"/>
              </w:rPr>
            </w:pPr>
          </w:p>
        </w:tc>
        <w:tc>
          <w:tcPr>
            <w:tcW w:w="8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168,964</w:t>
            </w:r>
          </w:p>
        </w:tc>
        <w:tc>
          <w:tcPr>
            <w:tcW w:w="20" w:type="dxa"/>
            <w:vAlign w:val="bottom"/>
          </w:tcPr>
          <w:p>
            <w:pPr>
              <w:spacing w:after="0"/>
              <w:rPr>
                <w:sz w:val="13"/>
                <w:szCs w:val="13"/>
                <w:color w:val="auto"/>
              </w:rPr>
            </w:pPr>
          </w:p>
        </w:tc>
      </w:tr>
      <w:tr>
        <w:trPr>
          <w:trHeight w:val="166"/>
        </w:trPr>
        <w:tc>
          <w:tcPr>
            <w:tcW w:w="526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Net liquidity position</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55,672</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b w:val="1"/>
                <w:bCs w:val="1"/>
                <w:color w:val="auto"/>
              </w:rPr>
              <w:t>(30,951)</w:t>
            </w:r>
          </w:p>
        </w:tc>
        <w:tc>
          <w:tcPr>
            <w:tcW w:w="92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b w:val="1"/>
                <w:bCs w:val="1"/>
                <w:color w:val="auto"/>
              </w:rPr>
              <w:t>(61,730)</w:t>
            </w: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b w:val="1"/>
                <w:bCs w:val="1"/>
                <w:color w:val="auto"/>
              </w:rPr>
              <w:t>(37,009)</w:t>
            </w:r>
          </w:p>
        </w:tc>
        <w:tc>
          <w:tcPr>
            <w:tcW w:w="20" w:type="dxa"/>
            <w:vAlign w:val="bottom"/>
          </w:tcPr>
          <w:p>
            <w:pPr>
              <w:spacing w:after="0"/>
              <w:rPr>
                <w:sz w:val="14"/>
                <w:szCs w:val="14"/>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5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62" w:lineRule="exact"/>
        <w:rPr>
          <w:sz w:val="20"/>
          <w:szCs w:val="20"/>
          <w:color w:val="auto"/>
        </w:rPr>
      </w:pPr>
    </w:p>
    <w:p>
      <w:pPr>
        <w:ind w:left="560" w:hanging="525"/>
        <w:spacing w:after="0"/>
        <w:tabs>
          <w:tab w:leader="none" w:pos="560" w:val="left"/>
        </w:tabs>
        <w:numPr>
          <w:ilvl w:val="0"/>
          <w:numId w:val="122"/>
        </w:numPr>
        <w:rPr>
          <w:rFonts w:ascii="Arial" w:cs="Arial" w:eastAsia="Arial" w:hAnsi="Arial"/>
          <w:sz w:val="15"/>
          <w:szCs w:val="15"/>
          <w:b w:val="1"/>
          <w:bCs w:val="1"/>
          <w:color w:val="auto"/>
        </w:rPr>
      </w:pPr>
      <w:r>
        <w:rPr>
          <w:rFonts w:ascii="Arial" w:cs="Arial" w:eastAsia="Arial" w:hAnsi="Arial"/>
          <w:sz w:val="15"/>
          <w:szCs w:val="15"/>
          <w:b w:val="1"/>
          <w:bCs w:val="1"/>
          <w:color w:val="auto"/>
        </w:rPr>
        <w:t>TRANSACTIONS WITH RELATED PARTIES</w:t>
      </w:r>
    </w:p>
    <w:p>
      <w:pPr>
        <w:spacing w:after="0" w:line="170"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Related parties of the Group comprise of related entities, staff retirement funds, directors and key management personnel. A “related entity” is an entity that TRGI has control or significant influence over.</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5" w:name="page196"/>
    <w:bookmarkEnd w:id="19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Material related party balances and transactions other than reorganization transaction and those disclosed elsewhere in these consolidated financial statements, are given below:</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0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8"/>
          </w:tcPr>
          <w:p>
            <w:pPr>
              <w:jc w:val="center"/>
              <w:ind w:right="420"/>
              <w:spacing w:after="0"/>
              <w:rPr>
                <w:sz w:val="20"/>
                <w:szCs w:val="20"/>
                <w:color w:val="auto"/>
              </w:rPr>
            </w:pPr>
            <w:r>
              <w:rPr>
                <w:rFonts w:ascii="Arial" w:cs="Arial" w:eastAsia="Arial" w:hAnsi="Arial"/>
                <w:sz w:val="12"/>
                <w:szCs w:val="12"/>
                <w:b w:val="1"/>
                <w:bCs w:val="1"/>
                <w:color w:val="auto"/>
                <w:w w:val="97"/>
              </w:rPr>
              <w:t>June 30, 2022</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r>
      <w:tr>
        <w:trPr>
          <w:trHeight w:val="127"/>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ind w:right="240"/>
              <w:spacing w:after="0" w:line="127" w:lineRule="exact"/>
              <w:rPr>
                <w:sz w:val="20"/>
                <w:szCs w:val="20"/>
                <w:color w:val="auto"/>
              </w:rPr>
            </w:pPr>
            <w:r>
              <w:rPr>
                <w:rFonts w:ascii="Arial" w:cs="Arial" w:eastAsia="Arial" w:hAnsi="Arial"/>
                <w:sz w:val="12"/>
                <w:szCs w:val="12"/>
                <w:b w:val="1"/>
                <w:bCs w:val="1"/>
                <w:color w:val="auto"/>
                <w:w w:val="98"/>
              </w:rPr>
              <w:t>Service</w:t>
            </w:r>
          </w:p>
        </w:tc>
        <w:tc>
          <w:tcPr>
            <w:tcW w:w="760" w:type="dxa"/>
            <w:vAlign w:val="bottom"/>
            <w:gridSpan w:val="4"/>
          </w:tcPr>
          <w:p>
            <w:pPr>
              <w:jc w:val="center"/>
              <w:ind w:right="180"/>
              <w:spacing w:after="0" w:line="127" w:lineRule="exact"/>
              <w:rPr>
                <w:sz w:val="20"/>
                <w:szCs w:val="20"/>
                <w:color w:val="auto"/>
              </w:rPr>
            </w:pPr>
            <w:r>
              <w:rPr>
                <w:rFonts w:ascii="Arial" w:cs="Arial" w:eastAsia="Arial" w:hAnsi="Arial"/>
                <w:sz w:val="12"/>
                <w:szCs w:val="12"/>
                <w:b w:val="1"/>
                <w:bCs w:val="1"/>
                <w:color w:val="auto"/>
                <w:w w:val="98"/>
              </w:rPr>
              <w:t>Service</w:t>
            </w:r>
          </w:p>
        </w:tc>
        <w:tc>
          <w:tcPr>
            <w:tcW w:w="780" w:type="dxa"/>
            <w:vAlign w:val="bottom"/>
            <w:gridSpan w:val="5"/>
          </w:tcPr>
          <w:p>
            <w:pPr>
              <w:jc w:val="center"/>
              <w:ind w:right="140"/>
              <w:spacing w:after="0" w:line="127" w:lineRule="exact"/>
              <w:rPr>
                <w:sz w:val="20"/>
                <w:szCs w:val="20"/>
                <w:color w:val="auto"/>
              </w:rPr>
            </w:pPr>
            <w:r>
              <w:rPr>
                <w:rFonts w:ascii="Arial" w:cs="Arial" w:eastAsia="Arial" w:hAnsi="Arial"/>
                <w:sz w:val="12"/>
                <w:szCs w:val="12"/>
                <w:b w:val="1"/>
                <w:bCs w:val="1"/>
                <w:color w:val="auto"/>
                <w:w w:val="98"/>
              </w:rPr>
              <w:t>Due from</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140"/>
              <w:spacing w:after="0" w:line="127" w:lineRule="exact"/>
              <w:rPr>
                <w:sz w:val="20"/>
                <w:szCs w:val="20"/>
                <w:color w:val="auto"/>
              </w:rPr>
            </w:pPr>
            <w:r>
              <w:rPr>
                <w:rFonts w:ascii="Arial" w:cs="Arial" w:eastAsia="Arial" w:hAnsi="Arial"/>
                <w:sz w:val="12"/>
                <w:szCs w:val="12"/>
                <w:b w:val="1"/>
                <w:bCs w:val="1"/>
                <w:color w:val="auto"/>
              </w:rPr>
              <w:t>Due to</w:t>
            </w:r>
          </w:p>
        </w:tc>
      </w:tr>
      <w:tr>
        <w:trPr>
          <w:trHeight w:val="133"/>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jc w:val="center"/>
              <w:ind w:left="61"/>
              <w:spacing w:after="0" w:line="133" w:lineRule="exact"/>
              <w:rPr>
                <w:sz w:val="20"/>
                <w:szCs w:val="20"/>
                <w:color w:val="auto"/>
              </w:rPr>
            </w:pPr>
            <w:r>
              <w:rPr>
                <w:rFonts w:ascii="Arial" w:cs="Arial" w:eastAsia="Arial" w:hAnsi="Arial"/>
                <w:sz w:val="12"/>
                <w:szCs w:val="12"/>
                <w:b w:val="1"/>
                <w:bCs w:val="1"/>
                <w:color w:val="auto"/>
                <w:w w:val="98"/>
              </w:rPr>
              <w:t>Relationship with</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ind w:right="220"/>
              <w:spacing w:after="0" w:line="133" w:lineRule="exact"/>
              <w:rPr>
                <w:sz w:val="20"/>
                <w:szCs w:val="20"/>
                <w:color w:val="auto"/>
              </w:rPr>
            </w:pPr>
            <w:r>
              <w:rPr>
                <w:rFonts w:ascii="Arial" w:cs="Arial" w:eastAsia="Arial" w:hAnsi="Arial"/>
                <w:sz w:val="12"/>
                <w:szCs w:val="12"/>
                <w:b w:val="1"/>
                <w:bCs w:val="1"/>
                <w:color w:val="auto"/>
                <w:w w:val="96"/>
              </w:rPr>
              <w:t>delivery</w:t>
            </w:r>
          </w:p>
        </w:tc>
        <w:tc>
          <w:tcPr>
            <w:tcW w:w="760" w:type="dxa"/>
            <w:vAlign w:val="bottom"/>
            <w:gridSpan w:val="4"/>
          </w:tcPr>
          <w:p>
            <w:pPr>
              <w:jc w:val="center"/>
              <w:ind w:right="200"/>
              <w:spacing w:after="0" w:line="133" w:lineRule="exact"/>
              <w:rPr>
                <w:sz w:val="20"/>
                <w:szCs w:val="20"/>
                <w:color w:val="auto"/>
              </w:rPr>
            </w:pPr>
            <w:r>
              <w:rPr>
                <w:rFonts w:ascii="Arial" w:cs="Arial" w:eastAsia="Arial" w:hAnsi="Arial"/>
                <w:sz w:val="12"/>
                <w:szCs w:val="12"/>
                <w:b w:val="1"/>
                <w:bCs w:val="1"/>
                <w:color w:val="auto"/>
                <w:w w:val="96"/>
              </w:rPr>
              <w:t>delivery</w:t>
            </w:r>
          </w:p>
        </w:tc>
        <w:tc>
          <w:tcPr>
            <w:tcW w:w="78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related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related</w:t>
            </w:r>
          </w:p>
        </w:tc>
      </w:tr>
      <w:tr>
        <w:trPr>
          <w:trHeight w:val="141"/>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i w:val="1"/>
                <w:iCs w:val="1"/>
                <w:color w:val="auto"/>
              </w:rPr>
              <w:t>Note</w:t>
            </w:r>
          </w:p>
        </w:tc>
        <w:tc>
          <w:tcPr>
            <w:tcW w:w="1220" w:type="dxa"/>
            <w:vAlign w:val="bottom"/>
            <w:tcBorders>
              <w:bottom w:val="single" w:sz="8" w:color="auto"/>
            </w:tcBorders>
          </w:tcPr>
          <w:p>
            <w:pPr>
              <w:jc w:val="center"/>
              <w:ind w:left="61"/>
              <w:spacing w:after="0"/>
              <w:rPr>
                <w:sz w:val="20"/>
                <w:szCs w:val="20"/>
                <w:color w:val="auto"/>
              </w:rPr>
            </w:pPr>
            <w:r>
              <w:rPr>
                <w:rFonts w:ascii="Arial" w:cs="Arial" w:eastAsia="Arial" w:hAnsi="Arial"/>
                <w:sz w:val="12"/>
                <w:szCs w:val="12"/>
                <w:b w:val="1"/>
                <w:bCs w:val="1"/>
                <w:color w:val="auto"/>
                <w:w w:val="97"/>
              </w:rPr>
              <w:t>related party</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2"/>
                <w:szCs w:val="12"/>
                <w:b w:val="1"/>
                <w:bCs w:val="1"/>
                <w:color w:val="auto"/>
                <w:w w:val="95"/>
              </w:rPr>
              <w:t>revenue</w:t>
            </w:r>
          </w:p>
        </w:tc>
        <w:tc>
          <w:tcPr>
            <w:tcW w:w="7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2"/>
                <w:szCs w:val="12"/>
                <w:b w:val="1"/>
                <w:bCs w:val="1"/>
                <w:color w:val="auto"/>
                <w:w w:val="99"/>
              </w:rPr>
              <w:t>expense</w:t>
            </w:r>
          </w:p>
        </w:tc>
        <w:tc>
          <w:tcPr>
            <w:tcW w:w="7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96"/>
              </w:rPr>
              <w:t>parties</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parties</w:t>
            </w:r>
          </w:p>
        </w:tc>
      </w:tr>
      <w:tr>
        <w:trPr>
          <w:trHeight w:val="124"/>
        </w:trPr>
        <w:tc>
          <w:tcPr>
            <w:tcW w:w="20" w:type="dxa"/>
            <w:vAlign w:val="bottom"/>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8"/>
          </w:tcPr>
          <w:p>
            <w:pPr>
              <w:jc w:val="center"/>
              <w:ind w:right="440"/>
              <w:spacing w:after="0" w:line="124" w:lineRule="exact"/>
              <w:rPr>
                <w:sz w:val="20"/>
                <w:szCs w:val="20"/>
                <w:color w:val="auto"/>
              </w:rPr>
            </w:pPr>
            <w:r>
              <w:rPr>
                <w:rFonts w:ascii="Arial" w:cs="Arial" w:eastAsia="Arial" w:hAnsi="Arial"/>
                <w:sz w:val="12"/>
                <w:szCs w:val="12"/>
                <w:b w:val="1"/>
                <w:bCs w:val="1"/>
                <w:color w:val="auto"/>
                <w:w w:val="98"/>
              </w:rPr>
              <w:t>(US$’000)</w:t>
            </w: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3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BPO Solutions, Inc.</w:t>
            </w:r>
          </w:p>
        </w:tc>
        <w:tc>
          <w:tcPr>
            <w:tcW w:w="1380" w:type="dxa"/>
            <w:vAlign w:val="bottom"/>
            <w:shd w:val="clear" w:color="auto" w:fill="CCEEFF"/>
          </w:tcPr>
          <w:p>
            <w:pPr>
              <w:jc w:val="center"/>
              <w:ind w:left="361"/>
              <w:spacing w:after="0" w:line="124" w:lineRule="exact"/>
              <w:rPr>
                <w:sz w:val="20"/>
                <w:szCs w:val="20"/>
                <w:color w:val="auto"/>
              </w:rPr>
            </w:pPr>
            <w:r>
              <w:rPr>
                <w:rFonts w:ascii="Arial" w:cs="Arial" w:eastAsia="Arial" w:hAnsi="Arial"/>
                <w:sz w:val="12"/>
                <w:szCs w:val="12"/>
                <w:i w:val="1"/>
                <w:iCs w:val="1"/>
                <w:color w:val="auto"/>
              </w:rPr>
              <w:t>23.1</w:t>
            </w:r>
          </w:p>
        </w:tc>
        <w:tc>
          <w:tcPr>
            <w:tcW w:w="1220" w:type="dxa"/>
            <w:vAlign w:val="bottom"/>
            <w:shd w:val="clear" w:color="auto" w:fill="CCEEFF"/>
          </w:tcPr>
          <w:p>
            <w:pPr>
              <w:jc w:val="center"/>
              <w:ind w:left="41"/>
              <w:spacing w:after="0" w:line="124" w:lineRule="exact"/>
              <w:rPr>
                <w:sz w:val="20"/>
                <w:szCs w:val="20"/>
                <w:color w:val="auto"/>
              </w:rPr>
            </w:pPr>
            <w:r>
              <w:rPr>
                <w:rFonts w:ascii="Arial" w:cs="Arial" w:eastAsia="Arial" w:hAnsi="Arial"/>
                <w:sz w:val="12"/>
                <w:szCs w:val="12"/>
                <w:color w:val="auto"/>
                <w:w w:val="98"/>
              </w:rPr>
              <w:t>Related entity</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gridSpan w:val="4"/>
            <w:shd w:val="clear" w:color="auto" w:fill="CCEEFF"/>
          </w:tcPr>
          <w:p>
            <w:pPr>
              <w:jc w:val="right"/>
              <w:ind w:right="240"/>
              <w:spacing w:after="0" w:line="12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ind w:right="200"/>
              <w:spacing w:after="0" w:line="124"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2,459</w:t>
            </w:r>
          </w:p>
        </w:tc>
        <w:tc>
          <w:tcPr>
            <w:tcW w:w="20" w:type="dxa"/>
            <w:vAlign w:val="bottom"/>
            <w:shd w:val="clear" w:color="auto" w:fill="CCEEFF"/>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3040" w:type="dxa"/>
            <w:vAlign w:val="bottom"/>
          </w:tcPr>
          <w:p>
            <w:pPr>
              <w:spacing w:after="0" w:line="133" w:lineRule="exact"/>
              <w:rPr>
                <w:sz w:val="20"/>
                <w:szCs w:val="20"/>
                <w:color w:val="auto"/>
              </w:rPr>
            </w:pPr>
            <w:r>
              <w:rPr>
                <w:rFonts w:ascii="Arial" w:cs="Arial" w:eastAsia="Arial" w:hAnsi="Arial"/>
                <w:sz w:val="12"/>
                <w:szCs w:val="12"/>
                <w:color w:val="auto"/>
              </w:rPr>
              <w:t>Alert Communications, Inc.</w:t>
            </w:r>
          </w:p>
        </w:tc>
        <w:tc>
          <w:tcPr>
            <w:tcW w:w="1380" w:type="dxa"/>
            <w:vAlign w:val="bottom"/>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86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60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3"/>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380" w:type="dxa"/>
            <w:vAlign w:val="bottom"/>
            <w:gridSpan w:val="4"/>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w:t>
            </w:r>
          </w:p>
        </w:tc>
      </w:tr>
      <w:tr>
        <w:trPr>
          <w:trHeight w:val="133"/>
        </w:trPr>
        <w:tc>
          <w:tcPr>
            <w:tcW w:w="20" w:type="dxa"/>
            <w:vAlign w:val="bottom"/>
          </w:tcPr>
          <w:p>
            <w:pPr>
              <w:spacing w:after="0"/>
              <w:rPr>
                <w:sz w:val="11"/>
                <w:szCs w:val="11"/>
                <w:color w:val="auto"/>
              </w:rPr>
            </w:pPr>
          </w:p>
        </w:tc>
        <w:tc>
          <w:tcPr>
            <w:tcW w:w="3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Afiniti International Holdings Limited</w:t>
            </w:r>
          </w:p>
        </w:tc>
        <w:tc>
          <w:tcPr>
            <w:tcW w:w="1380" w:type="dxa"/>
            <w:vAlign w:val="bottom"/>
            <w:shd w:val="clear" w:color="auto" w:fill="CCEEFF"/>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shd w:val="clear" w:color="auto" w:fill="CCEEFF"/>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8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63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gridSpan w:val="4"/>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124</w:t>
            </w:r>
          </w:p>
        </w:tc>
        <w:tc>
          <w:tcPr>
            <w:tcW w:w="20" w:type="dxa"/>
            <w:vAlign w:val="bottom"/>
            <w:shd w:val="clear" w:color="auto" w:fill="CCEEFF"/>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040" w:type="dxa"/>
            <w:vAlign w:val="bottom"/>
          </w:tcPr>
          <w:p>
            <w:pPr>
              <w:spacing w:after="0" w:line="133" w:lineRule="exact"/>
              <w:rPr>
                <w:sz w:val="20"/>
                <w:szCs w:val="20"/>
                <w:color w:val="auto"/>
              </w:rPr>
            </w:pPr>
            <w:r>
              <w:rPr>
                <w:rFonts w:ascii="Arial" w:cs="Arial" w:eastAsia="Arial" w:hAnsi="Arial"/>
                <w:sz w:val="12"/>
                <w:szCs w:val="12"/>
                <w:color w:val="auto"/>
              </w:rPr>
              <w:t>Vendors with common directors</w:t>
            </w:r>
          </w:p>
        </w:tc>
        <w:tc>
          <w:tcPr>
            <w:tcW w:w="1380" w:type="dxa"/>
            <w:vAlign w:val="bottom"/>
          </w:tcPr>
          <w:p>
            <w:pPr>
              <w:jc w:val="center"/>
              <w:ind w:left="361"/>
              <w:spacing w:after="0" w:line="133" w:lineRule="exact"/>
              <w:rPr>
                <w:sz w:val="20"/>
                <w:szCs w:val="20"/>
                <w:color w:val="auto"/>
              </w:rPr>
            </w:pPr>
            <w:r>
              <w:rPr>
                <w:rFonts w:ascii="Arial" w:cs="Arial" w:eastAsia="Arial" w:hAnsi="Arial"/>
                <w:sz w:val="12"/>
                <w:szCs w:val="12"/>
                <w:i w:val="1"/>
                <w:iCs w:val="1"/>
                <w:color w:val="auto"/>
                <w:w w:val="97"/>
              </w:rPr>
              <w:t>23.2 &amp; 23.3</w:t>
            </w:r>
          </w:p>
        </w:tc>
        <w:tc>
          <w:tcPr>
            <w:tcW w:w="1220" w:type="dxa"/>
            <w:vAlign w:val="bottom"/>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86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176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152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2"/>
                <w:szCs w:val="12"/>
                <w:color w:val="auto"/>
              </w:rPr>
              <w:t>95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12</w:t>
            </w: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IBEX Limited Executive Leadership</w:t>
            </w:r>
          </w:p>
        </w:tc>
        <w:tc>
          <w:tcPr>
            <w:tcW w:w="1380" w:type="dxa"/>
            <w:vAlign w:val="bottom"/>
            <w:shd w:val="clear" w:color="auto" w:fill="CCEEFF"/>
          </w:tcPr>
          <w:p>
            <w:pPr>
              <w:jc w:val="center"/>
              <w:ind w:left="361"/>
              <w:spacing w:after="0" w:line="133" w:lineRule="exact"/>
              <w:rPr>
                <w:sz w:val="20"/>
                <w:szCs w:val="20"/>
                <w:color w:val="auto"/>
              </w:rPr>
            </w:pPr>
            <w:r>
              <w:rPr>
                <w:rFonts w:ascii="Arial" w:cs="Arial" w:eastAsia="Arial" w:hAnsi="Arial"/>
                <w:sz w:val="12"/>
                <w:szCs w:val="12"/>
                <w:i w:val="1"/>
                <w:iCs w:val="1"/>
                <w:color w:val="auto"/>
              </w:rPr>
              <w:t>23.4</w:t>
            </w:r>
          </w:p>
        </w:tc>
        <w:tc>
          <w:tcPr>
            <w:tcW w:w="1220" w:type="dxa"/>
            <w:vAlign w:val="bottom"/>
            <w:shd w:val="clear" w:color="auto" w:fill="CCEEFF"/>
          </w:tcPr>
          <w:p>
            <w:pPr>
              <w:jc w:val="center"/>
              <w:ind w:left="61"/>
              <w:spacing w:after="0" w:line="133" w:lineRule="exact"/>
              <w:rPr>
                <w:sz w:val="20"/>
                <w:szCs w:val="20"/>
                <w:color w:val="auto"/>
              </w:rPr>
            </w:pPr>
            <w:r>
              <w:rPr>
                <w:rFonts w:ascii="Arial" w:cs="Arial" w:eastAsia="Arial" w:hAnsi="Arial"/>
                <w:sz w:val="12"/>
                <w:szCs w:val="12"/>
                <w:color w:val="auto"/>
              </w:rPr>
              <w:t>Officers</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r>
      <w:tr>
        <w:trPr>
          <w:trHeight w:val="164"/>
        </w:trPr>
        <w:tc>
          <w:tcPr>
            <w:tcW w:w="20" w:type="dxa"/>
            <w:vAlign w:val="bottom"/>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299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b w:val="1"/>
                <w:bCs w:val="1"/>
                <w:color w:val="auto"/>
              </w:rPr>
              <w:t>171</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gridSpan w:val="3"/>
          </w:tcPr>
          <w:p>
            <w:pPr>
              <w:jc w:val="right"/>
              <w:ind w:right="20"/>
              <w:spacing w:after="0" w:line="124" w:lineRule="exact"/>
              <w:rPr>
                <w:sz w:val="20"/>
                <w:szCs w:val="20"/>
                <w:color w:val="auto"/>
              </w:rPr>
            </w:pPr>
            <w:r>
              <w:rPr>
                <w:rFonts w:ascii="Arial" w:cs="Arial" w:eastAsia="Arial" w:hAnsi="Arial"/>
                <w:sz w:val="12"/>
                <w:szCs w:val="12"/>
                <w:b w:val="1"/>
                <w:bCs w:val="1"/>
                <w:color w:val="auto"/>
              </w:rPr>
              <w:t>108</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2,595</w:t>
            </w:r>
          </w:p>
        </w:tc>
        <w:tc>
          <w:tcPr>
            <w:tcW w:w="20" w:type="dxa"/>
            <w:vAlign w:val="bottom"/>
            <w:tcBorders>
              <w:top w:val="single" w:sz="8" w:color="auto"/>
              <w:bottom w:val="single" w:sz="8" w:color="auto"/>
            </w:tcBorders>
          </w:tcPr>
          <w:p>
            <w:pPr>
              <w:spacing w:after="0"/>
              <w:rPr>
                <w:sz w:val="14"/>
                <w:szCs w:val="14"/>
                <w:color w:val="auto"/>
              </w:rPr>
            </w:pPr>
          </w:p>
        </w:tc>
      </w:tr>
      <w:tr>
        <w:trPr>
          <w:trHeight w:val="106"/>
        </w:trPr>
        <w:tc>
          <w:tcPr>
            <w:tcW w:w="20" w:type="dxa"/>
            <w:vAlign w:val="bottom"/>
          </w:tcPr>
          <w:p>
            <w:pPr>
              <w:spacing w:after="0"/>
              <w:rPr>
                <w:sz w:val="9"/>
                <w:szCs w:val="9"/>
                <w:color w:val="auto"/>
              </w:rPr>
            </w:pPr>
          </w:p>
        </w:tc>
        <w:tc>
          <w:tcPr>
            <w:tcW w:w="3040" w:type="dxa"/>
            <w:vAlign w:val="bottom"/>
            <w:tcBorders>
              <w:bottom w:val="single" w:sz="8" w:color="auto"/>
            </w:tcBorders>
            <w:shd w:val="clear" w:color="auto" w:fill="CCEEFF"/>
          </w:tcPr>
          <w:p>
            <w:pPr>
              <w:spacing w:after="0"/>
              <w:rPr>
                <w:sz w:val="9"/>
                <w:szCs w:val="9"/>
                <w:color w:val="auto"/>
              </w:rPr>
            </w:pPr>
          </w:p>
        </w:tc>
        <w:tc>
          <w:tcPr>
            <w:tcW w:w="138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3"/>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8"/>
          </w:tcPr>
          <w:p>
            <w:pPr>
              <w:jc w:val="center"/>
              <w:ind w:right="420"/>
              <w:spacing w:after="0" w:line="124" w:lineRule="exact"/>
              <w:rPr>
                <w:sz w:val="20"/>
                <w:szCs w:val="20"/>
                <w:color w:val="auto"/>
              </w:rPr>
            </w:pPr>
            <w:r>
              <w:rPr>
                <w:rFonts w:ascii="Arial" w:cs="Arial" w:eastAsia="Arial" w:hAnsi="Arial"/>
                <w:sz w:val="12"/>
                <w:szCs w:val="12"/>
                <w:b w:val="1"/>
                <w:bCs w:val="1"/>
                <w:color w:val="auto"/>
                <w:w w:val="97"/>
              </w:rPr>
              <w:t>June 30, 2021</w:t>
            </w: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ind w:right="240"/>
              <w:spacing w:after="0" w:line="127" w:lineRule="exact"/>
              <w:rPr>
                <w:sz w:val="20"/>
                <w:szCs w:val="20"/>
                <w:color w:val="auto"/>
              </w:rPr>
            </w:pPr>
            <w:r>
              <w:rPr>
                <w:rFonts w:ascii="Arial" w:cs="Arial" w:eastAsia="Arial" w:hAnsi="Arial"/>
                <w:sz w:val="12"/>
                <w:szCs w:val="12"/>
                <w:b w:val="1"/>
                <w:bCs w:val="1"/>
                <w:color w:val="auto"/>
                <w:w w:val="98"/>
              </w:rPr>
              <w:t>Service</w:t>
            </w:r>
          </w:p>
        </w:tc>
        <w:tc>
          <w:tcPr>
            <w:tcW w:w="760" w:type="dxa"/>
            <w:vAlign w:val="bottom"/>
            <w:gridSpan w:val="4"/>
          </w:tcPr>
          <w:p>
            <w:pPr>
              <w:jc w:val="center"/>
              <w:ind w:right="200"/>
              <w:spacing w:after="0" w:line="127" w:lineRule="exact"/>
              <w:rPr>
                <w:sz w:val="20"/>
                <w:szCs w:val="20"/>
                <w:color w:val="auto"/>
              </w:rPr>
            </w:pPr>
            <w:r>
              <w:rPr>
                <w:rFonts w:ascii="Arial" w:cs="Arial" w:eastAsia="Arial" w:hAnsi="Arial"/>
                <w:sz w:val="12"/>
                <w:szCs w:val="12"/>
                <w:b w:val="1"/>
                <w:bCs w:val="1"/>
                <w:color w:val="auto"/>
                <w:w w:val="93"/>
              </w:rPr>
              <w:t>Service</w:t>
            </w:r>
          </w:p>
        </w:tc>
        <w:tc>
          <w:tcPr>
            <w:tcW w:w="780" w:type="dxa"/>
            <w:vAlign w:val="bottom"/>
            <w:gridSpan w:val="5"/>
          </w:tcPr>
          <w:p>
            <w:pPr>
              <w:jc w:val="center"/>
              <w:ind w:right="140"/>
              <w:spacing w:after="0" w:line="127" w:lineRule="exact"/>
              <w:rPr>
                <w:sz w:val="20"/>
                <w:szCs w:val="20"/>
                <w:color w:val="auto"/>
              </w:rPr>
            </w:pPr>
            <w:r>
              <w:rPr>
                <w:rFonts w:ascii="Arial" w:cs="Arial" w:eastAsia="Arial" w:hAnsi="Arial"/>
                <w:sz w:val="12"/>
                <w:szCs w:val="12"/>
                <w:b w:val="1"/>
                <w:bCs w:val="1"/>
                <w:color w:val="auto"/>
                <w:w w:val="98"/>
              </w:rPr>
              <w:t>Due from</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140"/>
              <w:spacing w:after="0" w:line="127" w:lineRule="exact"/>
              <w:rPr>
                <w:sz w:val="20"/>
                <w:szCs w:val="20"/>
                <w:color w:val="auto"/>
              </w:rPr>
            </w:pPr>
            <w:r>
              <w:rPr>
                <w:rFonts w:ascii="Arial" w:cs="Arial" w:eastAsia="Arial" w:hAnsi="Arial"/>
                <w:sz w:val="12"/>
                <w:szCs w:val="12"/>
                <w:b w:val="1"/>
                <w:bCs w:val="1"/>
                <w:color w:val="auto"/>
              </w:rPr>
              <w:t>Due to</w:t>
            </w:r>
          </w:p>
        </w:tc>
      </w:tr>
      <w:tr>
        <w:trPr>
          <w:trHeight w:val="133"/>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jc w:val="center"/>
              <w:ind w:left="61"/>
              <w:spacing w:after="0" w:line="133" w:lineRule="exact"/>
              <w:rPr>
                <w:sz w:val="20"/>
                <w:szCs w:val="20"/>
                <w:color w:val="auto"/>
              </w:rPr>
            </w:pPr>
            <w:r>
              <w:rPr>
                <w:rFonts w:ascii="Arial" w:cs="Arial" w:eastAsia="Arial" w:hAnsi="Arial"/>
                <w:sz w:val="12"/>
                <w:szCs w:val="12"/>
                <w:b w:val="1"/>
                <w:bCs w:val="1"/>
                <w:color w:val="auto"/>
                <w:w w:val="98"/>
              </w:rPr>
              <w:t>Relationship with</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ind w:right="220"/>
              <w:spacing w:after="0" w:line="133" w:lineRule="exact"/>
              <w:rPr>
                <w:sz w:val="20"/>
                <w:szCs w:val="20"/>
                <w:color w:val="auto"/>
              </w:rPr>
            </w:pPr>
            <w:r>
              <w:rPr>
                <w:rFonts w:ascii="Arial" w:cs="Arial" w:eastAsia="Arial" w:hAnsi="Arial"/>
                <w:sz w:val="12"/>
                <w:szCs w:val="12"/>
                <w:b w:val="1"/>
                <w:bCs w:val="1"/>
                <w:color w:val="auto"/>
                <w:w w:val="96"/>
              </w:rPr>
              <w:t>delivery</w:t>
            </w:r>
          </w:p>
        </w:tc>
        <w:tc>
          <w:tcPr>
            <w:tcW w:w="760" w:type="dxa"/>
            <w:vAlign w:val="bottom"/>
            <w:gridSpan w:val="4"/>
          </w:tcPr>
          <w:p>
            <w:pPr>
              <w:jc w:val="center"/>
              <w:ind w:right="200"/>
              <w:spacing w:after="0" w:line="133" w:lineRule="exact"/>
              <w:rPr>
                <w:sz w:val="20"/>
                <w:szCs w:val="20"/>
                <w:color w:val="auto"/>
              </w:rPr>
            </w:pPr>
            <w:r>
              <w:rPr>
                <w:rFonts w:ascii="Arial" w:cs="Arial" w:eastAsia="Arial" w:hAnsi="Arial"/>
                <w:sz w:val="12"/>
                <w:szCs w:val="12"/>
                <w:b w:val="1"/>
                <w:bCs w:val="1"/>
                <w:color w:val="auto"/>
                <w:w w:val="96"/>
              </w:rPr>
              <w:t>delivery</w:t>
            </w:r>
          </w:p>
        </w:tc>
        <w:tc>
          <w:tcPr>
            <w:tcW w:w="78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related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related</w:t>
            </w:r>
          </w:p>
        </w:tc>
      </w:tr>
      <w:tr>
        <w:trPr>
          <w:trHeight w:val="141"/>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80" w:type="dxa"/>
            <w:vAlign w:val="bottom"/>
          </w:tcPr>
          <w:p>
            <w:pPr>
              <w:ind w:left="780"/>
              <w:spacing w:after="0"/>
              <w:rPr>
                <w:sz w:val="20"/>
                <w:szCs w:val="20"/>
                <w:color w:val="auto"/>
              </w:rPr>
            </w:pPr>
            <w:r>
              <w:rPr>
                <w:rFonts w:ascii="Arial" w:cs="Arial" w:eastAsia="Arial" w:hAnsi="Arial"/>
                <w:sz w:val="12"/>
                <w:szCs w:val="12"/>
                <w:b w:val="1"/>
                <w:bCs w:val="1"/>
                <w:i w:val="1"/>
                <w:iCs w:val="1"/>
                <w:color w:val="auto"/>
              </w:rPr>
              <w:t>Note</w:t>
            </w:r>
          </w:p>
        </w:tc>
        <w:tc>
          <w:tcPr>
            <w:tcW w:w="1220" w:type="dxa"/>
            <w:vAlign w:val="bottom"/>
          </w:tcPr>
          <w:p>
            <w:pPr>
              <w:jc w:val="center"/>
              <w:ind w:left="61"/>
              <w:spacing w:after="0"/>
              <w:rPr>
                <w:sz w:val="20"/>
                <w:szCs w:val="20"/>
                <w:color w:val="auto"/>
              </w:rPr>
            </w:pPr>
            <w:r>
              <w:rPr>
                <w:rFonts w:ascii="Arial" w:cs="Arial" w:eastAsia="Arial" w:hAnsi="Arial"/>
                <w:sz w:val="12"/>
                <w:szCs w:val="12"/>
                <w:b w:val="1"/>
                <w:bCs w:val="1"/>
                <w:color w:val="auto"/>
                <w:w w:val="97"/>
              </w:rPr>
              <w:t>related party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95"/>
              </w:rPr>
              <w:t>revenue</w:t>
            </w:r>
          </w:p>
        </w:tc>
        <w:tc>
          <w:tcPr>
            <w:tcW w:w="7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9"/>
              </w:rPr>
              <w:t>expense</w:t>
            </w:r>
          </w:p>
        </w:tc>
        <w:tc>
          <w:tcPr>
            <w:tcW w:w="7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6"/>
              </w:rPr>
              <w:t>parties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parties</w:t>
            </w:r>
          </w:p>
        </w:tc>
      </w:tr>
      <w:tr>
        <w:trPr>
          <w:trHeight w:val="124"/>
        </w:trPr>
        <w:tc>
          <w:tcPr>
            <w:tcW w:w="20" w:type="dxa"/>
            <w:vAlign w:val="bottom"/>
            <w:tcBorders>
              <w:top w:val="single" w:sz="8" w:color="auto"/>
              <w:bottom w:val="single" w:sz="8" w:color="auto"/>
            </w:tcBorders>
          </w:tcPr>
          <w:p>
            <w:pPr>
              <w:spacing w:after="0"/>
              <w:rPr>
                <w:sz w:val="10"/>
                <w:szCs w:val="10"/>
                <w:color w:val="auto"/>
              </w:rPr>
            </w:pPr>
          </w:p>
        </w:tc>
        <w:tc>
          <w:tcPr>
            <w:tcW w:w="3040" w:type="dxa"/>
            <w:vAlign w:val="bottom"/>
            <w:tcBorders>
              <w:top w:val="single" w:sz="8" w:color="auto"/>
              <w:bottom w:val="single" w:sz="8" w:color="auto"/>
            </w:tcBorders>
          </w:tcPr>
          <w:p>
            <w:pPr>
              <w:spacing w:after="0"/>
              <w:rPr>
                <w:sz w:val="10"/>
                <w:szCs w:val="10"/>
                <w:color w:val="auto"/>
              </w:rPr>
            </w:pPr>
          </w:p>
        </w:tc>
        <w:tc>
          <w:tcPr>
            <w:tcW w:w="138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gridSpan w:val="8"/>
          </w:tcPr>
          <w:p>
            <w:pPr>
              <w:jc w:val="center"/>
              <w:ind w:right="440"/>
              <w:spacing w:after="0" w:line="124" w:lineRule="exact"/>
              <w:rPr>
                <w:sz w:val="20"/>
                <w:szCs w:val="20"/>
                <w:color w:val="auto"/>
              </w:rPr>
            </w:pPr>
            <w:r>
              <w:rPr>
                <w:rFonts w:ascii="Arial" w:cs="Arial" w:eastAsia="Arial" w:hAnsi="Arial"/>
                <w:sz w:val="12"/>
                <w:szCs w:val="12"/>
                <w:b w:val="1"/>
                <w:bCs w:val="1"/>
                <w:color w:val="auto"/>
                <w:w w:val="98"/>
              </w:rPr>
              <w:t>(US$’000)</w:t>
            </w: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3060" w:type="dxa"/>
            <w:vAlign w:val="bottom"/>
            <w:gridSpan w:val="2"/>
            <w:shd w:val="clear" w:color="auto" w:fill="CCEEFF"/>
          </w:tcPr>
          <w:p>
            <w:pPr>
              <w:ind w:left="20"/>
              <w:spacing w:after="0" w:line="124" w:lineRule="exact"/>
              <w:rPr>
                <w:sz w:val="20"/>
                <w:szCs w:val="20"/>
                <w:color w:val="auto"/>
              </w:rPr>
            </w:pPr>
            <w:r>
              <w:rPr>
                <w:rFonts w:ascii="Arial" w:cs="Arial" w:eastAsia="Arial" w:hAnsi="Arial"/>
                <w:sz w:val="12"/>
                <w:szCs w:val="12"/>
                <w:color w:val="auto"/>
              </w:rPr>
              <w:t>BPO Solutions, Inc.</w:t>
            </w:r>
          </w:p>
        </w:tc>
        <w:tc>
          <w:tcPr>
            <w:tcW w:w="1380" w:type="dxa"/>
            <w:vAlign w:val="bottom"/>
            <w:shd w:val="clear" w:color="auto" w:fill="CCEEFF"/>
          </w:tcPr>
          <w:p>
            <w:pPr>
              <w:jc w:val="center"/>
              <w:ind w:left="361"/>
              <w:spacing w:after="0" w:line="124" w:lineRule="exact"/>
              <w:rPr>
                <w:sz w:val="20"/>
                <w:szCs w:val="20"/>
                <w:color w:val="auto"/>
              </w:rPr>
            </w:pPr>
            <w:r>
              <w:rPr>
                <w:rFonts w:ascii="Arial" w:cs="Arial" w:eastAsia="Arial" w:hAnsi="Arial"/>
                <w:sz w:val="12"/>
                <w:szCs w:val="12"/>
                <w:i w:val="1"/>
                <w:iCs w:val="1"/>
                <w:color w:val="auto"/>
              </w:rPr>
              <w:t>23.1</w:t>
            </w:r>
          </w:p>
        </w:tc>
        <w:tc>
          <w:tcPr>
            <w:tcW w:w="1220" w:type="dxa"/>
            <w:vAlign w:val="bottom"/>
            <w:shd w:val="clear" w:color="auto" w:fill="CCEEFF"/>
          </w:tcPr>
          <w:p>
            <w:pPr>
              <w:jc w:val="center"/>
              <w:ind w:left="41"/>
              <w:spacing w:after="0" w:line="124" w:lineRule="exact"/>
              <w:rPr>
                <w:sz w:val="20"/>
                <w:szCs w:val="20"/>
                <w:color w:val="auto"/>
              </w:rPr>
            </w:pPr>
            <w:r>
              <w:rPr>
                <w:rFonts w:ascii="Arial" w:cs="Arial" w:eastAsia="Arial" w:hAnsi="Arial"/>
                <w:sz w:val="12"/>
                <w:szCs w:val="12"/>
                <w:color w:val="auto"/>
                <w:w w:val="98"/>
              </w:rPr>
              <w:t>Related entity</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gridSpan w:val="4"/>
            <w:shd w:val="clear" w:color="auto" w:fill="CCEEFF"/>
          </w:tcPr>
          <w:p>
            <w:pPr>
              <w:jc w:val="right"/>
              <w:ind w:right="240"/>
              <w:spacing w:after="0" w:line="12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ind w:right="200"/>
              <w:spacing w:after="0" w:line="124"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3,610</w:t>
            </w:r>
          </w:p>
        </w:tc>
        <w:tc>
          <w:tcPr>
            <w:tcW w:w="20" w:type="dxa"/>
            <w:vAlign w:val="bottom"/>
          </w:tcPr>
          <w:p>
            <w:pPr>
              <w:spacing w:after="0"/>
              <w:rPr>
                <w:sz w:val="10"/>
                <w:szCs w:val="10"/>
                <w:color w:val="auto"/>
              </w:rPr>
            </w:pPr>
          </w:p>
        </w:tc>
      </w:tr>
      <w:tr>
        <w:trPr>
          <w:trHeight w:val="133"/>
        </w:trPr>
        <w:tc>
          <w:tcPr>
            <w:tcW w:w="30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Alert Communications, Inc.</w:t>
            </w:r>
          </w:p>
        </w:tc>
        <w:tc>
          <w:tcPr>
            <w:tcW w:w="1380" w:type="dxa"/>
            <w:vAlign w:val="bottom"/>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86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113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3"/>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2"/>
                <w:szCs w:val="12"/>
                <w:color w:val="auto"/>
              </w:rPr>
              <w:t>696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3"/>
        </w:trPr>
        <w:tc>
          <w:tcPr>
            <w:tcW w:w="30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TRG Marketing Services, Inc.</w:t>
            </w:r>
          </w:p>
        </w:tc>
        <w:tc>
          <w:tcPr>
            <w:tcW w:w="1380" w:type="dxa"/>
            <w:vAlign w:val="bottom"/>
            <w:shd w:val="clear" w:color="auto" w:fill="CCEEFF"/>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shd w:val="clear" w:color="auto" w:fill="CCEEFF"/>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3"/>
        </w:trPr>
        <w:tc>
          <w:tcPr>
            <w:tcW w:w="30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Afiniti International Holdings Limited</w:t>
            </w:r>
          </w:p>
        </w:tc>
        <w:tc>
          <w:tcPr>
            <w:tcW w:w="1380" w:type="dxa"/>
            <w:vAlign w:val="bottom"/>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86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56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gridSpan w:val="4"/>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168</w:t>
            </w:r>
          </w:p>
        </w:tc>
        <w:tc>
          <w:tcPr>
            <w:tcW w:w="20" w:type="dxa"/>
            <w:vAlign w:val="bottom"/>
          </w:tcPr>
          <w:p>
            <w:pPr>
              <w:spacing w:after="0"/>
              <w:rPr>
                <w:sz w:val="11"/>
                <w:szCs w:val="11"/>
                <w:color w:val="auto"/>
              </w:rPr>
            </w:pPr>
          </w:p>
        </w:tc>
      </w:tr>
      <w:tr>
        <w:trPr>
          <w:trHeight w:val="133"/>
        </w:trPr>
        <w:tc>
          <w:tcPr>
            <w:tcW w:w="30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TRG Holdings, LLC</w:t>
            </w:r>
          </w:p>
        </w:tc>
        <w:tc>
          <w:tcPr>
            <w:tcW w:w="1380" w:type="dxa"/>
            <w:vAlign w:val="bottom"/>
            <w:shd w:val="clear" w:color="auto" w:fill="CCEEFF"/>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shd w:val="clear" w:color="auto" w:fill="CCEEFF"/>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1"/>
                <w:szCs w:val="11"/>
                <w:color w:val="auto"/>
              </w:rPr>
            </w:pPr>
          </w:p>
        </w:tc>
        <w:tc>
          <w:tcPr>
            <w:tcW w:w="380" w:type="dxa"/>
            <w:vAlign w:val="bottom"/>
            <w:gridSpan w:val="4"/>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122</w:t>
            </w:r>
          </w:p>
        </w:tc>
        <w:tc>
          <w:tcPr>
            <w:tcW w:w="20" w:type="dxa"/>
            <w:vAlign w:val="bottom"/>
          </w:tcPr>
          <w:p>
            <w:pPr>
              <w:spacing w:after="0"/>
              <w:rPr>
                <w:sz w:val="11"/>
                <w:szCs w:val="11"/>
                <w:color w:val="auto"/>
              </w:rPr>
            </w:pPr>
          </w:p>
        </w:tc>
      </w:tr>
      <w:tr>
        <w:trPr>
          <w:trHeight w:val="133"/>
        </w:trPr>
        <w:tc>
          <w:tcPr>
            <w:tcW w:w="30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The Resource Group International Limited</w:t>
            </w:r>
          </w:p>
        </w:tc>
        <w:tc>
          <w:tcPr>
            <w:tcW w:w="1380" w:type="dxa"/>
            <w:vAlign w:val="bottom"/>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tcPr>
          <w:p>
            <w:pPr>
              <w:jc w:val="center"/>
              <w:ind w:left="61"/>
              <w:spacing w:after="0" w:line="133" w:lineRule="exact"/>
              <w:rPr>
                <w:sz w:val="20"/>
                <w:szCs w:val="20"/>
                <w:color w:val="auto"/>
              </w:rPr>
            </w:pPr>
            <w:r>
              <w:rPr>
                <w:rFonts w:ascii="Arial" w:cs="Arial" w:eastAsia="Arial" w:hAnsi="Arial"/>
                <w:sz w:val="12"/>
                <w:szCs w:val="12"/>
                <w:color w:val="auto"/>
                <w:w w:val="96"/>
              </w:rPr>
              <w:t>Parent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480" w:type="dxa"/>
            <w:vAlign w:val="bottom"/>
            <w:gridSpan w:val="3"/>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2"/>
                <w:szCs w:val="12"/>
                <w:color w:val="auto"/>
              </w:rPr>
              <w:t>163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3"/>
        </w:trPr>
        <w:tc>
          <w:tcPr>
            <w:tcW w:w="30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Vendors with common directors</w:t>
            </w:r>
          </w:p>
        </w:tc>
        <w:tc>
          <w:tcPr>
            <w:tcW w:w="1380" w:type="dxa"/>
            <w:vAlign w:val="bottom"/>
            <w:shd w:val="clear" w:color="auto" w:fill="CCEEFF"/>
          </w:tcPr>
          <w:p>
            <w:pPr>
              <w:jc w:val="center"/>
              <w:ind w:left="361"/>
              <w:spacing w:after="0" w:line="133" w:lineRule="exact"/>
              <w:rPr>
                <w:sz w:val="20"/>
                <w:szCs w:val="20"/>
                <w:color w:val="auto"/>
              </w:rPr>
            </w:pPr>
            <w:r>
              <w:rPr>
                <w:rFonts w:ascii="Arial" w:cs="Arial" w:eastAsia="Arial" w:hAnsi="Arial"/>
                <w:sz w:val="12"/>
                <w:szCs w:val="12"/>
                <w:i w:val="1"/>
                <w:iCs w:val="1"/>
                <w:color w:val="auto"/>
                <w:w w:val="97"/>
              </w:rPr>
              <w:t>23.2 &amp; 23.3</w:t>
            </w:r>
          </w:p>
        </w:tc>
        <w:tc>
          <w:tcPr>
            <w:tcW w:w="1220" w:type="dxa"/>
            <w:vAlign w:val="bottom"/>
            <w:shd w:val="clear" w:color="auto" w:fill="CCEEFF"/>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8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201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405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87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97</w:t>
            </w:r>
          </w:p>
        </w:tc>
        <w:tc>
          <w:tcPr>
            <w:tcW w:w="20" w:type="dxa"/>
            <w:vAlign w:val="bottom"/>
          </w:tcPr>
          <w:p>
            <w:pPr>
              <w:spacing w:after="0"/>
              <w:rPr>
                <w:sz w:val="11"/>
                <w:szCs w:val="11"/>
                <w:color w:val="auto"/>
              </w:rPr>
            </w:pPr>
          </w:p>
        </w:tc>
      </w:tr>
      <w:tr>
        <w:trPr>
          <w:trHeight w:val="133"/>
        </w:trPr>
        <w:tc>
          <w:tcPr>
            <w:tcW w:w="30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3rd Party Client and Internet Services Provider</w:t>
            </w:r>
          </w:p>
        </w:tc>
        <w:tc>
          <w:tcPr>
            <w:tcW w:w="1380" w:type="dxa"/>
            <w:vAlign w:val="bottom"/>
          </w:tcPr>
          <w:p>
            <w:pPr>
              <w:jc w:val="center"/>
              <w:ind w:left="361"/>
              <w:spacing w:after="0" w:line="133" w:lineRule="exact"/>
              <w:rPr>
                <w:sz w:val="20"/>
                <w:szCs w:val="20"/>
                <w:color w:val="auto"/>
              </w:rPr>
            </w:pPr>
            <w:r>
              <w:rPr>
                <w:rFonts w:ascii="Arial" w:cs="Arial" w:eastAsia="Arial" w:hAnsi="Arial"/>
                <w:sz w:val="12"/>
                <w:szCs w:val="12"/>
                <w:i w:val="1"/>
                <w:iCs w:val="1"/>
                <w:color w:val="auto"/>
              </w:rPr>
              <w:t>23.3</w:t>
            </w:r>
          </w:p>
        </w:tc>
        <w:tc>
          <w:tcPr>
            <w:tcW w:w="1220" w:type="dxa"/>
            <w:vAlign w:val="bottom"/>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86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679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2"/>
                <w:szCs w:val="12"/>
                <w:color w:val="auto"/>
              </w:rPr>
              <w:t>638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278</w:t>
            </w:r>
          </w:p>
        </w:tc>
        <w:tc>
          <w:tcPr>
            <w:tcW w:w="20" w:type="dxa"/>
            <w:vAlign w:val="bottom"/>
          </w:tcPr>
          <w:p>
            <w:pPr>
              <w:spacing w:after="0"/>
              <w:rPr>
                <w:sz w:val="11"/>
                <w:szCs w:val="11"/>
                <w:color w:val="auto"/>
              </w:rPr>
            </w:pPr>
          </w:p>
        </w:tc>
      </w:tr>
      <w:tr>
        <w:trPr>
          <w:trHeight w:val="133"/>
        </w:trPr>
        <w:tc>
          <w:tcPr>
            <w:tcW w:w="30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IBEX Limited Executive Leadership</w:t>
            </w:r>
          </w:p>
        </w:tc>
        <w:tc>
          <w:tcPr>
            <w:tcW w:w="1380" w:type="dxa"/>
            <w:vAlign w:val="bottom"/>
            <w:shd w:val="clear" w:color="auto" w:fill="CCEEFF"/>
          </w:tcPr>
          <w:p>
            <w:pPr>
              <w:jc w:val="center"/>
              <w:ind w:left="361"/>
              <w:spacing w:after="0" w:line="133" w:lineRule="exact"/>
              <w:rPr>
                <w:sz w:val="20"/>
                <w:szCs w:val="20"/>
                <w:color w:val="auto"/>
              </w:rPr>
            </w:pPr>
            <w:r>
              <w:rPr>
                <w:rFonts w:ascii="Arial" w:cs="Arial" w:eastAsia="Arial" w:hAnsi="Arial"/>
                <w:sz w:val="12"/>
                <w:szCs w:val="12"/>
                <w:i w:val="1"/>
                <w:iCs w:val="1"/>
                <w:color w:val="auto"/>
              </w:rPr>
              <w:t>23.4</w:t>
            </w:r>
          </w:p>
        </w:tc>
        <w:tc>
          <w:tcPr>
            <w:tcW w:w="1220" w:type="dxa"/>
            <w:vAlign w:val="bottom"/>
            <w:shd w:val="clear" w:color="auto" w:fill="CCEEFF"/>
          </w:tcPr>
          <w:p>
            <w:pPr>
              <w:jc w:val="center"/>
              <w:ind w:left="61"/>
              <w:spacing w:after="0" w:line="133" w:lineRule="exact"/>
              <w:rPr>
                <w:sz w:val="20"/>
                <w:szCs w:val="20"/>
                <w:color w:val="auto"/>
              </w:rPr>
            </w:pPr>
            <w:r>
              <w:rPr>
                <w:rFonts w:ascii="Arial" w:cs="Arial" w:eastAsia="Arial" w:hAnsi="Arial"/>
                <w:sz w:val="12"/>
                <w:szCs w:val="12"/>
                <w:color w:val="auto"/>
              </w:rPr>
              <w:t>Officers</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gridSpan w:val="4"/>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3"/>
        </w:trPr>
        <w:tc>
          <w:tcPr>
            <w:tcW w:w="30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TRG (Private) Limited</w:t>
            </w:r>
          </w:p>
        </w:tc>
        <w:tc>
          <w:tcPr>
            <w:tcW w:w="1380" w:type="dxa"/>
            <w:vAlign w:val="bottom"/>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480" w:type="dxa"/>
            <w:vAlign w:val="bottom"/>
            <w:gridSpan w:val="3"/>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20"/>
              <w:spacing w:after="0" w:line="133" w:lineRule="exact"/>
              <w:rPr>
                <w:sz w:val="20"/>
                <w:szCs w:val="20"/>
                <w:color w:val="auto"/>
              </w:rPr>
            </w:pPr>
            <w:r>
              <w:rPr>
                <w:rFonts w:ascii="Arial" w:cs="Arial" w:eastAsia="Arial" w:hAnsi="Arial"/>
                <w:sz w:val="12"/>
                <w:szCs w:val="12"/>
                <w:color w:val="auto"/>
              </w:rPr>
              <w:t>121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3"/>
        </w:trPr>
        <w:tc>
          <w:tcPr>
            <w:tcW w:w="30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Etelequote</w:t>
            </w:r>
          </w:p>
        </w:tc>
        <w:tc>
          <w:tcPr>
            <w:tcW w:w="1380" w:type="dxa"/>
            <w:vAlign w:val="bottom"/>
            <w:shd w:val="clear" w:color="auto" w:fill="CCEEFF"/>
          </w:tcPr>
          <w:p>
            <w:pPr>
              <w:jc w:val="center"/>
              <w:ind w:left="361"/>
              <w:spacing w:after="0" w:line="133" w:lineRule="exact"/>
              <w:rPr>
                <w:sz w:val="20"/>
                <w:szCs w:val="20"/>
                <w:color w:val="auto"/>
              </w:rPr>
            </w:pPr>
            <w:r>
              <w:rPr>
                <w:rFonts w:ascii="Arial" w:cs="Arial" w:eastAsia="Arial" w:hAnsi="Arial"/>
                <w:sz w:val="12"/>
                <w:szCs w:val="12"/>
                <w:i w:val="1"/>
                <w:iCs w:val="1"/>
                <w:color w:val="auto"/>
              </w:rPr>
              <w:t>23.1</w:t>
            </w:r>
          </w:p>
        </w:tc>
        <w:tc>
          <w:tcPr>
            <w:tcW w:w="1220" w:type="dxa"/>
            <w:vAlign w:val="bottom"/>
            <w:shd w:val="clear" w:color="auto" w:fill="CCEEFF"/>
          </w:tcPr>
          <w:p>
            <w:pPr>
              <w:jc w:val="center"/>
              <w:ind w:left="41"/>
              <w:spacing w:after="0" w:line="133" w:lineRule="exact"/>
              <w:rPr>
                <w:sz w:val="20"/>
                <w:szCs w:val="20"/>
                <w:color w:val="auto"/>
              </w:rPr>
            </w:pPr>
            <w:r>
              <w:rPr>
                <w:rFonts w:ascii="Arial" w:cs="Arial" w:eastAsia="Arial" w:hAnsi="Arial"/>
                <w:sz w:val="12"/>
                <w:szCs w:val="12"/>
                <w:color w:val="auto"/>
                <w:w w:val="98"/>
              </w:rPr>
              <w:t>Related entity</w:t>
            </w:r>
          </w:p>
        </w:tc>
        <w:tc>
          <w:tcPr>
            <w:tcW w:w="8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115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b w:val="1"/>
                <w:bCs w:val="1"/>
                <w:color w:val="auto"/>
              </w:rPr>
              <w:t>1,164</w:t>
            </w:r>
          </w:p>
        </w:tc>
        <w:tc>
          <w:tcPr>
            <w:tcW w:w="14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b w:val="1"/>
                <w:bCs w:val="1"/>
                <w:color w:val="auto"/>
              </w:rPr>
              <w:t>509</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gridSpan w:val="3"/>
          </w:tcPr>
          <w:p>
            <w:pPr>
              <w:jc w:val="right"/>
              <w:ind w:right="20"/>
              <w:spacing w:after="0" w:line="124" w:lineRule="exact"/>
              <w:rPr>
                <w:sz w:val="20"/>
                <w:szCs w:val="20"/>
                <w:color w:val="auto"/>
              </w:rPr>
            </w:pPr>
            <w:r>
              <w:rPr>
                <w:rFonts w:ascii="Arial" w:cs="Arial" w:eastAsia="Arial" w:hAnsi="Arial"/>
                <w:sz w:val="12"/>
                <w:szCs w:val="12"/>
                <w:b w:val="1"/>
                <w:bCs w:val="1"/>
                <w:color w:val="auto"/>
              </w:rPr>
              <w:t>1,755</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b w:val="1"/>
                <w:bCs w:val="1"/>
                <w:color w:val="auto"/>
              </w:rPr>
              <w:t>4,275</w:t>
            </w:r>
          </w:p>
        </w:tc>
        <w:tc>
          <w:tcPr>
            <w:tcW w:w="20" w:type="dxa"/>
            <w:vAlign w:val="bottom"/>
          </w:tcPr>
          <w:p>
            <w:pPr>
              <w:spacing w:after="0"/>
              <w:rPr>
                <w:sz w:val="14"/>
                <w:szCs w:val="14"/>
                <w:color w:val="auto"/>
              </w:rPr>
            </w:pPr>
          </w:p>
        </w:tc>
      </w:tr>
      <w:tr>
        <w:trPr>
          <w:trHeight w:val="117"/>
        </w:trPr>
        <w:tc>
          <w:tcPr>
            <w:tcW w:w="20" w:type="dxa"/>
            <w:vAlign w:val="bottom"/>
            <w:tcBorders>
              <w:bottom w:val="single" w:sz="8" w:color="auto"/>
            </w:tcBorders>
            <w:shd w:val="clear" w:color="auto" w:fill="CCEEFF"/>
          </w:tcPr>
          <w:p>
            <w:pPr>
              <w:spacing w:after="0"/>
              <w:rPr>
                <w:sz w:val="10"/>
                <w:szCs w:val="10"/>
                <w:color w:val="auto"/>
              </w:rPr>
            </w:pPr>
          </w:p>
        </w:tc>
        <w:tc>
          <w:tcPr>
            <w:tcW w:w="30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9"/>
          </w:tcPr>
          <w:p>
            <w:pPr>
              <w:spacing w:after="0"/>
              <w:rPr>
                <w:sz w:val="14"/>
                <w:szCs w:val="14"/>
                <w:color w:val="auto"/>
              </w:rPr>
            </w:pPr>
          </w:p>
        </w:tc>
      </w:tr>
      <w:tr>
        <w:trPr>
          <w:trHeight w:val="124"/>
        </w:trPr>
        <w:tc>
          <w:tcPr>
            <w:tcW w:w="20" w:type="dxa"/>
            <w:vAlign w:val="bottom"/>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9"/>
          </w:tcPr>
          <w:p>
            <w:pPr>
              <w:jc w:val="center"/>
              <w:ind w:right="480"/>
              <w:spacing w:after="0" w:line="124" w:lineRule="exact"/>
              <w:rPr>
                <w:sz w:val="20"/>
                <w:szCs w:val="20"/>
                <w:color w:val="auto"/>
              </w:rPr>
            </w:pPr>
            <w:r>
              <w:rPr>
                <w:rFonts w:ascii="Arial" w:cs="Arial" w:eastAsia="Arial" w:hAnsi="Arial"/>
                <w:sz w:val="12"/>
                <w:szCs w:val="12"/>
                <w:b w:val="1"/>
                <w:bCs w:val="1"/>
                <w:color w:val="auto"/>
                <w:w w:val="97"/>
              </w:rPr>
              <w:t>June 30, 2020</w:t>
            </w:r>
          </w:p>
        </w:tc>
      </w:tr>
      <w:tr>
        <w:trPr>
          <w:trHeight w:val="127"/>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8"/>
          </w:tcPr>
          <w:p>
            <w:pPr>
              <w:jc w:val="center"/>
              <w:ind w:right="400"/>
              <w:spacing w:after="0" w:line="127" w:lineRule="exact"/>
              <w:rPr>
                <w:sz w:val="20"/>
                <w:szCs w:val="20"/>
                <w:color w:val="auto"/>
              </w:rPr>
            </w:pPr>
            <w:r>
              <w:rPr>
                <w:rFonts w:ascii="Arial" w:cs="Arial" w:eastAsia="Arial" w:hAnsi="Arial"/>
                <w:sz w:val="12"/>
                <w:szCs w:val="12"/>
                <w:b w:val="1"/>
                <w:bCs w:val="1"/>
                <w:color w:val="auto"/>
                <w:w w:val="98"/>
              </w:rPr>
              <w:t>Service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ind w:right="240"/>
              <w:spacing w:after="0" w:line="127" w:lineRule="exact"/>
              <w:rPr>
                <w:sz w:val="20"/>
                <w:szCs w:val="20"/>
                <w:color w:val="auto"/>
              </w:rPr>
            </w:pPr>
            <w:r>
              <w:rPr>
                <w:rFonts w:ascii="Arial" w:cs="Arial" w:eastAsia="Arial" w:hAnsi="Arial"/>
                <w:sz w:val="12"/>
                <w:szCs w:val="12"/>
                <w:b w:val="1"/>
                <w:bCs w:val="1"/>
                <w:color w:val="auto"/>
                <w:w w:val="98"/>
              </w:rPr>
              <w:t>Service</w:t>
            </w:r>
          </w:p>
        </w:tc>
      </w:tr>
      <w:tr>
        <w:trPr>
          <w:trHeight w:val="133"/>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w w:val="98"/>
              </w:rPr>
              <w:t>Relationship with</w:t>
            </w:r>
          </w:p>
        </w:tc>
        <w:tc>
          <w:tcPr>
            <w:tcW w:w="280" w:type="dxa"/>
            <w:vAlign w:val="bottom"/>
          </w:tcPr>
          <w:p>
            <w:pPr>
              <w:spacing w:after="0"/>
              <w:rPr>
                <w:sz w:val="11"/>
                <w:szCs w:val="11"/>
                <w:color w:val="auto"/>
              </w:rPr>
            </w:pPr>
          </w:p>
        </w:tc>
        <w:tc>
          <w:tcPr>
            <w:tcW w:w="1260" w:type="dxa"/>
            <w:vAlign w:val="bottom"/>
            <w:gridSpan w:val="8"/>
          </w:tcPr>
          <w:p>
            <w:pPr>
              <w:jc w:val="center"/>
              <w:ind w:right="380"/>
              <w:spacing w:after="0" w:line="133" w:lineRule="exact"/>
              <w:rPr>
                <w:sz w:val="20"/>
                <w:szCs w:val="20"/>
                <w:color w:val="auto"/>
              </w:rPr>
            </w:pPr>
            <w:r>
              <w:rPr>
                <w:rFonts w:ascii="Arial" w:cs="Arial" w:eastAsia="Arial" w:hAnsi="Arial"/>
                <w:sz w:val="12"/>
                <w:szCs w:val="12"/>
                <w:b w:val="1"/>
                <w:bCs w:val="1"/>
                <w:color w:val="auto"/>
                <w:w w:val="96"/>
              </w:rPr>
              <w:t>delivery</w:t>
            </w:r>
          </w:p>
        </w:tc>
        <w:tc>
          <w:tcPr>
            <w:tcW w:w="700" w:type="dxa"/>
            <w:vAlign w:val="bottom"/>
            <w:gridSpan w:val="4"/>
          </w:tcPr>
          <w:p>
            <w:pPr>
              <w:jc w:val="center"/>
              <w:ind w:right="220"/>
              <w:spacing w:after="0" w:line="133" w:lineRule="exact"/>
              <w:rPr>
                <w:sz w:val="20"/>
                <w:szCs w:val="20"/>
                <w:color w:val="auto"/>
              </w:rPr>
            </w:pPr>
            <w:r>
              <w:rPr>
                <w:rFonts w:ascii="Arial" w:cs="Arial" w:eastAsia="Arial" w:hAnsi="Arial"/>
                <w:sz w:val="12"/>
                <w:szCs w:val="12"/>
                <w:b w:val="1"/>
                <w:bCs w:val="1"/>
                <w:color w:val="auto"/>
                <w:w w:val="96"/>
              </w:rPr>
              <w:t>delivery</w:t>
            </w:r>
          </w:p>
        </w:tc>
      </w:tr>
      <w:tr>
        <w:trPr>
          <w:trHeight w:val="141"/>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i w:val="1"/>
                <w:iCs w:val="1"/>
                <w:color w:val="auto"/>
              </w:rPr>
              <w:t>Note</w:t>
            </w:r>
          </w:p>
        </w:tc>
        <w:tc>
          <w:tcPr>
            <w:tcW w:w="10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7"/>
              </w:rPr>
              <w:t>related party</w:t>
            </w: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2"/>
                <w:szCs w:val="12"/>
                <w:b w:val="1"/>
                <w:bCs w:val="1"/>
                <w:color w:val="auto"/>
                <w:w w:val="95"/>
              </w:rPr>
              <w:t>revenue</w:t>
            </w:r>
          </w:p>
        </w:tc>
        <w:tc>
          <w:tcPr>
            <w:tcW w:w="7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2"/>
                <w:szCs w:val="12"/>
                <w:b w:val="1"/>
                <w:bCs w:val="1"/>
                <w:color w:val="auto"/>
                <w:w w:val="99"/>
              </w:rPr>
              <w:t>expense</w:t>
            </w:r>
          </w:p>
        </w:tc>
      </w:tr>
      <w:tr>
        <w:trPr>
          <w:trHeight w:val="124"/>
        </w:trPr>
        <w:tc>
          <w:tcPr>
            <w:tcW w:w="20" w:type="dxa"/>
            <w:vAlign w:val="bottom"/>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5"/>
          </w:tcPr>
          <w:p>
            <w:pPr>
              <w:jc w:val="center"/>
              <w:ind w:left="141"/>
              <w:spacing w:after="0" w:line="124" w:lineRule="exact"/>
              <w:rPr>
                <w:sz w:val="20"/>
                <w:szCs w:val="20"/>
                <w:color w:val="auto"/>
              </w:rPr>
            </w:pPr>
            <w:r>
              <w:rPr>
                <w:rFonts w:ascii="Arial" w:cs="Arial" w:eastAsia="Arial" w:hAnsi="Arial"/>
                <w:sz w:val="12"/>
                <w:szCs w:val="12"/>
                <w:b w:val="1"/>
                <w:bCs w:val="1"/>
                <w:color w:val="auto"/>
                <w:w w:val="98"/>
              </w:rPr>
              <w:t>(US$’000)</w:t>
            </w: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3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Alert Communications, Inc.</w:t>
            </w:r>
          </w:p>
        </w:tc>
        <w:tc>
          <w:tcPr>
            <w:tcW w:w="13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ind w:right="101"/>
              <w:spacing w:after="0" w:line="124" w:lineRule="exact"/>
              <w:rPr>
                <w:sz w:val="20"/>
                <w:szCs w:val="20"/>
                <w:color w:val="auto"/>
              </w:rPr>
            </w:pPr>
            <w:r>
              <w:rPr>
                <w:rFonts w:ascii="Arial" w:cs="Arial" w:eastAsia="Arial" w:hAnsi="Arial"/>
                <w:sz w:val="12"/>
                <w:szCs w:val="12"/>
                <w:i w:val="1"/>
                <w:iCs w:val="1"/>
                <w:color w:val="auto"/>
                <w:w w:val="93"/>
              </w:rPr>
              <w:t>23.1</w:t>
            </w:r>
          </w:p>
        </w:tc>
        <w:tc>
          <w:tcPr>
            <w:tcW w:w="1060" w:type="dxa"/>
            <w:vAlign w:val="bottom"/>
            <w:gridSpan w:val="6"/>
            <w:shd w:val="clear" w:color="auto" w:fill="CCEEFF"/>
          </w:tcPr>
          <w:p>
            <w:pPr>
              <w:jc w:val="center"/>
              <w:spacing w:after="0" w:line="124" w:lineRule="exact"/>
              <w:rPr>
                <w:sz w:val="20"/>
                <w:szCs w:val="20"/>
                <w:color w:val="auto"/>
              </w:rPr>
            </w:pPr>
            <w:r>
              <w:rPr>
                <w:rFonts w:ascii="Arial" w:cs="Arial" w:eastAsia="Arial" w:hAnsi="Arial"/>
                <w:sz w:val="12"/>
                <w:szCs w:val="12"/>
                <w:color w:val="auto"/>
                <w:w w:val="98"/>
              </w:rPr>
              <w:t>Related entity</w:t>
            </w: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164</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r>
      <w:tr>
        <w:trPr>
          <w:trHeight w:val="133"/>
        </w:trPr>
        <w:tc>
          <w:tcPr>
            <w:tcW w:w="20" w:type="dxa"/>
            <w:vAlign w:val="bottom"/>
          </w:tcPr>
          <w:p>
            <w:pPr>
              <w:spacing w:after="0"/>
              <w:rPr>
                <w:sz w:val="11"/>
                <w:szCs w:val="11"/>
                <w:color w:val="auto"/>
              </w:rPr>
            </w:pPr>
          </w:p>
        </w:tc>
        <w:tc>
          <w:tcPr>
            <w:tcW w:w="3040" w:type="dxa"/>
            <w:vAlign w:val="bottom"/>
          </w:tcPr>
          <w:p>
            <w:pPr>
              <w:spacing w:after="0" w:line="133" w:lineRule="exact"/>
              <w:rPr>
                <w:sz w:val="20"/>
                <w:szCs w:val="20"/>
                <w:color w:val="auto"/>
              </w:rPr>
            </w:pPr>
            <w:r>
              <w:rPr>
                <w:rFonts w:ascii="Arial" w:cs="Arial" w:eastAsia="Arial" w:hAnsi="Arial"/>
                <w:sz w:val="12"/>
                <w:szCs w:val="12"/>
                <w:color w:val="auto"/>
              </w:rPr>
              <w:t>Afiniti International Holdings Limited</w:t>
            </w:r>
          </w:p>
        </w:tc>
        <w:tc>
          <w:tcPr>
            <w:tcW w:w="1380" w:type="dxa"/>
            <w:vAlign w:val="bottom"/>
          </w:tcPr>
          <w:p>
            <w:pPr>
              <w:spacing w:after="0"/>
              <w:rPr>
                <w:sz w:val="11"/>
                <w:szCs w:val="11"/>
                <w:color w:val="auto"/>
              </w:rPr>
            </w:pPr>
          </w:p>
        </w:tc>
        <w:tc>
          <w:tcPr>
            <w:tcW w:w="1220" w:type="dxa"/>
            <w:vAlign w:val="bottom"/>
          </w:tcPr>
          <w:p>
            <w:pPr>
              <w:jc w:val="center"/>
              <w:ind w:right="101"/>
              <w:spacing w:after="0" w:line="133" w:lineRule="exact"/>
              <w:rPr>
                <w:sz w:val="20"/>
                <w:szCs w:val="20"/>
                <w:color w:val="auto"/>
              </w:rPr>
            </w:pPr>
            <w:r>
              <w:rPr>
                <w:rFonts w:ascii="Arial" w:cs="Arial" w:eastAsia="Arial" w:hAnsi="Arial"/>
                <w:sz w:val="12"/>
                <w:szCs w:val="12"/>
                <w:i w:val="1"/>
                <w:iCs w:val="1"/>
                <w:color w:val="auto"/>
                <w:w w:val="93"/>
              </w:rPr>
              <w:t>23.1</w:t>
            </w:r>
          </w:p>
        </w:tc>
        <w:tc>
          <w:tcPr>
            <w:tcW w:w="1060" w:type="dxa"/>
            <w:vAlign w:val="bottom"/>
            <w:gridSpan w:val="6"/>
          </w:tcPr>
          <w:p>
            <w:pPr>
              <w:jc w:val="center"/>
              <w:spacing w:after="0" w:line="133" w:lineRule="exact"/>
              <w:rPr>
                <w:sz w:val="20"/>
                <w:szCs w:val="20"/>
                <w:color w:val="auto"/>
              </w:rPr>
            </w:pPr>
            <w:r>
              <w:rPr>
                <w:rFonts w:ascii="Arial" w:cs="Arial" w:eastAsia="Arial" w:hAnsi="Arial"/>
                <w:sz w:val="12"/>
                <w:szCs w:val="12"/>
                <w:color w:val="auto"/>
                <w:w w:val="98"/>
              </w:rPr>
              <w:t>Related entity</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color w:val="auto"/>
              </w:rPr>
              <w:t>53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48</w:t>
            </w: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Vendors with common directors</w:t>
            </w:r>
          </w:p>
        </w:tc>
        <w:tc>
          <w:tcPr>
            <w:tcW w:w="1380" w:type="dxa"/>
            <w:vAlign w:val="bottom"/>
            <w:shd w:val="clear" w:color="auto" w:fill="CCEEFF"/>
          </w:tcPr>
          <w:p>
            <w:pPr>
              <w:spacing w:after="0"/>
              <w:rPr>
                <w:sz w:val="11"/>
                <w:szCs w:val="11"/>
                <w:color w:val="auto"/>
              </w:rPr>
            </w:pPr>
          </w:p>
        </w:tc>
        <w:tc>
          <w:tcPr>
            <w:tcW w:w="1220" w:type="dxa"/>
            <w:vAlign w:val="bottom"/>
            <w:shd w:val="clear" w:color="auto" w:fill="CCEEFF"/>
          </w:tcPr>
          <w:p>
            <w:pPr>
              <w:jc w:val="center"/>
              <w:ind w:right="101"/>
              <w:spacing w:after="0" w:line="133" w:lineRule="exact"/>
              <w:rPr>
                <w:sz w:val="20"/>
                <w:szCs w:val="20"/>
                <w:color w:val="auto"/>
              </w:rPr>
            </w:pPr>
            <w:r>
              <w:rPr>
                <w:rFonts w:ascii="Arial" w:cs="Arial" w:eastAsia="Arial" w:hAnsi="Arial"/>
                <w:sz w:val="12"/>
                <w:szCs w:val="12"/>
                <w:i w:val="1"/>
                <w:iCs w:val="1"/>
                <w:color w:val="auto"/>
              </w:rPr>
              <w:t>23.2 &amp; 23.3</w:t>
            </w:r>
          </w:p>
        </w:tc>
        <w:tc>
          <w:tcPr>
            <w:tcW w:w="1060" w:type="dxa"/>
            <w:vAlign w:val="bottom"/>
            <w:gridSpan w:val="6"/>
            <w:shd w:val="clear" w:color="auto" w:fill="CCEEFF"/>
          </w:tcPr>
          <w:p>
            <w:pPr>
              <w:jc w:val="center"/>
              <w:spacing w:after="0" w:line="133" w:lineRule="exact"/>
              <w:rPr>
                <w:sz w:val="20"/>
                <w:szCs w:val="20"/>
                <w:color w:val="auto"/>
              </w:rPr>
            </w:pPr>
            <w:r>
              <w:rPr>
                <w:rFonts w:ascii="Arial" w:cs="Arial" w:eastAsia="Arial" w:hAnsi="Arial"/>
                <w:sz w:val="12"/>
                <w:szCs w:val="12"/>
                <w:color w:val="auto"/>
                <w:w w:val="98"/>
              </w:rPr>
              <w:t>Related entity</w:t>
            </w: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310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489</w:t>
            </w:r>
          </w:p>
        </w:tc>
        <w:tc>
          <w:tcPr>
            <w:tcW w:w="20" w:type="dxa"/>
            <w:vAlign w:val="bottom"/>
            <w:shd w:val="clear" w:color="auto" w:fill="CCEEFF"/>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040" w:type="dxa"/>
            <w:vAlign w:val="bottom"/>
          </w:tcPr>
          <w:p>
            <w:pPr>
              <w:spacing w:after="0" w:line="133" w:lineRule="exact"/>
              <w:rPr>
                <w:sz w:val="20"/>
                <w:szCs w:val="20"/>
                <w:color w:val="auto"/>
              </w:rPr>
            </w:pPr>
            <w:r>
              <w:rPr>
                <w:rFonts w:ascii="Arial" w:cs="Arial" w:eastAsia="Arial" w:hAnsi="Arial"/>
                <w:sz w:val="12"/>
                <w:szCs w:val="12"/>
                <w:color w:val="auto"/>
              </w:rPr>
              <w:t>3rd Party Client and Internet Services Provider</w:t>
            </w:r>
          </w:p>
        </w:tc>
        <w:tc>
          <w:tcPr>
            <w:tcW w:w="1380" w:type="dxa"/>
            <w:vAlign w:val="bottom"/>
          </w:tcPr>
          <w:p>
            <w:pPr>
              <w:spacing w:after="0"/>
              <w:rPr>
                <w:sz w:val="11"/>
                <w:szCs w:val="11"/>
                <w:color w:val="auto"/>
              </w:rPr>
            </w:pPr>
          </w:p>
        </w:tc>
        <w:tc>
          <w:tcPr>
            <w:tcW w:w="1220" w:type="dxa"/>
            <w:vAlign w:val="bottom"/>
          </w:tcPr>
          <w:p>
            <w:pPr>
              <w:jc w:val="center"/>
              <w:ind w:right="101"/>
              <w:spacing w:after="0" w:line="133" w:lineRule="exact"/>
              <w:rPr>
                <w:sz w:val="20"/>
                <w:szCs w:val="20"/>
                <w:color w:val="auto"/>
              </w:rPr>
            </w:pPr>
            <w:r>
              <w:rPr>
                <w:rFonts w:ascii="Arial" w:cs="Arial" w:eastAsia="Arial" w:hAnsi="Arial"/>
                <w:sz w:val="12"/>
                <w:szCs w:val="12"/>
                <w:i w:val="1"/>
                <w:iCs w:val="1"/>
                <w:color w:val="auto"/>
                <w:w w:val="93"/>
              </w:rPr>
              <w:t>23.3</w:t>
            </w:r>
          </w:p>
        </w:tc>
        <w:tc>
          <w:tcPr>
            <w:tcW w:w="1060" w:type="dxa"/>
            <w:vAlign w:val="bottom"/>
            <w:gridSpan w:val="6"/>
          </w:tcPr>
          <w:p>
            <w:pPr>
              <w:jc w:val="center"/>
              <w:spacing w:after="0" w:line="133" w:lineRule="exact"/>
              <w:rPr>
                <w:sz w:val="20"/>
                <w:szCs w:val="20"/>
                <w:color w:val="auto"/>
              </w:rPr>
            </w:pPr>
            <w:r>
              <w:rPr>
                <w:rFonts w:ascii="Arial" w:cs="Arial" w:eastAsia="Arial" w:hAnsi="Arial"/>
                <w:sz w:val="12"/>
                <w:szCs w:val="12"/>
                <w:color w:val="auto"/>
                <w:w w:val="98"/>
              </w:rPr>
              <w:t>Related entity</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color w:val="auto"/>
              </w:rPr>
              <w:t>764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spacing w:after="0" w:line="133" w:lineRule="exact"/>
              <w:rPr>
                <w:sz w:val="20"/>
                <w:szCs w:val="20"/>
                <w:color w:val="auto"/>
              </w:rPr>
            </w:pPr>
            <w:r>
              <w:rPr>
                <w:rFonts w:ascii="Arial" w:cs="Arial" w:eastAsia="Arial" w:hAnsi="Arial"/>
                <w:sz w:val="12"/>
                <w:szCs w:val="12"/>
                <w:color w:val="auto"/>
              </w:rPr>
              <w:t>73</w:t>
            </w: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Etelequote</w:t>
            </w:r>
          </w:p>
        </w:tc>
        <w:tc>
          <w:tcPr>
            <w:tcW w:w="1380" w:type="dxa"/>
            <w:vAlign w:val="bottom"/>
            <w:shd w:val="clear" w:color="auto" w:fill="CCEEFF"/>
          </w:tcPr>
          <w:p>
            <w:pPr>
              <w:spacing w:after="0"/>
              <w:rPr>
                <w:sz w:val="11"/>
                <w:szCs w:val="11"/>
                <w:color w:val="auto"/>
              </w:rPr>
            </w:pPr>
          </w:p>
        </w:tc>
        <w:tc>
          <w:tcPr>
            <w:tcW w:w="1220" w:type="dxa"/>
            <w:vAlign w:val="bottom"/>
            <w:shd w:val="clear" w:color="auto" w:fill="CCEEFF"/>
          </w:tcPr>
          <w:p>
            <w:pPr>
              <w:jc w:val="center"/>
              <w:ind w:right="101"/>
              <w:spacing w:after="0" w:line="133" w:lineRule="exact"/>
              <w:rPr>
                <w:sz w:val="20"/>
                <w:szCs w:val="20"/>
                <w:color w:val="auto"/>
              </w:rPr>
            </w:pPr>
            <w:r>
              <w:rPr>
                <w:rFonts w:ascii="Arial" w:cs="Arial" w:eastAsia="Arial" w:hAnsi="Arial"/>
                <w:sz w:val="12"/>
                <w:szCs w:val="12"/>
                <w:i w:val="1"/>
                <w:iCs w:val="1"/>
                <w:color w:val="auto"/>
                <w:w w:val="93"/>
              </w:rPr>
              <w:t>23.1</w:t>
            </w:r>
          </w:p>
        </w:tc>
        <w:tc>
          <w:tcPr>
            <w:tcW w:w="1060" w:type="dxa"/>
            <w:vAlign w:val="bottom"/>
            <w:gridSpan w:val="6"/>
            <w:shd w:val="clear" w:color="auto" w:fill="CCEEFF"/>
          </w:tcPr>
          <w:p>
            <w:pPr>
              <w:jc w:val="center"/>
              <w:spacing w:after="0" w:line="133" w:lineRule="exact"/>
              <w:rPr>
                <w:sz w:val="20"/>
                <w:szCs w:val="20"/>
                <w:color w:val="auto"/>
              </w:rPr>
            </w:pPr>
            <w:r>
              <w:rPr>
                <w:rFonts w:ascii="Arial" w:cs="Arial" w:eastAsia="Arial" w:hAnsi="Arial"/>
                <w:sz w:val="12"/>
                <w:szCs w:val="12"/>
                <w:color w:val="auto"/>
                <w:w w:val="98"/>
              </w:rPr>
              <w:t>Related entity</w:t>
            </w:r>
          </w:p>
        </w:tc>
        <w:tc>
          <w:tcPr>
            <w:tcW w:w="2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w:t>
            </w:r>
          </w:p>
        </w:tc>
        <w:tc>
          <w:tcPr>
            <w:tcW w:w="1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r>
      <w:tr>
        <w:trPr>
          <w:trHeight w:val="164"/>
        </w:trPr>
        <w:tc>
          <w:tcPr>
            <w:tcW w:w="20" w:type="dxa"/>
            <w:vAlign w:val="bottom"/>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1,325</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2"/>
                <w:szCs w:val="12"/>
                <w:b w:val="1"/>
                <w:bCs w:val="1"/>
                <w:color w:val="auto"/>
              </w:rPr>
              <w:t>610</w:t>
            </w:r>
          </w:p>
        </w:tc>
        <w:tc>
          <w:tcPr>
            <w:tcW w:w="20" w:type="dxa"/>
            <w:vAlign w:val="bottom"/>
            <w:tcBorders>
              <w:bottom w:val="single" w:sz="8" w:color="auto"/>
            </w:tcBorders>
          </w:tcPr>
          <w:p>
            <w:pPr>
              <w:spacing w:after="0"/>
              <w:rPr>
                <w:sz w:val="14"/>
                <w:szCs w:val="14"/>
                <w:color w:val="auto"/>
              </w:rPr>
            </w:pPr>
          </w:p>
        </w:tc>
      </w:tr>
      <w:tr>
        <w:trPr>
          <w:trHeight w:val="117"/>
        </w:trPr>
        <w:tc>
          <w:tcPr>
            <w:tcW w:w="20" w:type="dxa"/>
            <w:vAlign w:val="bottom"/>
          </w:tcPr>
          <w:p>
            <w:pPr>
              <w:spacing w:after="0"/>
              <w:rPr>
                <w:sz w:val="10"/>
                <w:szCs w:val="10"/>
                <w:color w:val="auto"/>
              </w:rPr>
            </w:pPr>
          </w:p>
        </w:tc>
        <w:tc>
          <w:tcPr>
            <w:tcW w:w="304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r>
    </w:tbl>
    <w:p>
      <w:pPr>
        <w:spacing w:after="0" w:line="151" w:lineRule="exact"/>
        <w:rPr>
          <w:sz w:val="20"/>
          <w:szCs w:val="20"/>
          <w:color w:val="auto"/>
        </w:rPr>
      </w:pPr>
    </w:p>
    <w:p>
      <w:pPr>
        <w:jc w:val="both"/>
        <w:ind w:left="40" w:right="39"/>
        <w:spacing w:after="0" w:line="295" w:lineRule="auto"/>
        <w:rPr>
          <w:sz w:val="20"/>
          <w:szCs w:val="20"/>
          <w:color w:val="auto"/>
        </w:rPr>
      </w:pPr>
      <w:r>
        <w:rPr>
          <w:rFonts w:ascii="Arial" w:cs="Arial" w:eastAsia="Arial" w:hAnsi="Arial"/>
          <w:sz w:val="14"/>
          <w:szCs w:val="14"/>
          <w:b w:val="1"/>
          <w:bCs w:val="1"/>
          <w:color w:val="auto"/>
        </w:rPr>
        <w:t xml:space="preserve">23.1. </w:t>
      </w:r>
      <w:r>
        <w:rPr>
          <w:rFonts w:ascii="Arial" w:cs="Arial" w:eastAsia="Arial" w:hAnsi="Arial"/>
          <w:sz w:val="14"/>
          <w:szCs w:val="14"/>
          <w:color w:val="auto"/>
        </w:rPr>
        <w:t>Service delivery revenue and expenses are incurred by the Group in the ordinary course of business. These transactions were</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on mutually agreed terms. These represent call center and back office support services provided to subsidiaries of the Group.</w:t>
      </w:r>
    </w:p>
    <w:p>
      <w:pPr>
        <w:spacing w:after="0" w:line="11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b w:val="1"/>
          <w:bCs w:val="1"/>
          <w:color w:val="auto"/>
        </w:rPr>
        <w:t xml:space="preserve">23.2. </w:t>
      </w:r>
      <w:r>
        <w:rPr>
          <w:rFonts w:ascii="Arial" w:cs="Arial" w:eastAsia="Arial" w:hAnsi="Arial"/>
          <w:sz w:val="15"/>
          <w:szCs w:val="15"/>
          <w:color w:val="auto"/>
        </w:rPr>
        <w:t>A senior executive within one of our vendors serves on the Board of our Controlling Shareholder. The Group maintains a client</w:t>
      </w:r>
      <w:r>
        <w:rPr>
          <w:rFonts w:ascii="Arial" w:cs="Arial" w:eastAsia="Arial" w:hAnsi="Arial"/>
          <w:sz w:val="15"/>
          <w:szCs w:val="15"/>
          <w:b w:val="1"/>
          <w:bCs w:val="1"/>
          <w:color w:val="auto"/>
        </w:rPr>
        <w:t xml:space="preserve"> </w:t>
      </w:r>
      <w:r>
        <w:rPr>
          <w:rFonts w:ascii="Arial" w:cs="Arial" w:eastAsia="Arial" w:hAnsi="Arial"/>
          <w:sz w:val="15"/>
          <w:szCs w:val="15"/>
          <w:color w:val="auto"/>
        </w:rPr>
        <w:t>relationship between Virtual World and the aforementioned company.</w:t>
      </w:r>
    </w:p>
    <w:p>
      <w:pPr>
        <w:spacing w:after="0" w:line="13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b w:val="1"/>
          <w:bCs w:val="1"/>
          <w:color w:val="auto"/>
        </w:rPr>
        <w:t xml:space="preserve">23.3. </w:t>
      </w:r>
      <w:r>
        <w:rPr>
          <w:rFonts w:ascii="Arial" w:cs="Arial" w:eastAsia="Arial" w:hAnsi="Arial"/>
          <w:sz w:val="15"/>
          <w:szCs w:val="15"/>
          <w:color w:val="auto"/>
        </w:rPr>
        <w:t>A senior executive within one of our vendors serves on the Board of our DGS Group. The Group maintains a lease on office</w:t>
      </w:r>
      <w:r>
        <w:rPr>
          <w:rFonts w:ascii="Arial" w:cs="Arial" w:eastAsia="Arial" w:hAnsi="Arial"/>
          <w:sz w:val="15"/>
          <w:szCs w:val="15"/>
          <w:b w:val="1"/>
          <w:bCs w:val="1"/>
          <w:color w:val="auto"/>
        </w:rPr>
        <w:t xml:space="preserve"> </w:t>
      </w:r>
      <w:r>
        <w:rPr>
          <w:rFonts w:ascii="Arial" w:cs="Arial" w:eastAsia="Arial" w:hAnsi="Arial"/>
          <w:sz w:val="15"/>
          <w:szCs w:val="15"/>
          <w:color w:val="auto"/>
        </w:rPr>
        <w:t>space with this Company.</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6" w:name="page197"/>
    <w:bookmarkEnd w:id="19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23.4.</w:t>
      </w:r>
      <w:r>
        <w:rPr>
          <w:sz w:val="20"/>
          <w:szCs w:val="20"/>
          <w:color w:val="auto"/>
        </w:rPr>
        <w:tab/>
      </w:r>
      <w:r>
        <w:rPr>
          <w:rFonts w:ascii="Arial" w:cs="Arial" w:eastAsia="Arial" w:hAnsi="Arial"/>
          <w:sz w:val="14"/>
          <w:szCs w:val="14"/>
          <w:color w:val="auto"/>
        </w:rPr>
        <w:t>Receivable from executive leadership represents the purchase of the shares through RSA (See Note 19.3).</w:t>
      </w:r>
    </w:p>
    <w:p>
      <w:pPr>
        <w:spacing w:after="0" w:line="170" w:lineRule="exact"/>
        <w:rPr>
          <w:sz w:val="20"/>
          <w:szCs w:val="20"/>
          <w:color w:val="auto"/>
        </w:rPr>
      </w:pPr>
    </w:p>
    <w:p>
      <w:pPr>
        <w:ind w:left="560" w:hanging="525"/>
        <w:spacing w:after="0"/>
        <w:tabs>
          <w:tab w:leader="none" w:pos="560" w:val="left"/>
        </w:tabs>
        <w:numPr>
          <w:ilvl w:val="0"/>
          <w:numId w:val="123"/>
        </w:numPr>
        <w:rPr>
          <w:rFonts w:ascii="Arial" w:cs="Arial" w:eastAsia="Arial" w:hAnsi="Arial"/>
          <w:sz w:val="15"/>
          <w:szCs w:val="15"/>
          <w:b w:val="1"/>
          <w:bCs w:val="1"/>
          <w:color w:val="auto"/>
        </w:rPr>
      </w:pPr>
      <w:r>
        <w:rPr>
          <w:rFonts w:ascii="Arial" w:cs="Arial" w:eastAsia="Arial" w:hAnsi="Arial"/>
          <w:sz w:val="15"/>
          <w:szCs w:val="15"/>
          <w:b w:val="1"/>
          <w:bCs w:val="1"/>
          <w:color w:val="auto"/>
        </w:rPr>
        <w:t>CAPITAL RISK MANAGEMENT</w:t>
      </w:r>
    </w:p>
    <w:p>
      <w:pPr>
        <w:spacing w:after="0" w:line="170"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Capital risk management is carried out by the Group’s management. The Group’s board of directors sets capital risk management policies and procedures to which our management is required to adhere. The Group’s management identifies and evaluates Capital risks and enters into agreements and explore avenues to mitigate these risk exposures in accordance with the policies and procedures outlined by the Group’s board of directors.</w:t>
      </w:r>
    </w:p>
    <w:p>
      <w:pPr>
        <w:spacing w:after="0" w:line="151"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The Group manages its capital to safeguard that the Group will be able to continue as a going concern. The capital structure of the Group consists of cash at bank and in hand and cash equivalents, borrowings, and preferred shares. In addition the Group’s capital structure includes equity attributed to the holders of equity instruments of the Holding Company, such as capital, reserves and results carried forward, as mentioned in the consolidated statement of changes in equity.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 has filed for government assistance in response to the Pandemic in US and Pakistan:</w:t>
      </w:r>
    </w:p>
    <w:p>
      <w:pPr>
        <w:spacing w:after="0" w:line="170" w:lineRule="exact"/>
        <w:rPr>
          <w:sz w:val="20"/>
          <w:szCs w:val="20"/>
          <w:color w:val="auto"/>
        </w:rPr>
      </w:pPr>
    </w:p>
    <w:p>
      <w:pPr>
        <w:jc w:val="both"/>
        <w:ind w:left="40" w:right="59"/>
        <w:spacing w:after="0"/>
        <w:rPr>
          <w:sz w:val="20"/>
          <w:szCs w:val="20"/>
          <w:color w:val="auto"/>
        </w:rPr>
      </w:pPr>
      <w:r>
        <w:rPr>
          <w:rFonts w:ascii="Arial" w:cs="Arial" w:eastAsia="Arial" w:hAnsi="Arial"/>
          <w:sz w:val="15"/>
          <w:szCs w:val="15"/>
          <w:color w:val="auto"/>
        </w:rPr>
        <w:t>In the US, one subsidiary of the Group has deferred the payment of Social Security (employer portion) from March 2020 - December 2020 amounting to $4.4 million. A payment of $2.6 million and $0.7 million was made in June 2022 and June 2021 respectively. The total amount deferred as of June 30, 2022 was $1.1 million (June 30, 2021: $3.7 million). Repayment amounting to $1.1 million is to be made through financial year 2023.</w:t>
      </w:r>
    </w:p>
    <w:p>
      <w:pPr>
        <w:spacing w:after="0" w:line="151"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In Pakistan, the Group (through its subsidiaries) applied for and received loans totaling approximately $1.7 million in July 2020 through programs offered by commercial banks at the directive of the State Bank of Pakistan. These funds are to be used to fund three-months of employee wages and salaries. The funds are to be repaid within two years. Refer to Note 13.1.4.</w:t>
      </w:r>
    </w:p>
    <w:p>
      <w:pPr>
        <w:spacing w:after="0" w:line="146" w:lineRule="exact"/>
        <w:rPr>
          <w:sz w:val="20"/>
          <w:szCs w:val="20"/>
          <w:color w:val="auto"/>
        </w:rPr>
      </w:pPr>
    </w:p>
    <w:p>
      <w:pPr>
        <w:jc w:val="center"/>
        <w:ind w:left="1480"/>
        <w:spacing w:after="0" w:line="254" w:lineRule="auto"/>
        <w:rPr>
          <w:sz w:val="20"/>
          <w:szCs w:val="20"/>
          <w:color w:val="auto"/>
        </w:rPr>
      </w:pPr>
      <w:r>
        <w:rPr>
          <w:rFonts w:ascii="Arial" w:cs="Arial" w:eastAsia="Arial" w:hAnsi="Arial"/>
          <w:sz w:val="14"/>
          <w:szCs w:val="14"/>
          <w:color w:val="auto"/>
        </w:rPr>
        <w:t>The Group manages its capital structure and makes the necessary adjustments in the light of changes of economic circumstances, the risk characteristics of underlying assets and the projected cash needs of the current and prospective operational / financing / investment activities. The adequacy of the Group’s capital structure will depend on many factors, including capital expenditures, market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developments and any future acquisition.</w:t>
      </w:r>
    </w:p>
    <w:p>
      <w:pPr>
        <w:spacing w:after="0" w:line="156"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The Group and its subsidiaries are not subject to any externally imposed capital requirements, other than those imposed by generally applicable company law requirements.</w:t>
      </w:r>
    </w:p>
    <w:p>
      <w:pPr>
        <w:spacing w:after="0" w:line="135"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color w:val="auto"/>
        </w:rPr>
        <w:t>In order to maintain or adjust the capital structure, the Holding Company may adjust the amount of dividends paid to shareholders, return capital to shareholders, issue new shares or sell assets to reduce debt.</w:t>
      </w:r>
    </w:p>
    <w:p>
      <w:pPr>
        <w:spacing w:after="0" w:line="135" w:lineRule="exact"/>
        <w:rPr>
          <w:sz w:val="20"/>
          <w:szCs w:val="20"/>
          <w:color w:val="auto"/>
        </w:rPr>
      </w:pPr>
    </w:p>
    <w:p>
      <w:pPr>
        <w:ind w:left="560" w:hanging="525"/>
        <w:spacing w:after="0"/>
        <w:tabs>
          <w:tab w:leader="none" w:pos="560"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w:t>
      </w:r>
    </w:p>
    <w:p>
      <w:pPr>
        <w:spacing w:after="0" w:line="170" w:lineRule="exact"/>
        <w:rPr>
          <w:sz w:val="20"/>
          <w:szCs w:val="20"/>
          <w:color w:val="auto"/>
        </w:rPr>
      </w:pPr>
    </w:p>
    <w:p>
      <w:pPr>
        <w:ind w:left="40" w:right="39"/>
        <w:spacing w:after="0" w:line="260" w:lineRule="auto"/>
        <w:rPr>
          <w:sz w:val="20"/>
          <w:szCs w:val="20"/>
          <w:color w:val="auto"/>
        </w:rPr>
      </w:pPr>
      <w:r>
        <w:rPr>
          <w:rFonts w:ascii="Arial" w:cs="Arial" w:eastAsia="Arial" w:hAnsi="Arial"/>
          <w:sz w:val="15"/>
          <w:szCs w:val="15"/>
          <w:color w:val="auto"/>
        </w:rPr>
        <w:t>The Chief Executive Officer (CEO), also the Chief Operating Decision Maker, reviews and analyses monthly / quarterly Group as one operating segment Business Process Outsource (BPO).</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7" w:name="page198"/>
    <w:bookmarkEnd w:id="19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25.1.</w:t>
      </w:r>
      <w:r>
        <w:rPr>
          <w:sz w:val="20"/>
          <w:szCs w:val="20"/>
          <w:color w:val="auto"/>
        </w:rPr>
        <w:tab/>
      </w:r>
      <w:r>
        <w:rPr>
          <w:rFonts w:ascii="Arial" w:cs="Arial" w:eastAsia="Arial" w:hAnsi="Arial"/>
          <w:sz w:val="14"/>
          <w:szCs w:val="14"/>
          <w:b w:val="1"/>
          <w:bCs w:val="1"/>
          <w:color w:val="auto"/>
        </w:rPr>
        <w:t>Revenue from contracts with customers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Group generates approximately 97% of its revenue from clients based in the United States of America.</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20" w:type="dxa"/>
            <w:vAlign w:val="bottom"/>
            <w:tcBorders>
              <w:top w:val="single" w:sz="8" w:color="auto"/>
            </w:tcBorders>
          </w:tcPr>
          <w:p>
            <w:pPr>
              <w:spacing w:after="0"/>
              <w:rPr>
                <w:sz w:val="11"/>
                <w:szCs w:val="11"/>
                <w:color w:val="auto"/>
              </w:rPr>
            </w:pPr>
          </w:p>
        </w:tc>
        <w:tc>
          <w:tcPr>
            <w:tcW w:w="6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June 30,</w:t>
            </w: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June 30,</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57"/>
              <w:spacing w:after="0" w:line="13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1"/>
                <w:szCs w:val="1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6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2022</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2"/>
                <w:szCs w:val="12"/>
                <w:b w:val="1"/>
                <w:bCs w:val="1"/>
                <w:color w:val="auto"/>
              </w:rPr>
              <w:t>2021</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7"/>
              </w:rPr>
              <w:t>2020</w:t>
            </w:r>
          </w:p>
        </w:tc>
        <w:tc>
          <w:tcPr>
            <w:tcW w:w="20" w:type="dxa"/>
            <w:vAlign w:val="bottom"/>
          </w:tcPr>
          <w:p>
            <w:pPr>
              <w:spacing w:after="0"/>
              <w:rPr>
                <w:sz w:val="12"/>
                <w:szCs w:val="12"/>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6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ind w:left="40"/>
              <w:spacing w:after="0" w:line="124" w:lineRule="exact"/>
              <w:rPr>
                <w:sz w:val="20"/>
                <w:szCs w:val="20"/>
                <w:color w:val="auto"/>
              </w:rPr>
            </w:pPr>
            <w:r>
              <w:rPr>
                <w:rFonts w:ascii="Arial" w:cs="Arial" w:eastAsia="Arial" w:hAnsi="Arial"/>
                <w:sz w:val="12"/>
                <w:szCs w:val="12"/>
                <w:b w:val="1"/>
                <w:bCs w:val="1"/>
                <w:color w:val="auto"/>
              </w:rPr>
              <w:t>(US$’000)</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62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5"/>
                <w:szCs w:val="15"/>
                <w:b w:val="1"/>
                <w:bCs w:val="1"/>
                <w:color w:val="auto"/>
              </w:rPr>
              <w:t>Revenue</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628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United States of America</w:t>
            </w: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476,813</w:t>
            </w:r>
          </w:p>
        </w:tc>
        <w:tc>
          <w:tcPr>
            <w:tcW w:w="160" w:type="dxa"/>
            <w:vAlign w:val="bottom"/>
          </w:tcPr>
          <w:p>
            <w:pPr>
              <w:spacing w:after="0"/>
              <w:rPr>
                <w:sz w:val="14"/>
                <w:szCs w:val="14"/>
                <w:color w:val="auto"/>
              </w:rPr>
            </w:pPr>
          </w:p>
        </w:tc>
        <w:tc>
          <w:tcPr>
            <w:tcW w:w="76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428,831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391,933</w:t>
            </w:r>
          </w:p>
        </w:tc>
        <w:tc>
          <w:tcPr>
            <w:tcW w:w="20" w:type="dxa"/>
            <w:vAlign w:val="bottom"/>
          </w:tcPr>
          <w:p>
            <w:pPr>
              <w:spacing w:after="0"/>
              <w:rPr>
                <w:sz w:val="14"/>
                <w:szCs w:val="14"/>
                <w:color w:val="auto"/>
              </w:rPr>
            </w:pPr>
          </w:p>
        </w:tc>
      </w:tr>
      <w:tr>
        <w:trPr>
          <w:trHeight w:val="166"/>
        </w:trPr>
        <w:tc>
          <w:tcPr>
            <w:tcW w:w="628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Others</w:t>
            </w:r>
          </w:p>
        </w:tc>
        <w:tc>
          <w:tcPr>
            <w:tcW w:w="7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16,759</w:t>
            </w:r>
          </w:p>
        </w:tc>
        <w:tc>
          <w:tcPr>
            <w:tcW w:w="160" w:type="dxa"/>
            <w:vAlign w:val="bottom"/>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14,831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13,202</w:t>
            </w:r>
          </w:p>
        </w:tc>
        <w:tc>
          <w:tcPr>
            <w:tcW w:w="20" w:type="dxa"/>
            <w:vAlign w:val="bottom"/>
          </w:tcPr>
          <w:p>
            <w:pPr>
              <w:spacing w:after="0"/>
              <w:rPr>
                <w:sz w:val="14"/>
                <w:szCs w:val="14"/>
                <w:color w:val="auto"/>
              </w:rPr>
            </w:pPr>
          </w:p>
        </w:tc>
      </w:tr>
      <w:tr>
        <w:trPr>
          <w:trHeight w:val="157"/>
        </w:trPr>
        <w:tc>
          <w:tcPr>
            <w:tcW w:w="628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5"/>
                <w:szCs w:val="15"/>
                <w:b w:val="1"/>
                <w:bCs w:val="1"/>
                <w:color w:val="auto"/>
              </w:rPr>
              <w:t>Total</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493,572</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443,662</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405,135</w:t>
            </w:r>
          </w:p>
        </w:tc>
        <w:tc>
          <w:tcPr>
            <w:tcW w:w="20" w:type="dxa"/>
            <w:vAlign w:val="bottom"/>
          </w:tcPr>
          <w:p>
            <w:pPr>
              <w:spacing w:after="0"/>
              <w:rPr>
                <w:sz w:val="13"/>
                <w:szCs w:val="13"/>
                <w:color w:val="auto"/>
              </w:rPr>
            </w:pPr>
          </w:p>
        </w:tc>
      </w:tr>
      <w:tr>
        <w:trPr>
          <w:trHeight w:val="336"/>
        </w:trPr>
        <w:tc>
          <w:tcPr>
            <w:tcW w:w="6280" w:type="dxa"/>
            <w:vAlign w:val="bottom"/>
            <w:gridSpan w:val="2"/>
          </w:tcPr>
          <w:p>
            <w:pPr>
              <w:ind w:left="20"/>
              <w:spacing w:after="0"/>
              <w:rPr>
                <w:sz w:val="20"/>
                <w:szCs w:val="20"/>
                <w:color w:val="auto"/>
              </w:rPr>
            </w:pPr>
            <w:r>
              <w:rPr>
                <w:rFonts w:ascii="Arial" w:cs="Arial" w:eastAsia="Arial" w:hAnsi="Arial"/>
                <w:sz w:val="15"/>
                <w:szCs w:val="15"/>
                <w:color w:val="auto"/>
              </w:rPr>
              <w:t>The Group’s revenue disaggregated by pattern of revenue recognition is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r>
      <w:tr>
        <w:trPr>
          <w:trHeight w:val="116"/>
        </w:trPr>
        <w:tc>
          <w:tcPr>
            <w:tcW w:w="20" w:type="dxa"/>
            <w:vAlign w:val="bottom"/>
            <w:tcBorders>
              <w:top w:val="single" w:sz="8" w:color="auto"/>
            </w:tcBorders>
          </w:tcPr>
          <w:p>
            <w:pPr>
              <w:spacing w:after="0"/>
              <w:rPr>
                <w:sz w:val="10"/>
                <w:szCs w:val="10"/>
                <w:color w:val="auto"/>
              </w:rPr>
            </w:pPr>
          </w:p>
        </w:tc>
        <w:tc>
          <w:tcPr>
            <w:tcW w:w="6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180"/>
              <w:spacing w:after="0" w:line="116" w:lineRule="exact"/>
              <w:rPr>
                <w:sz w:val="20"/>
                <w:szCs w:val="20"/>
                <w:color w:val="auto"/>
              </w:rPr>
            </w:pPr>
            <w:r>
              <w:rPr>
                <w:rFonts w:ascii="Arial" w:cs="Arial" w:eastAsia="Arial" w:hAnsi="Arial"/>
                <w:sz w:val="12"/>
                <w:szCs w:val="12"/>
                <w:b w:val="1"/>
                <w:bCs w:val="1"/>
                <w:color w:val="auto"/>
                <w:w w:val="99"/>
              </w:rPr>
              <w:t>June 30,</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ind w:left="40"/>
              <w:spacing w:after="0" w:line="116" w:lineRule="exact"/>
              <w:rPr>
                <w:sz w:val="20"/>
                <w:szCs w:val="20"/>
                <w:color w:val="auto"/>
              </w:rPr>
            </w:pPr>
            <w:r>
              <w:rPr>
                <w:rFonts w:ascii="Arial" w:cs="Arial" w:eastAsia="Arial" w:hAnsi="Arial"/>
                <w:sz w:val="12"/>
                <w:szCs w:val="12"/>
                <w:b w:val="1"/>
                <w:bCs w:val="1"/>
                <w:color w:val="auto"/>
              </w:rPr>
              <w:t>June 30,</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57"/>
              <w:spacing w:after="0" w:line="116" w:lineRule="exact"/>
              <w:rPr>
                <w:sz w:val="20"/>
                <w:szCs w:val="20"/>
                <w:color w:val="auto"/>
              </w:rPr>
            </w:pPr>
            <w:r>
              <w:rPr>
                <w:rFonts w:ascii="Arial" w:cs="Arial" w:eastAsia="Arial" w:hAnsi="Arial"/>
                <w:sz w:val="12"/>
                <w:szCs w:val="12"/>
                <w:b w:val="1"/>
                <w:bCs w:val="1"/>
                <w:color w:val="auto"/>
                <w:w w:val="95"/>
              </w:rPr>
              <w:t>June 30,</w:t>
            </w:r>
          </w:p>
        </w:tc>
        <w:tc>
          <w:tcPr>
            <w:tcW w:w="20" w:type="dxa"/>
            <w:vAlign w:val="bottom"/>
          </w:tcPr>
          <w:p>
            <w:pPr>
              <w:spacing w:after="0"/>
              <w:rPr>
                <w:sz w:val="10"/>
                <w:szCs w:val="10"/>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6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2022</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2"/>
                <w:szCs w:val="12"/>
                <w:b w:val="1"/>
                <w:bCs w:val="1"/>
                <w:color w:val="auto"/>
              </w:rPr>
              <w:t>2021</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7"/>
              </w:rPr>
              <w:t>2020</w:t>
            </w:r>
          </w:p>
        </w:tc>
        <w:tc>
          <w:tcPr>
            <w:tcW w:w="20" w:type="dxa"/>
            <w:vAlign w:val="bottom"/>
          </w:tcPr>
          <w:p>
            <w:pPr>
              <w:spacing w:after="0"/>
              <w:rPr>
                <w:sz w:val="12"/>
                <w:szCs w:val="12"/>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6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ind w:left="40"/>
              <w:spacing w:after="0" w:line="124" w:lineRule="exact"/>
              <w:rPr>
                <w:sz w:val="20"/>
                <w:szCs w:val="20"/>
                <w:color w:val="auto"/>
              </w:rPr>
            </w:pPr>
            <w:r>
              <w:rPr>
                <w:rFonts w:ascii="Arial" w:cs="Arial" w:eastAsia="Arial" w:hAnsi="Arial"/>
                <w:sz w:val="12"/>
                <w:szCs w:val="12"/>
                <w:b w:val="1"/>
                <w:bCs w:val="1"/>
                <w:color w:val="auto"/>
              </w:rPr>
              <w:t>(US$’000)</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7"/>
        </w:trPr>
        <w:tc>
          <w:tcPr>
            <w:tcW w:w="62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5"/>
                <w:szCs w:val="15"/>
                <w:color w:val="auto"/>
              </w:rPr>
              <w:t>Pattern of Revenue recognition</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628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 Services transferred at a point in time</w:t>
            </w: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37,645</w:t>
            </w:r>
          </w:p>
        </w:tc>
        <w:tc>
          <w:tcPr>
            <w:tcW w:w="160" w:type="dxa"/>
            <w:vAlign w:val="bottom"/>
          </w:tcPr>
          <w:p>
            <w:pPr>
              <w:spacing w:after="0"/>
              <w:rPr>
                <w:sz w:val="14"/>
                <w:szCs w:val="14"/>
                <w:color w:val="auto"/>
              </w:rPr>
            </w:pPr>
          </w:p>
        </w:tc>
        <w:tc>
          <w:tcPr>
            <w:tcW w:w="76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40,775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48,486</w:t>
            </w:r>
          </w:p>
        </w:tc>
        <w:tc>
          <w:tcPr>
            <w:tcW w:w="20" w:type="dxa"/>
            <w:vAlign w:val="bottom"/>
          </w:tcPr>
          <w:p>
            <w:pPr>
              <w:spacing w:after="0"/>
              <w:rPr>
                <w:sz w:val="14"/>
                <w:szCs w:val="14"/>
                <w:color w:val="auto"/>
              </w:rPr>
            </w:pPr>
          </w:p>
        </w:tc>
      </w:tr>
      <w:tr>
        <w:trPr>
          <w:trHeight w:val="166"/>
        </w:trPr>
        <w:tc>
          <w:tcPr>
            <w:tcW w:w="628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5"/>
                <w:szCs w:val="15"/>
                <w:color w:val="auto"/>
              </w:rPr>
              <w:t>− Services transferred over time</w:t>
            </w:r>
          </w:p>
        </w:tc>
        <w:tc>
          <w:tcPr>
            <w:tcW w:w="7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455,927</w:t>
            </w:r>
          </w:p>
        </w:tc>
        <w:tc>
          <w:tcPr>
            <w:tcW w:w="160" w:type="dxa"/>
            <w:vAlign w:val="bottom"/>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402,887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356,649</w:t>
            </w:r>
          </w:p>
        </w:tc>
        <w:tc>
          <w:tcPr>
            <w:tcW w:w="20" w:type="dxa"/>
            <w:vAlign w:val="bottom"/>
          </w:tcPr>
          <w:p>
            <w:pPr>
              <w:spacing w:after="0"/>
              <w:rPr>
                <w:sz w:val="14"/>
                <w:szCs w:val="14"/>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62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493,572</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443,662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5"/>
                <w:szCs w:val="15"/>
                <w:b w:val="1"/>
                <w:bCs w:val="1"/>
                <w:color w:val="auto"/>
              </w:rPr>
              <w:t>405,135</w:t>
            </w:r>
          </w:p>
        </w:tc>
        <w:tc>
          <w:tcPr>
            <w:tcW w:w="20" w:type="dxa"/>
            <w:vAlign w:val="bottom"/>
          </w:tcPr>
          <w:p>
            <w:pPr>
              <w:spacing w:after="0"/>
              <w:rPr>
                <w:sz w:val="17"/>
                <w:szCs w:val="17"/>
                <w:color w:val="auto"/>
              </w:rPr>
            </w:pPr>
          </w:p>
        </w:tc>
      </w:tr>
      <w:tr>
        <w:trPr>
          <w:trHeight w:val="139"/>
        </w:trPr>
        <w:tc>
          <w:tcPr>
            <w:tcW w:w="20" w:type="dxa"/>
            <w:vAlign w:val="bottom"/>
            <w:tcBorders>
              <w:bottom w:val="single" w:sz="8" w:color="auto"/>
            </w:tcBorders>
            <w:shd w:val="clear" w:color="auto" w:fill="CCEEFF"/>
          </w:tcPr>
          <w:p>
            <w:pPr>
              <w:spacing w:after="0"/>
              <w:rPr>
                <w:sz w:val="12"/>
                <w:szCs w:val="12"/>
                <w:color w:val="auto"/>
              </w:rPr>
            </w:pPr>
          </w:p>
        </w:tc>
        <w:tc>
          <w:tcPr>
            <w:tcW w:w="6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336"/>
        </w:trPr>
        <w:tc>
          <w:tcPr>
            <w:tcW w:w="6280" w:type="dxa"/>
            <w:vAlign w:val="bottom"/>
            <w:gridSpan w:val="2"/>
          </w:tcPr>
          <w:p>
            <w:pPr>
              <w:ind w:left="20"/>
              <w:spacing w:after="0"/>
              <w:rPr>
                <w:sz w:val="20"/>
                <w:szCs w:val="20"/>
                <w:color w:val="auto"/>
              </w:rPr>
            </w:pPr>
            <w:r>
              <w:rPr>
                <w:rFonts w:ascii="Arial" w:cs="Arial" w:eastAsia="Arial" w:hAnsi="Arial"/>
                <w:sz w:val="15"/>
                <w:szCs w:val="15"/>
                <w:color w:val="auto"/>
              </w:rPr>
              <w:t>The movement in the deferred revenue is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spacing w:after="0"/>
              <w:rPr>
                <w:sz w:val="15"/>
                <w:szCs w:val="15"/>
                <w:color w:val="auto"/>
              </w:rPr>
            </w:pPr>
          </w:p>
        </w:tc>
      </w:tr>
      <w:tr>
        <w:trPr>
          <w:trHeight w:val="116"/>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ind w:left="80"/>
              <w:spacing w:after="0" w:line="116" w:lineRule="exact"/>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6" w:lineRule="exact"/>
              <w:rPr>
                <w:sz w:val="20"/>
                <w:szCs w:val="20"/>
                <w:color w:val="auto"/>
              </w:rPr>
            </w:pPr>
            <w:r>
              <w:rPr>
                <w:rFonts w:ascii="Arial" w:cs="Arial" w:eastAsia="Arial" w:hAnsi="Arial"/>
                <w:sz w:val="12"/>
                <w:szCs w:val="12"/>
                <w:b w:val="1"/>
                <w:bCs w:val="1"/>
                <w:color w:val="auto"/>
              </w:rPr>
              <w:t>June 30,</w:t>
            </w:r>
          </w:p>
        </w:tc>
      </w:tr>
      <w:tr>
        <w:trPr>
          <w:trHeight w:val="141"/>
        </w:trPr>
        <w:tc>
          <w:tcPr>
            <w:tcW w:w="20" w:type="dxa"/>
            <w:vAlign w:val="bottom"/>
          </w:tcPr>
          <w:p>
            <w:pPr>
              <w:spacing w:after="0"/>
              <w:rPr>
                <w:sz w:val="12"/>
                <w:szCs w:val="12"/>
                <w:color w:val="auto"/>
              </w:rPr>
            </w:pPr>
          </w:p>
        </w:tc>
        <w:tc>
          <w:tcPr>
            <w:tcW w:w="6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2"/>
                <w:szCs w:val="12"/>
                <w:b w:val="1"/>
                <w:bCs w:val="1"/>
                <w:color w:val="auto"/>
              </w:rPr>
              <w:t>2022</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r>
      <w:tr>
        <w:trPr>
          <w:trHeight w:val="124"/>
        </w:trPr>
        <w:tc>
          <w:tcPr>
            <w:tcW w:w="20" w:type="dxa"/>
            <w:vAlign w:val="bottom"/>
          </w:tcPr>
          <w:p>
            <w:pPr>
              <w:spacing w:after="0"/>
              <w:rPr>
                <w:sz w:val="10"/>
                <w:szCs w:val="10"/>
                <w:color w:val="auto"/>
              </w:rPr>
            </w:pPr>
          </w:p>
        </w:tc>
        <w:tc>
          <w:tcPr>
            <w:tcW w:w="6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6"/>
          </w:tcPr>
          <w:p>
            <w:pPr>
              <w:ind w:left="540"/>
              <w:spacing w:after="0" w:line="124" w:lineRule="exact"/>
              <w:rPr>
                <w:sz w:val="20"/>
                <w:szCs w:val="20"/>
                <w:color w:val="auto"/>
              </w:rPr>
            </w:pPr>
            <w:r>
              <w:rPr>
                <w:rFonts w:ascii="Arial" w:cs="Arial" w:eastAsia="Arial" w:hAnsi="Arial"/>
                <w:sz w:val="12"/>
                <w:szCs w:val="12"/>
                <w:b w:val="1"/>
                <w:bCs w:val="1"/>
                <w:color w:val="auto"/>
              </w:rPr>
              <w:t>(US$’000)</w:t>
            </w:r>
          </w:p>
        </w:tc>
      </w:tr>
      <w:tr>
        <w:trPr>
          <w:trHeight w:val="157"/>
        </w:trPr>
        <w:tc>
          <w:tcPr>
            <w:tcW w:w="20" w:type="dxa"/>
            <w:vAlign w:val="bottom"/>
          </w:tcPr>
          <w:p>
            <w:pPr>
              <w:spacing w:after="0"/>
              <w:rPr>
                <w:sz w:val="13"/>
                <w:szCs w:val="13"/>
                <w:color w:val="auto"/>
              </w:rPr>
            </w:pPr>
          </w:p>
        </w:tc>
        <w:tc>
          <w:tcPr>
            <w:tcW w:w="626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Opening balance</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7,087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3,904</w:t>
            </w:r>
          </w:p>
        </w:tc>
        <w:tc>
          <w:tcPr>
            <w:tcW w:w="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6260" w:type="dxa"/>
            <w:vAlign w:val="bottom"/>
          </w:tcPr>
          <w:p>
            <w:pPr>
              <w:spacing w:after="0" w:line="166" w:lineRule="exact"/>
              <w:rPr>
                <w:sz w:val="20"/>
                <w:szCs w:val="20"/>
                <w:color w:val="auto"/>
              </w:rPr>
            </w:pPr>
            <w:r>
              <w:rPr>
                <w:rFonts w:ascii="Arial" w:cs="Arial" w:eastAsia="Arial" w:hAnsi="Arial"/>
                <w:sz w:val="15"/>
                <w:szCs w:val="15"/>
                <w:color w:val="auto"/>
              </w:rPr>
              <w:t>Revenue recognized during the year</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(5,592)</w:t>
            </w:r>
          </w:p>
        </w:tc>
        <w:tc>
          <w:tcPr>
            <w:tcW w:w="120" w:type="dxa"/>
            <w:vAlign w:val="bottom"/>
          </w:tcPr>
          <w:p>
            <w:pPr>
              <w:spacing w:after="0"/>
              <w:rPr>
                <w:sz w:val="14"/>
                <w:szCs w:val="14"/>
                <w:color w:val="auto"/>
              </w:rPr>
            </w:pPr>
          </w:p>
        </w:tc>
        <w:tc>
          <w:tcPr>
            <w:tcW w:w="82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(5,416)</w:t>
            </w:r>
          </w:p>
        </w:tc>
      </w:tr>
      <w:tr>
        <w:trPr>
          <w:trHeight w:val="166"/>
        </w:trPr>
        <w:tc>
          <w:tcPr>
            <w:tcW w:w="20" w:type="dxa"/>
            <w:vAlign w:val="bottom"/>
          </w:tcPr>
          <w:p>
            <w:pPr>
              <w:spacing w:after="0"/>
              <w:rPr>
                <w:sz w:val="14"/>
                <w:szCs w:val="14"/>
                <w:color w:val="auto"/>
              </w:rPr>
            </w:pPr>
          </w:p>
        </w:tc>
        <w:tc>
          <w:tcPr>
            <w:tcW w:w="626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Revenue deferred during the year</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11,098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8,599</w:t>
            </w:r>
          </w:p>
        </w:tc>
        <w:tc>
          <w:tcPr>
            <w:tcW w:w="20" w:type="dxa"/>
            <w:vAlign w:val="bottom"/>
            <w:shd w:val="clear" w:color="auto" w:fill="CCEEFF"/>
          </w:tcPr>
          <w:p>
            <w:pPr>
              <w:spacing w:after="0"/>
              <w:rPr>
                <w:sz w:val="14"/>
                <w:szCs w:val="14"/>
                <w:color w:val="auto"/>
              </w:rPr>
            </w:pPr>
          </w:p>
        </w:tc>
      </w:tr>
      <w:tr>
        <w:trPr>
          <w:trHeight w:val="197"/>
        </w:trPr>
        <w:tc>
          <w:tcPr>
            <w:tcW w:w="6280" w:type="dxa"/>
            <w:vAlign w:val="bottom"/>
            <w:gridSpan w:val="2"/>
          </w:tcPr>
          <w:p>
            <w:pPr>
              <w:ind w:left="20"/>
              <w:spacing w:after="0" w:line="157" w:lineRule="exact"/>
              <w:rPr>
                <w:sz w:val="20"/>
                <w:szCs w:val="20"/>
                <w:color w:val="auto"/>
              </w:rPr>
            </w:pPr>
            <w:r>
              <w:rPr>
                <w:rFonts w:ascii="Arial" w:cs="Arial" w:eastAsia="Arial" w:hAnsi="Arial"/>
                <w:sz w:val="15"/>
                <w:szCs w:val="15"/>
                <w:b w:val="1"/>
                <w:bCs w:val="1"/>
                <w:color w:val="auto"/>
              </w:rPr>
              <w:t>Closing balance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12,593</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b w:val="1"/>
                <w:bCs w:val="1"/>
                <w:color w:val="auto"/>
              </w:rPr>
              <w:t>7,087</w:t>
            </w:r>
          </w:p>
        </w:tc>
        <w:tc>
          <w:tcPr>
            <w:tcW w:w="20" w:type="dxa"/>
            <w:vAlign w:val="bottom"/>
            <w:tcBorders>
              <w:top w:val="single" w:sz="8" w:color="auto"/>
              <w:bottom w:val="single" w:sz="8" w:color="auto"/>
            </w:tcBorders>
          </w:tcPr>
          <w:p>
            <w:pPr>
              <w:spacing w:after="0"/>
              <w:rPr>
                <w:sz w:val="17"/>
                <w:szCs w:val="17"/>
                <w:color w:val="auto"/>
              </w:rPr>
            </w:pPr>
          </w:p>
        </w:tc>
      </w:tr>
      <w:tr>
        <w:trPr>
          <w:trHeight w:val="139"/>
        </w:trPr>
        <w:tc>
          <w:tcPr>
            <w:tcW w:w="20" w:type="dxa"/>
            <w:vAlign w:val="bottom"/>
          </w:tcPr>
          <w:p>
            <w:pPr>
              <w:spacing w:after="0"/>
              <w:rPr>
                <w:sz w:val="12"/>
                <w:szCs w:val="12"/>
                <w:color w:val="auto"/>
              </w:rPr>
            </w:pPr>
          </w:p>
        </w:tc>
        <w:tc>
          <w:tcPr>
            <w:tcW w:w="6260" w:type="dxa"/>
            <w:vAlign w:val="bottom"/>
            <w:tcBorders>
              <w:top w:val="single" w:sz="8" w:color="CCEEFF"/>
              <w:bottom w:val="single" w:sz="8" w:color="auto"/>
            </w:tcBorders>
            <w:shd w:val="clear" w:color="auto" w:fill="CCEEFF"/>
          </w:tcPr>
          <w:p>
            <w:pPr>
              <w:spacing w:after="0"/>
              <w:rPr>
                <w:sz w:val="12"/>
                <w:szCs w:val="12"/>
                <w:color w:val="auto"/>
              </w:rPr>
            </w:pPr>
          </w:p>
        </w:tc>
        <w:tc>
          <w:tcPr>
            <w:tcW w:w="78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bl>
    <w:p>
      <w:pPr>
        <w:spacing w:after="0" w:line="15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 following aggregated amounts of deferred revenue from existing contracts that are to be recognized in revenue in the following fiscal years: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0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FY2023</w:t>
            </w: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FY2024</w:t>
            </w:r>
          </w:p>
        </w:tc>
        <w:tc>
          <w:tcPr>
            <w:tcW w:w="6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FY2025</w:t>
            </w:r>
          </w:p>
        </w:tc>
        <w:tc>
          <w:tcPr>
            <w:tcW w:w="6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FY2026</w:t>
            </w:r>
          </w:p>
        </w:tc>
        <w:tc>
          <w:tcPr>
            <w:tcW w:w="6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FY2027</w:t>
            </w: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rPr>
              <w:t>Total</w:t>
            </w:r>
          </w:p>
        </w:tc>
      </w:tr>
      <w:tr>
        <w:trPr>
          <w:trHeight w:val="124"/>
        </w:trPr>
        <w:tc>
          <w:tcPr>
            <w:tcW w:w="40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374"/>
              <w:spacing w:after="0" w:line="124" w:lineRule="exact"/>
              <w:rPr>
                <w:sz w:val="20"/>
                <w:szCs w:val="20"/>
                <w:color w:val="auto"/>
              </w:rPr>
            </w:pPr>
            <w:r>
              <w:rPr>
                <w:rFonts w:ascii="Arial" w:cs="Arial" w:eastAsia="Arial" w:hAnsi="Arial"/>
                <w:sz w:val="12"/>
                <w:szCs w:val="12"/>
                <w:b w:val="1"/>
                <w:bCs w:val="1"/>
                <w:color w:val="auto"/>
              </w:rPr>
              <w:t>(US$’000)</w:t>
            </w: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r>
        <w:trPr>
          <w:trHeight w:val="157"/>
        </w:trPr>
        <w:tc>
          <w:tcPr>
            <w:tcW w:w="4000" w:type="dxa"/>
            <w:vAlign w:val="bottom"/>
            <w:shd w:val="clear" w:color="auto" w:fill="CCEEFF"/>
          </w:tcPr>
          <w:p>
            <w:pPr>
              <w:ind w:left="20"/>
              <w:spacing w:after="0" w:line="157" w:lineRule="exact"/>
              <w:rPr>
                <w:sz w:val="20"/>
                <w:szCs w:val="20"/>
                <w:color w:val="auto"/>
              </w:rPr>
            </w:pPr>
            <w:r>
              <w:rPr>
                <w:rFonts w:ascii="Arial" w:cs="Arial" w:eastAsia="Arial" w:hAnsi="Arial"/>
                <w:sz w:val="15"/>
                <w:szCs w:val="15"/>
                <w:color w:val="auto"/>
              </w:rPr>
              <w:t>Deferred Revenue expected to be recognized</w:t>
            </w:r>
          </w:p>
        </w:tc>
        <w:tc>
          <w:tcPr>
            <w:tcW w:w="1600" w:type="dxa"/>
            <w:vAlign w:val="bottom"/>
            <w:shd w:val="clear" w:color="auto" w:fill="CCEEFF"/>
          </w:tcPr>
          <w:p>
            <w:pPr>
              <w:jc w:val="right"/>
              <w:ind w:right="74"/>
              <w:spacing w:after="0" w:line="157" w:lineRule="exact"/>
              <w:rPr>
                <w:sz w:val="20"/>
                <w:szCs w:val="20"/>
                <w:color w:val="auto"/>
              </w:rPr>
            </w:pPr>
            <w:r>
              <w:rPr>
                <w:rFonts w:ascii="Arial" w:cs="Arial" w:eastAsia="Arial" w:hAnsi="Arial"/>
                <w:sz w:val="15"/>
                <w:szCs w:val="15"/>
                <w:color w:val="auto"/>
              </w:rPr>
              <w:t>8,600</w:t>
            </w:r>
          </w:p>
        </w:tc>
        <w:tc>
          <w:tcPr>
            <w:tcW w:w="720" w:type="dxa"/>
            <w:vAlign w:val="bottom"/>
            <w:shd w:val="clear" w:color="auto" w:fill="CCEEFF"/>
          </w:tcPr>
          <w:p>
            <w:pPr>
              <w:jc w:val="right"/>
              <w:ind w:right="54"/>
              <w:spacing w:after="0" w:line="157" w:lineRule="exact"/>
              <w:rPr>
                <w:sz w:val="20"/>
                <w:szCs w:val="20"/>
                <w:color w:val="auto"/>
              </w:rPr>
            </w:pPr>
            <w:r>
              <w:rPr>
                <w:rFonts w:ascii="Arial" w:cs="Arial" w:eastAsia="Arial" w:hAnsi="Arial"/>
                <w:sz w:val="15"/>
                <w:szCs w:val="15"/>
                <w:color w:val="auto"/>
              </w:rPr>
              <w:t>3,642</w:t>
            </w:r>
          </w:p>
        </w:tc>
        <w:tc>
          <w:tcPr>
            <w:tcW w:w="660" w:type="dxa"/>
            <w:vAlign w:val="bottom"/>
            <w:shd w:val="clear" w:color="auto" w:fill="CCEEFF"/>
          </w:tcPr>
          <w:p>
            <w:pPr>
              <w:jc w:val="right"/>
              <w:ind w:right="56"/>
              <w:spacing w:after="0" w:line="157" w:lineRule="exact"/>
              <w:rPr>
                <w:sz w:val="20"/>
                <w:szCs w:val="20"/>
                <w:color w:val="auto"/>
              </w:rPr>
            </w:pPr>
            <w:r>
              <w:rPr>
                <w:rFonts w:ascii="Arial" w:cs="Arial" w:eastAsia="Arial" w:hAnsi="Arial"/>
                <w:sz w:val="15"/>
                <w:szCs w:val="15"/>
                <w:color w:val="auto"/>
              </w:rPr>
              <w:t>323</w:t>
            </w:r>
          </w:p>
        </w:tc>
        <w:tc>
          <w:tcPr>
            <w:tcW w:w="680" w:type="dxa"/>
            <w:vAlign w:val="bottom"/>
            <w:shd w:val="clear" w:color="auto" w:fill="CCEEFF"/>
          </w:tcPr>
          <w:p>
            <w:pPr>
              <w:jc w:val="right"/>
              <w:ind w:right="74"/>
              <w:spacing w:after="0" w:line="157" w:lineRule="exact"/>
              <w:rPr>
                <w:sz w:val="20"/>
                <w:szCs w:val="20"/>
                <w:color w:val="auto"/>
              </w:rPr>
            </w:pPr>
            <w:r>
              <w:rPr>
                <w:rFonts w:ascii="Arial" w:cs="Arial" w:eastAsia="Arial" w:hAnsi="Arial"/>
                <w:sz w:val="15"/>
                <w:szCs w:val="15"/>
                <w:color w:val="auto"/>
              </w:rPr>
              <w:t>26</w:t>
            </w:r>
          </w:p>
        </w:tc>
        <w:tc>
          <w:tcPr>
            <w:tcW w:w="660" w:type="dxa"/>
            <w:vAlign w:val="bottom"/>
            <w:shd w:val="clear" w:color="auto" w:fill="CCEEFF"/>
          </w:tcPr>
          <w:p>
            <w:pPr>
              <w:jc w:val="right"/>
              <w:ind w:right="54"/>
              <w:spacing w:after="0" w:line="157" w:lineRule="exact"/>
              <w:rPr>
                <w:sz w:val="20"/>
                <w:szCs w:val="20"/>
                <w:color w:val="auto"/>
              </w:rPr>
            </w:pPr>
            <w:r>
              <w:rPr>
                <w:rFonts w:ascii="Arial" w:cs="Arial" w:eastAsia="Arial" w:hAnsi="Arial"/>
                <w:sz w:val="15"/>
                <w:szCs w:val="15"/>
                <w:color w:val="auto"/>
              </w:rPr>
              <w:t>2</w:t>
            </w:r>
          </w:p>
        </w:tc>
        <w:tc>
          <w:tcPr>
            <w:tcW w:w="620" w:type="dxa"/>
            <w:vAlign w:val="bottom"/>
            <w:shd w:val="clear" w:color="auto" w:fill="CCEEFF"/>
          </w:tcPr>
          <w:p>
            <w:pPr>
              <w:ind w:left="120"/>
              <w:spacing w:after="0" w:line="157" w:lineRule="exact"/>
              <w:rPr>
                <w:sz w:val="20"/>
                <w:szCs w:val="20"/>
                <w:color w:val="auto"/>
              </w:rPr>
            </w:pPr>
            <w:r>
              <w:rPr>
                <w:rFonts w:ascii="Arial" w:cs="Arial" w:eastAsia="Arial" w:hAnsi="Arial"/>
                <w:sz w:val="15"/>
                <w:szCs w:val="15"/>
                <w:color w:val="auto"/>
              </w:rPr>
              <w:t>12,593</w:t>
            </w:r>
          </w:p>
        </w:tc>
      </w:tr>
      <w:tr>
        <w:trPr>
          <w:trHeight w:val="166"/>
        </w:trPr>
        <w:tc>
          <w:tcPr>
            <w:tcW w:w="40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98" w:name="page199"/>
    <w:bookmarkEnd w:id="198"/>
    <w:tbl>
      <w:tblPr>
        <w:tblLayout w:type="fixed"/>
        <w:tblInd w:w="2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607"/>
        </w:trPr>
        <w:tc>
          <w:tcPr>
            <w:tcW w:w="20" w:type="dxa"/>
            <w:vAlign w:val="bottom"/>
          </w:tcPr>
          <w:p>
            <w:pPr>
              <w:spacing w:after="0"/>
              <w:rPr>
                <w:sz w:val="24"/>
                <w:szCs w:val="2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5"/>
                <w:szCs w:val="15"/>
                <w:b w:val="1"/>
                <w:bCs w:val="1"/>
                <w:color w:val="auto"/>
              </w:rPr>
              <w:t>IBEX Limited</w:t>
            </w: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6340" w:type="dxa"/>
            <w:vAlign w:val="bottom"/>
            <w:gridSpan w:val="3"/>
          </w:tcPr>
          <w:p>
            <w:pPr>
              <w:spacing w:after="0" w:line="168" w:lineRule="exact"/>
              <w:rPr>
                <w:sz w:val="20"/>
                <w:szCs w:val="20"/>
                <w:color w:val="auto"/>
              </w:rPr>
            </w:pPr>
            <w:r>
              <w:rPr>
                <w:rFonts w:ascii="Arial" w:cs="Arial" w:eastAsia="Arial" w:hAnsi="Arial"/>
                <w:sz w:val="15"/>
                <w:szCs w:val="15"/>
                <w:b w:val="1"/>
                <w:bCs w:val="1"/>
                <w:color w:val="auto"/>
              </w:rPr>
              <w:t>Notes to the Consolidated Financial Statements</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6340" w:type="dxa"/>
            <w:vAlign w:val="bottom"/>
            <w:gridSpan w:val="3"/>
          </w:tcPr>
          <w:p>
            <w:pPr>
              <w:spacing w:after="0"/>
              <w:rPr>
                <w:sz w:val="20"/>
                <w:szCs w:val="20"/>
                <w:color w:val="auto"/>
              </w:rPr>
            </w:pPr>
            <w:r>
              <w:rPr>
                <w:rFonts w:ascii="Arial" w:cs="Arial" w:eastAsia="Arial" w:hAnsi="Arial"/>
                <w:sz w:val="15"/>
                <w:szCs w:val="15"/>
                <w:i w:val="1"/>
                <w:iCs w:val="1"/>
                <w:color w:val="auto"/>
              </w:rPr>
              <w:t>For the years ended June 30, 2022, 2021 and 2020</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b w:val="1"/>
                <w:bCs w:val="1"/>
                <w:color w:val="auto"/>
              </w:rPr>
              <w:t>25.2.</w:t>
            </w:r>
          </w:p>
        </w:tc>
        <w:tc>
          <w:tcPr>
            <w:tcW w:w="5860" w:type="dxa"/>
            <w:vAlign w:val="bottom"/>
            <w:gridSpan w:val="2"/>
          </w:tcPr>
          <w:p>
            <w:pPr>
              <w:ind w:left="40"/>
              <w:spacing w:after="0"/>
              <w:rPr>
                <w:sz w:val="20"/>
                <w:szCs w:val="20"/>
                <w:color w:val="auto"/>
              </w:rPr>
            </w:pPr>
            <w:r>
              <w:rPr>
                <w:rFonts w:ascii="Arial" w:cs="Arial" w:eastAsia="Arial" w:hAnsi="Arial"/>
                <w:sz w:val="15"/>
                <w:szCs w:val="15"/>
                <w:b w:val="1"/>
                <w:bCs w:val="1"/>
                <w:color w:val="auto"/>
              </w:rPr>
              <w:t>Non-current assets by location</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r>
      <w:tr>
        <w:trPr>
          <w:trHeight w:val="116"/>
        </w:trPr>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3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5"/>
          </w:tcPr>
          <w:p>
            <w:pPr>
              <w:jc w:val="right"/>
              <w:ind w:right="340"/>
              <w:spacing w:after="0" w:line="116" w:lineRule="exact"/>
              <w:rPr>
                <w:sz w:val="20"/>
                <w:szCs w:val="20"/>
                <w:color w:val="auto"/>
              </w:rPr>
            </w:pPr>
            <w:r>
              <w:rPr>
                <w:rFonts w:ascii="Arial" w:cs="Arial" w:eastAsia="Arial" w:hAnsi="Arial"/>
                <w:sz w:val="12"/>
                <w:szCs w:val="12"/>
                <w:b w:val="1"/>
                <w:bCs w:val="1"/>
                <w:color w:val="auto"/>
                <w:w w:val="95"/>
              </w:rPr>
              <w:t>June 30,</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97"/>
              <w:spacing w:after="0" w:line="116" w:lineRule="exact"/>
              <w:rPr>
                <w:sz w:val="20"/>
                <w:szCs w:val="20"/>
                <w:color w:val="auto"/>
              </w:rPr>
            </w:pPr>
            <w:r>
              <w:rPr>
                <w:rFonts w:ascii="Arial" w:cs="Arial" w:eastAsia="Arial" w:hAnsi="Arial"/>
                <w:sz w:val="12"/>
                <w:szCs w:val="12"/>
                <w:b w:val="1"/>
                <w:bCs w:val="1"/>
                <w:color w:val="auto"/>
                <w:w w:val="95"/>
              </w:rPr>
              <w:t>June 30,</w:t>
            </w:r>
          </w:p>
        </w:tc>
        <w:tc>
          <w:tcPr>
            <w:tcW w:w="80" w:type="dxa"/>
            <w:vAlign w:val="bottom"/>
          </w:tcPr>
          <w:p>
            <w:pPr>
              <w:spacing w:after="0"/>
              <w:rPr>
                <w:sz w:val="10"/>
                <w:szCs w:val="10"/>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6"/>
          </w:tcPr>
          <w:p>
            <w:pPr>
              <w:jc w:val="right"/>
              <w:ind w:right="517"/>
              <w:spacing w:after="0" w:line="124" w:lineRule="exact"/>
              <w:rPr>
                <w:sz w:val="20"/>
                <w:szCs w:val="20"/>
                <w:color w:val="auto"/>
              </w:rPr>
            </w:pPr>
            <w:r>
              <w:rPr>
                <w:rFonts w:ascii="Arial" w:cs="Arial" w:eastAsia="Arial" w:hAnsi="Arial"/>
                <w:sz w:val="12"/>
                <w:szCs w:val="12"/>
                <w:b w:val="1"/>
                <w:bCs w:val="1"/>
                <w:color w:val="auto"/>
              </w:rPr>
              <w:t>(US$’000)</w:t>
            </w:r>
          </w:p>
        </w:tc>
        <w:tc>
          <w:tcPr>
            <w:tcW w:w="80" w:type="dxa"/>
            <w:vAlign w:val="bottom"/>
          </w:tcPr>
          <w:p>
            <w:pPr>
              <w:spacing w:after="0"/>
              <w:rPr>
                <w:sz w:val="10"/>
                <w:szCs w:val="10"/>
                <w:color w:val="auto"/>
              </w:rPr>
            </w:pPr>
          </w:p>
        </w:tc>
      </w:tr>
      <w:tr>
        <w:trPr>
          <w:trHeight w:val="157"/>
        </w:trPr>
        <w:tc>
          <w:tcPr>
            <w:tcW w:w="20" w:type="dxa"/>
            <w:vAlign w:val="bottom"/>
            <w:shd w:val="clear" w:color="auto" w:fill="CCEEFF"/>
          </w:tcPr>
          <w:p>
            <w:pPr>
              <w:spacing w:after="0"/>
              <w:rPr>
                <w:sz w:val="13"/>
                <w:szCs w:val="13"/>
                <w:color w:val="auto"/>
              </w:rPr>
            </w:pPr>
          </w:p>
        </w:tc>
        <w:tc>
          <w:tcPr>
            <w:tcW w:w="6340" w:type="dxa"/>
            <w:vAlign w:val="bottom"/>
            <w:gridSpan w:val="3"/>
            <w:shd w:val="clear" w:color="auto" w:fill="CCEEFF"/>
          </w:tcPr>
          <w:p>
            <w:pPr>
              <w:spacing w:after="0" w:line="157" w:lineRule="exact"/>
              <w:rPr>
                <w:sz w:val="20"/>
                <w:szCs w:val="20"/>
                <w:color w:val="auto"/>
              </w:rPr>
            </w:pPr>
            <w:r>
              <w:rPr>
                <w:rFonts w:ascii="Arial" w:cs="Arial" w:eastAsia="Arial" w:hAnsi="Arial"/>
                <w:sz w:val="15"/>
                <w:szCs w:val="15"/>
                <w:color w:val="auto"/>
              </w:rPr>
              <w:t>United States of America</w:t>
            </w: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5"/>
                <w:szCs w:val="15"/>
                <w:color w:val="auto"/>
              </w:rPr>
              <w:t>37,420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5"/>
                <w:szCs w:val="15"/>
                <w:color w:val="auto"/>
              </w:rPr>
              <w:t>28,668</w:t>
            </w:r>
          </w:p>
        </w:tc>
        <w:tc>
          <w:tcPr>
            <w:tcW w:w="8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480" w:type="dxa"/>
            <w:vAlign w:val="bottom"/>
          </w:tcPr>
          <w:p>
            <w:pPr>
              <w:spacing w:after="0" w:line="166" w:lineRule="exact"/>
              <w:rPr>
                <w:sz w:val="20"/>
                <w:szCs w:val="20"/>
                <w:color w:val="auto"/>
              </w:rPr>
            </w:pPr>
            <w:r>
              <w:rPr>
                <w:rFonts w:ascii="Arial" w:cs="Arial" w:eastAsia="Arial" w:hAnsi="Arial"/>
                <w:sz w:val="15"/>
                <w:szCs w:val="15"/>
                <w:color w:val="auto"/>
              </w:rPr>
              <w:t>Others</w:t>
            </w:r>
          </w:p>
        </w:tc>
        <w:tc>
          <w:tcPr>
            <w:tcW w:w="5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99,975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99,993</w:t>
            </w:r>
          </w:p>
        </w:tc>
        <w:tc>
          <w:tcPr>
            <w:tcW w:w="80" w:type="dxa"/>
            <w:vAlign w:val="bottom"/>
          </w:tcPr>
          <w:p>
            <w:pPr>
              <w:spacing w:after="0"/>
              <w:rPr>
                <w:sz w:val="14"/>
                <w:szCs w:val="14"/>
                <w:color w:val="auto"/>
              </w:rPr>
            </w:pPr>
          </w:p>
        </w:tc>
      </w:tr>
      <w:tr>
        <w:trPr>
          <w:trHeight w:val="166"/>
        </w:trPr>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line="157"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8"/>
                <w:szCs w:val="18"/>
                <w:b w:val="1"/>
                <w:bCs w:val="1"/>
                <w:color w:val="auto"/>
                <w:vertAlign w:val="superscript"/>
              </w:rPr>
              <w:t>1</w:t>
            </w:r>
          </w:p>
        </w:tc>
        <w:tc>
          <w:tcPr>
            <w:tcW w:w="560" w:type="dxa"/>
            <w:vAlign w:val="bottom"/>
            <w:tcBorders>
              <w:bottom w:val="single" w:sz="8" w:color="CCEEFF"/>
            </w:tcBorders>
          </w:tcPr>
          <w:p>
            <w:pPr>
              <w:spacing w:after="0"/>
              <w:rPr>
                <w:sz w:val="17"/>
                <w:szCs w:val="17"/>
                <w:color w:val="auto"/>
              </w:rPr>
            </w:pPr>
          </w:p>
        </w:tc>
        <w:tc>
          <w:tcPr>
            <w:tcW w:w="5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5"/>
                <w:szCs w:val="15"/>
                <w:b w:val="1"/>
                <w:bCs w:val="1"/>
                <w:color w:val="auto"/>
              </w:rPr>
              <w:t>137,395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5"/>
                <w:szCs w:val="15"/>
                <w:b w:val="1"/>
                <w:bCs w:val="1"/>
                <w:color w:val="auto"/>
              </w:rPr>
              <w:t>128,661</w:t>
            </w:r>
          </w:p>
        </w:tc>
        <w:tc>
          <w:tcPr>
            <w:tcW w:w="80" w:type="dxa"/>
            <w:vAlign w:val="bottom"/>
          </w:tcPr>
          <w:p>
            <w:pPr>
              <w:spacing w:after="0"/>
              <w:rPr>
                <w:sz w:val="17"/>
                <w:szCs w:val="17"/>
                <w:color w:val="auto"/>
              </w:rPr>
            </w:pPr>
          </w:p>
        </w:tc>
      </w:tr>
      <w:tr>
        <w:trPr>
          <w:trHeight w:val="139"/>
        </w:trPr>
        <w:tc>
          <w:tcPr>
            <w:tcW w:w="20" w:type="dxa"/>
            <w:vAlign w:val="bottom"/>
            <w:tcBorders>
              <w:bottom w:val="single" w:sz="8" w:color="auto"/>
            </w:tcBorders>
            <w:shd w:val="clear" w:color="auto" w:fill="CCEEFF"/>
          </w:tcPr>
          <w:p>
            <w:pPr>
              <w:spacing w:after="0"/>
              <w:rPr>
                <w:sz w:val="12"/>
                <w:szCs w:val="12"/>
                <w:color w:val="auto"/>
              </w:rPr>
            </w:pPr>
          </w:p>
        </w:tc>
        <w:tc>
          <w:tcPr>
            <w:tcW w:w="6340" w:type="dxa"/>
            <w:vAlign w:val="bottom"/>
            <w:tcBorders>
              <w:bottom w:val="single" w:sz="8" w:color="auto"/>
            </w:tcBorders>
            <w:gridSpan w:val="3"/>
            <w:shd w:val="clear" w:color="auto" w:fill="CCEEFF"/>
          </w:tcPr>
          <w:p>
            <w:pPr>
              <w:spacing w:after="0" w:line="139" w:lineRule="exact"/>
              <w:rPr>
                <w:sz w:val="20"/>
                <w:szCs w:val="20"/>
                <w:color w:val="auto"/>
              </w:rPr>
            </w:pPr>
            <w:r>
              <w:rPr>
                <w:rFonts w:ascii="Arial" w:cs="Arial" w:eastAsia="Arial" w:hAnsi="Arial"/>
                <w:sz w:val="16"/>
                <w:szCs w:val="16"/>
                <w:color w:val="auto"/>
                <w:vertAlign w:val="superscript"/>
              </w:rPr>
              <w:t>1</w:t>
            </w:r>
            <w:r>
              <w:rPr>
                <w:rFonts w:ascii="Arial" w:cs="Arial" w:eastAsia="Arial" w:hAnsi="Arial"/>
                <w:sz w:val="11"/>
                <w:szCs w:val="11"/>
                <w:color w:val="auto"/>
              </w:rPr>
              <w:t>Excludes deferred tax asset</w:t>
            </w:r>
          </w:p>
        </w:tc>
        <w:tc>
          <w:tcPr>
            <w:tcW w:w="4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r>
      <w:tr>
        <w:trPr>
          <w:trHeight w:val="344"/>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b w:val="1"/>
                <w:bCs w:val="1"/>
                <w:color w:val="auto"/>
              </w:rPr>
              <w:t>26.</w:t>
            </w:r>
          </w:p>
        </w:tc>
        <w:tc>
          <w:tcPr>
            <w:tcW w:w="5860" w:type="dxa"/>
            <w:vAlign w:val="bottom"/>
            <w:gridSpan w:val="2"/>
          </w:tcPr>
          <w:p>
            <w:pPr>
              <w:ind w:left="40"/>
              <w:spacing w:after="0"/>
              <w:rPr>
                <w:sz w:val="20"/>
                <w:szCs w:val="20"/>
                <w:color w:val="auto"/>
              </w:rPr>
            </w:pPr>
            <w:r>
              <w:rPr>
                <w:rFonts w:ascii="Arial" w:cs="Arial" w:eastAsia="Arial" w:hAnsi="Arial"/>
                <w:sz w:val="15"/>
                <w:szCs w:val="15"/>
                <w:b w:val="1"/>
                <w:bCs w:val="1"/>
                <w:color w:val="auto"/>
              </w:rPr>
              <w:t>PAYROLL AND RELATED COSTS</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3"/>
        </w:trPr>
        <w:tc>
          <w:tcPr>
            <w:tcW w:w="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Arial" w:cs="Arial" w:eastAsia="Arial" w:hAnsi="Arial"/>
                <w:sz w:val="15"/>
                <w:szCs w:val="15"/>
                <w:b w:val="1"/>
                <w:bCs w:val="1"/>
                <w:color w:val="auto"/>
              </w:rPr>
              <w:t>Expenses recognized for employee benefits are analyzed below:</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spacing w:after="0"/>
              <w:rPr>
                <w:sz w:val="14"/>
                <w:szCs w:val="14"/>
                <w:color w:val="auto"/>
              </w:rPr>
            </w:pPr>
          </w:p>
        </w:tc>
      </w:tr>
      <w:tr>
        <w:trPr>
          <w:trHeight w:val="11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980" w:type="dxa"/>
            <w:vAlign w:val="bottom"/>
            <w:gridSpan w:val="5"/>
          </w:tcPr>
          <w:p>
            <w:pPr>
              <w:jc w:val="right"/>
              <w:ind w:right="360"/>
              <w:spacing w:after="0" w:line="116" w:lineRule="exact"/>
              <w:rPr>
                <w:sz w:val="20"/>
                <w:szCs w:val="20"/>
                <w:color w:val="auto"/>
              </w:rPr>
            </w:pPr>
            <w:r>
              <w:rPr>
                <w:rFonts w:ascii="Arial" w:cs="Arial" w:eastAsia="Arial" w:hAnsi="Arial"/>
                <w:sz w:val="12"/>
                <w:szCs w:val="12"/>
                <w:b w:val="1"/>
                <w:bCs w:val="1"/>
                <w:color w:val="auto"/>
              </w:rPr>
              <w:t>June 30,</w:t>
            </w:r>
          </w:p>
        </w:tc>
        <w:tc>
          <w:tcPr>
            <w:tcW w:w="40" w:type="dxa"/>
            <w:vAlign w:val="bottom"/>
          </w:tcPr>
          <w:p>
            <w:pPr>
              <w:spacing w:after="0"/>
              <w:rPr>
                <w:sz w:val="10"/>
                <w:szCs w:val="10"/>
                <w:color w:val="auto"/>
              </w:rPr>
            </w:pPr>
          </w:p>
        </w:tc>
        <w:tc>
          <w:tcPr>
            <w:tcW w:w="780" w:type="dxa"/>
            <w:vAlign w:val="bottom"/>
            <w:gridSpan w:val="4"/>
          </w:tcPr>
          <w:p>
            <w:pPr>
              <w:ind w:left="40"/>
              <w:spacing w:after="0" w:line="116" w:lineRule="exact"/>
              <w:rPr>
                <w:sz w:val="20"/>
                <w:szCs w:val="20"/>
                <w:color w:val="auto"/>
              </w:rPr>
            </w:pPr>
            <w:r>
              <w:rPr>
                <w:rFonts w:ascii="Arial" w:cs="Arial" w:eastAsia="Arial" w:hAnsi="Arial"/>
                <w:sz w:val="12"/>
                <w:szCs w:val="12"/>
                <w:b w:val="1"/>
                <w:bCs w:val="1"/>
                <w:color w:val="auto"/>
              </w:rPr>
              <w:t>June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16" w:lineRule="exact"/>
              <w:rPr>
                <w:sz w:val="20"/>
                <w:szCs w:val="20"/>
                <w:color w:val="auto"/>
              </w:rPr>
            </w:pPr>
            <w:r>
              <w:rPr>
                <w:rFonts w:ascii="Arial" w:cs="Arial" w:eastAsia="Arial" w:hAnsi="Arial"/>
                <w:sz w:val="12"/>
                <w:szCs w:val="12"/>
                <w:b w:val="1"/>
                <w:bCs w:val="1"/>
                <w:color w:val="auto"/>
              </w:rPr>
              <w:t>June 30,</w:t>
            </w:r>
          </w:p>
        </w:tc>
      </w:tr>
      <w:tr>
        <w:trPr>
          <w:trHeight w:val="141"/>
        </w:trPr>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ind w:left="40"/>
              <w:spacing w:after="0" w:line="124" w:lineRule="exact"/>
              <w:rPr>
                <w:sz w:val="20"/>
                <w:szCs w:val="20"/>
                <w:color w:val="auto"/>
              </w:rPr>
            </w:pPr>
            <w:r>
              <w:rPr>
                <w:rFonts w:ascii="Arial" w:cs="Arial" w:eastAsia="Arial" w:hAnsi="Arial"/>
                <w:sz w:val="12"/>
                <w:szCs w:val="12"/>
                <w:b w:val="1"/>
                <w:bCs w:val="1"/>
                <w:color w:val="auto"/>
              </w:rPr>
              <w:t>(US$’000)</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157"/>
        </w:trPr>
        <w:tc>
          <w:tcPr>
            <w:tcW w:w="20" w:type="dxa"/>
            <w:vAlign w:val="bottom"/>
            <w:shd w:val="clear" w:color="auto" w:fill="CCEEFF"/>
          </w:tcPr>
          <w:p>
            <w:pPr>
              <w:spacing w:after="0"/>
              <w:rPr>
                <w:sz w:val="13"/>
                <w:szCs w:val="13"/>
                <w:color w:val="auto"/>
              </w:rPr>
            </w:pPr>
          </w:p>
        </w:tc>
        <w:tc>
          <w:tcPr>
            <w:tcW w:w="6340" w:type="dxa"/>
            <w:vAlign w:val="bottom"/>
            <w:gridSpan w:val="3"/>
            <w:shd w:val="clear" w:color="auto" w:fill="CCEEFF"/>
          </w:tcPr>
          <w:p>
            <w:pPr>
              <w:spacing w:after="0" w:line="157" w:lineRule="exact"/>
              <w:rPr>
                <w:sz w:val="20"/>
                <w:szCs w:val="20"/>
                <w:color w:val="auto"/>
              </w:rPr>
            </w:pPr>
            <w:r>
              <w:rPr>
                <w:rFonts w:ascii="Arial" w:cs="Arial" w:eastAsia="Arial" w:hAnsi="Arial"/>
                <w:sz w:val="15"/>
                <w:szCs w:val="15"/>
                <w:color w:val="auto"/>
              </w:rPr>
              <w:t>Salaries and other employee costs</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289,740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40"/>
              <w:spacing w:after="0" w:line="157" w:lineRule="exact"/>
              <w:rPr>
                <w:sz w:val="20"/>
                <w:szCs w:val="20"/>
                <w:color w:val="auto"/>
              </w:rPr>
            </w:pPr>
            <w:r>
              <w:rPr>
                <w:rFonts w:ascii="Arial" w:cs="Arial" w:eastAsia="Arial" w:hAnsi="Arial"/>
                <w:sz w:val="15"/>
                <w:szCs w:val="15"/>
                <w:color w:val="auto"/>
              </w:rPr>
              <w:t>247,926</w:t>
            </w:r>
          </w:p>
        </w:tc>
        <w:tc>
          <w:tcPr>
            <w:tcW w:w="100" w:type="dxa"/>
            <w:vAlign w:val="bottom"/>
            <w:shd w:val="clear" w:color="auto" w:fill="CCEEFF"/>
          </w:tcPr>
          <w:p>
            <w:pPr>
              <w:spacing w:after="0"/>
              <w:rPr>
                <w:sz w:val="13"/>
                <w:szCs w:val="13"/>
                <w:color w:val="auto"/>
              </w:rPr>
            </w:pPr>
          </w:p>
        </w:tc>
        <w:tc>
          <w:tcPr>
            <w:tcW w:w="860" w:type="dxa"/>
            <w:vAlign w:val="bottom"/>
            <w:gridSpan w:val="4"/>
            <w:shd w:val="clear" w:color="auto" w:fill="CCEEFF"/>
          </w:tcPr>
          <w:p>
            <w:pPr>
              <w:jc w:val="right"/>
              <w:ind w:right="40"/>
              <w:spacing w:after="0" w:line="157" w:lineRule="exact"/>
              <w:rPr>
                <w:sz w:val="20"/>
                <w:szCs w:val="20"/>
                <w:color w:val="auto"/>
              </w:rPr>
            </w:pPr>
            <w:r>
              <w:rPr>
                <w:rFonts w:ascii="Arial" w:cs="Arial" w:eastAsia="Arial" w:hAnsi="Arial"/>
                <w:sz w:val="15"/>
                <w:szCs w:val="15"/>
                <w:color w:val="auto"/>
              </w:rPr>
              <w:t>228,818</w:t>
            </w:r>
          </w:p>
        </w:tc>
      </w:tr>
      <w:tr>
        <w:trPr>
          <w:trHeight w:val="166"/>
        </w:trPr>
        <w:tc>
          <w:tcPr>
            <w:tcW w:w="20" w:type="dxa"/>
            <w:vAlign w:val="bottom"/>
          </w:tcPr>
          <w:p>
            <w:pPr>
              <w:spacing w:after="0"/>
              <w:rPr>
                <w:sz w:val="14"/>
                <w:szCs w:val="14"/>
                <w:color w:val="auto"/>
              </w:rPr>
            </w:pPr>
          </w:p>
        </w:tc>
        <w:tc>
          <w:tcPr>
            <w:tcW w:w="6340" w:type="dxa"/>
            <w:vAlign w:val="bottom"/>
            <w:gridSpan w:val="3"/>
          </w:tcPr>
          <w:p>
            <w:pPr>
              <w:spacing w:after="0" w:line="166" w:lineRule="exact"/>
              <w:rPr>
                <w:sz w:val="20"/>
                <w:szCs w:val="20"/>
                <w:color w:val="auto"/>
              </w:rPr>
            </w:pPr>
            <w:r>
              <w:rPr>
                <w:rFonts w:ascii="Arial" w:cs="Arial" w:eastAsia="Arial" w:hAnsi="Arial"/>
                <w:sz w:val="15"/>
                <w:szCs w:val="15"/>
                <w:color w:val="auto"/>
              </w:rPr>
              <w:t>Social security and other taxes</w:t>
            </w:r>
          </w:p>
        </w:tc>
        <w:tc>
          <w:tcPr>
            <w:tcW w:w="7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51,403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right"/>
              <w:ind w:right="40"/>
              <w:spacing w:after="0" w:line="166" w:lineRule="exact"/>
              <w:rPr>
                <w:sz w:val="20"/>
                <w:szCs w:val="20"/>
                <w:color w:val="auto"/>
              </w:rPr>
            </w:pPr>
            <w:r>
              <w:rPr>
                <w:rFonts w:ascii="Arial" w:cs="Arial" w:eastAsia="Arial" w:hAnsi="Arial"/>
                <w:sz w:val="15"/>
                <w:szCs w:val="15"/>
                <w:color w:val="auto"/>
              </w:rPr>
              <w:t>47,874</w:t>
            </w:r>
          </w:p>
        </w:tc>
        <w:tc>
          <w:tcPr>
            <w:tcW w:w="100" w:type="dxa"/>
            <w:vAlign w:val="bottom"/>
          </w:tcPr>
          <w:p>
            <w:pPr>
              <w:spacing w:after="0"/>
              <w:rPr>
                <w:sz w:val="14"/>
                <w:szCs w:val="14"/>
                <w:color w:val="auto"/>
              </w:rPr>
            </w:pPr>
          </w:p>
        </w:tc>
        <w:tc>
          <w:tcPr>
            <w:tcW w:w="860" w:type="dxa"/>
            <w:vAlign w:val="bottom"/>
            <w:gridSpan w:val="4"/>
          </w:tcPr>
          <w:p>
            <w:pPr>
              <w:jc w:val="right"/>
              <w:ind w:right="40"/>
              <w:spacing w:after="0" w:line="166" w:lineRule="exact"/>
              <w:rPr>
                <w:sz w:val="20"/>
                <w:szCs w:val="20"/>
                <w:color w:val="auto"/>
              </w:rPr>
            </w:pPr>
            <w:r>
              <w:rPr>
                <w:rFonts w:ascii="Arial" w:cs="Arial" w:eastAsia="Arial" w:hAnsi="Arial"/>
                <w:sz w:val="15"/>
                <w:szCs w:val="15"/>
                <w:color w:val="auto"/>
              </w:rPr>
              <w:t>46,480</w:t>
            </w:r>
          </w:p>
        </w:tc>
      </w:tr>
      <w:tr>
        <w:trPr>
          <w:trHeight w:val="166"/>
        </w:trPr>
        <w:tc>
          <w:tcPr>
            <w:tcW w:w="20" w:type="dxa"/>
            <w:vAlign w:val="bottom"/>
            <w:shd w:val="clear" w:color="auto" w:fill="CCEEFF"/>
          </w:tcPr>
          <w:p>
            <w:pPr>
              <w:spacing w:after="0"/>
              <w:rPr>
                <w:sz w:val="14"/>
                <w:szCs w:val="14"/>
                <w:color w:val="auto"/>
              </w:rPr>
            </w:pPr>
          </w:p>
        </w:tc>
        <w:tc>
          <w:tcPr>
            <w:tcW w:w="6340" w:type="dxa"/>
            <w:vAlign w:val="bottom"/>
            <w:gridSpan w:val="3"/>
            <w:shd w:val="clear" w:color="auto" w:fill="CCEEFF"/>
          </w:tcPr>
          <w:p>
            <w:pPr>
              <w:spacing w:after="0" w:line="166" w:lineRule="exact"/>
              <w:rPr>
                <w:sz w:val="20"/>
                <w:szCs w:val="20"/>
                <w:color w:val="auto"/>
              </w:rPr>
            </w:pPr>
            <w:r>
              <w:rPr>
                <w:rFonts w:ascii="Arial" w:cs="Arial" w:eastAsia="Arial" w:hAnsi="Arial"/>
                <w:sz w:val="15"/>
                <w:szCs w:val="15"/>
                <w:color w:val="auto"/>
              </w:rPr>
              <w:t>Retirement - contribution plan</w:t>
            </w:r>
          </w:p>
        </w:tc>
        <w:tc>
          <w:tcPr>
            <w:tcW w:w="78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718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771</w:t>
            </w:r>
          </w:p>
        </w:tc>
        <w:tc>
          <w:tcPr>
            <w:tcW w:w="10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823</w:t>
            </w:r>
          </w:p>
        </w:tc>
      </w:tr>
      <w:tr>
        <w:trPr>
          <w:trHeight w:val="166"/>
        </w:trPr>
        <w:tc>
          <w:tcPr>
            <w:tcW w:w="20" w:type="dxa"/>
            <w:vAlign w:val="bottom"/>
          </w:tcPr>
          <w:p>
            <w:pPr>
              <w:spacing w:after="0"/>
              <w:rPr>
                <w:sz w:val="14"/>
                <w:szCs w:val="14"/>
                <w:color w:val="auto"/>
              </w:rPr>
            </w:pPr>
          </w:p>
        </w:tc>
        <w:tc>
          <w:tcPr>
            <w:tcW w:w="6340" w:type="dxa"/>
            <w:vAlign w:val="bottom"/>
            <w:gridSpan w:val="3"/>
          </w:tcPr>
          <w:p>
            <w:pPr>
              <w:spacing w:after="0" w:line="166" w:lineRule="exact"/>
              <w:rPr>
                <w:sz w:val="20"/>
                <w:szCs w:val="20"/>
                <w:color w:val="auto"/>
              </w:rPr>
            </w:pPr>
            <w:r>
              <w:rPr>
                <w:rFonts w:ascii="Arial" w:cs="Arial" w:eastAsia="Arial" w:hAnsi="Arial"/>
                <w:sz w:val="15"/>
                <w:szCs w:val="15"/>
                <w:color w:val="auto"/>
              </w:rPr>
              <w:t>Pensions - defined benefit scheme</w:t>
            </w:r>
          </w:p>
        </w:tc>
        <w:tc>
          <w:tcPr>
            <w:tcW w:w="78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278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jc w:val="right"/>
              <w:ind w:right="40"/>
              <w:spacing w:after="0" w:line="166" w:lineRule="exact"/>
              <w:rPr>
                <w:sz w:val="20"/>
                <w:szCs w:val="20"/>
                <w:color w:val="auto"/>
              </w:rPr>
            </w:pPr>
            <w:r>
              <w:rPr>
                <w:rFonts w:ascii="Arial" w:cs="Arial" w:eastAsia="Arial" w:hAnsi="Arial"/>
                <w:sz w:val="15"/>
                <w:szCs w:val="15"/>
                <w:color w:val="auto"/>
              </w:rPr>
              <w:t>228</w:t>
            </w:r>
          </w:p>
        </w:tc>
        <w:tc>
          <w:tcPr>
            <w:tcW w:w="100" w:type="dxa"/>
            <w:vAlign w:val="bottom"/>
          </w:tcPr>
          <w:p>
            <w:pPr>
              <w:spacing w:after="0"/>
              <w:rPr>
                <w:sz w:val="14"/>
                <w:szCs w:val="14"/>
                <w:color w:val="auto"/>
              </w:rPr>
            </w:pPr>
          </w:p>
        </w:tc>
        <w:tc>
          <w:tcPr>
            <w:tcW w:w="860" w:type="dxa"/>
            <w:vAlign w:val="bottom"/>
            <w:gridSpan w:val="4"/>
          </w:tcPr>
          <w:p>
            <w:pPr>
              <w:jc w:val="right"/>
              <w:ind w:right="40"/>
              <w:spacing w:after="0" w:line="166" w:lineRule="exact"/>
              <w:rPr>
                <w:sz w:val="20"/>
                <w:szCs w:val="20"/>
                <w:color w:val="auto"/>
              </w:rPr>
            </w:pPr>
            <w:r>
              <w:rPr>
                <w:rFonts w:ascii="Arial" w:cs="Arial" w:eastAsia="Arial" w:hAnsi="Arial"/>
                <w:sz w:val="15"/>
                <w:szCs w:val="15"/>
                <w:color w:val="auto"/>
              </w:rPr>
              <w:t>134</w:t>
            </w:r>
          </w:p>
        </w:tc>
      </w:tr>
      <w:tr>
        <w:trPr>
          <w:trHeight w:val="157"/>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340" w:type="dxa"/>
            <w:vAlign w:val="bottom"/>
            <w:tcBorders>
              <w:top w:val="single" w:sz="8" w:color="CCEEFF"/>
              <w:bottom w:val="single" w:sz="8" w:color="CCEEFF"/>
            </w:tcBorders>
            <w:gridSpan w:val="3"/>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payroll and related costs</w:t>
            </w:r>
          </w:p>
        </w:tc>
        <w:tc>
          <w:tcPr>
            <w:tcW w:w="780" w:type="dxa"/>
            <w:vAlign w:val="bottom"/>
            <w:tcBorders>
              <w:top w:val="single" w:sz="8" w:color="auto"/>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342,139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gridSpan w:val="4"/>
            <w:shd w:val="clear" w:color="auto" w:fill="CCEEFF"/>
          </w:tcPr>
          <w:p>
            <w:pPr>
              <w:jc w:val="right"/>
              <w:ind w:right="40"/>
              <w:spacing w:after="0" w:line="157" w:lineRule="exact"/>
              <w:rPr>
                <w:sz w:val="20"/>
                <w:szCs w:val="20"/>
                <w:color w:val="auto"/>
              </w:rPr>
            </w:pPr>
            <w:r>
              <w:rPr>
                <w:rFonts w:ascii="Arial" w:cs="Arial" w:eastAsia="Arial" w:hAnsi="Arial"/>
                <w:sz w:val="15"/>
                <w:szCs w:val="15"/>
                <w:color w:val="auto"/>
              </w:rPr>
              <w:t>296,799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gridSpan w:val="3"/>
            <w:shd w:val="clear" w:color="auto" w:fill="CCEEFF"/>
          </w:tcPr>
          <w:p>
            <w:pPr>
              <w:jc w:val="right"/>
              <w:ind w:right="40"/>
              <w:spacing w:after="0" w:line="157" w:lineRule="exact"/>
              <w:rPr>
                <w:sz w:val="20"/>
                <w:szCs w:val="20"/>
                <w:color w:val="auto"/>
              </w:rPr>
            </w:pPr>
            <w:r>
              <w:rPr>
                <w:rFonts w:ascii="Arial" w:cs="Arial" w:eastAsia="Arial" w:hAnsi="Arial"/>
                <w:sz w:val="15"/>
                <w:szCs w:val="15"/>
                <w:color w:val="auto"/>
              </w:rPr>
              <w:t>276,255</w:t>
            </w:r>
          </w:p>
        </w:tc>
      </w:tr>
      <w:tr>
        <w:trPr>
          <w:trHeight w:val="20"/>
        </w:trPr>
        <w:tc>
          <w:tcPr>
            <w:tcW w:w="2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39"/>
        </w:trPr>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r>
      <w:tr>
        <w:trPr>
          <w:trHeight w:val="366"/>
        </w:trPr>
        <w:tc>
          <w:tcPr>
            <w:tcW w:w="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Arial" w:cs="Arial" w:eastAsia="Arial" w:hAnsi="Arial"/>
                <w:sz w:val="15"/>
                <w:szCs w:val="15"/>
                <w:b w:val="1"/>
                <w:bCs w:val="1"/>
                <w:color w:val="auto"/>
              </w:rPr>
              <w:t>26.1 Remuneration of Key Management Personnel</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5"/>
        </w:trPr>
        <w:tc>
          <w:tcPr>
            <w:tcW w:w="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The key management personnel includes the directors.</w:t>
            </w: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0"/>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4"/>
          </w:tcPr>
          <w:p>
            <w:pPr>
              <w:jc w:val="center"/>
              <w:spacing w:after="0" w:line="121" w:lineRule="exact"/>
              <w:rPr>
                <w:sz w:val="20"/>
                <w:szCs w:val="20"/>
                <w:color w:val="auto"/>
              </w:rPr>
            </w:pPr>
            <w:r>
              <w:rPr>
                <w:rFonts w:ascii="Arial" w:cs="Arial" w:eastAsia="Arial" w:hAnsi="Arial"/>
                <w:sz w:val="12"/>
                <w:szCs w:val="12"/>
                <w:b w:val="1"/>
                <w:bCs w:val="1"/>
                <w:color w:val="auto"/>
                <w:w w:val="99"/>
              </w:rPr>
              <w:t>June 30,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June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0"/>
                <w:szCs w:val="10"/>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2022</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3"/>
          </w:tcPr>
          <w:p>
            <w:pPr>
              <w:ind w:left="40"/>
              <w:spacing w:after="0" w:line="124" w:lineRule="exact"/>
              <w:rPr>
                <w:sz w:val="20"/>
                <w:szCs w:val="20"/>
                <w:color w:val="auto"/>
              </w:rPr>
            </w:pPr>
            <w:r>
              <w:rPr>
                <w:rFonts w:ascii="Arial" w:cs="Arial" w:eastAsia="Arial" w:hAnsi="Arial"/>
                <w:sz w:val="12"/>
                <w:szCs w:val="12"/>
                <w:b w:val="1"/>
                <w:bCs w:val="1"/>
                <w:color w:val="auto"/>
              </w:rPr>
              <w:t>(US$’000)</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57"/>
        </w:trPr>
        <w:tc>
          <w:tcPr>
            <w:tcW w:w="20" w:type="dxa"/>
            <w:vAlign w:val="bottom"/>
            <w:shd w:val="clear" w:color="auto" w:fill="CCEEFF"/>
          </w:tcPr>
          <w:p>
            <w:pPr>
              <w:spacing w:after="0"/>
              <w:rPr>
                <w:sz w:val="13"/>
                <w:szCs w:val="13"/>
                <w:color w:val="auto"/>
              </w:rPr>
            </w:pPr>
          </w:p>
        </w:tc>
        <w:tc>
          <w:tcPr>
            <w:tcW w:w="6340" w:type="dxa"/>
            <w:vAlign w:val="bottom"/>
            <w:gridSpan w:val="3"/>
            <w:shd w:val="clear" w:color="auto" w:fill="CCEEFF"/>
          </w:tcPr>
          <w:p>
            <w:pPr>
              <w:spacing w:after="0" w:line="157" w:lineRule="exact"/>
              <w:rPr>
                <w:sz w:val="20"/>
                <w:szCs w:val="20"/>
                <w:color w:val="auto"/>
              </w:rPr>
            </w:pPr>
            <w:r>
              <w:rPr>
                <w:rFonts w:ascii="Arial" w:cs="Arial" w:eastAsia="Arial" w:hAnsi="Arial"/>
                <w:sz w:val="15"/>
                <w:szCs w:val="15"/>
                <w:color w:val="auto"/>
              </w:rPr>
              <w:t>Salaries and other employee costs</w:t>
            </w:r>
          </w:p>
        </w:tc>
        <w:tc>
          <w:tcPr>
            <w:tcW w:w="980" w:type="dxa"/>
            <w:vAlign w:val="bottom"/>
            <w:gridSpan w:val="5"/>
            <w:shd w:val="clear" w:color="auto" w:fill="CCEEFF"/>
          </w:tcPr>
          <w:p>
            <w:pPr>
              <w:jc w:val="right"/>
              <w:spacing w:after="0" w:line="157" w:lineRule="exact"/>
              <w:rPr>
                <w:sz w:val="20"/>
                <w:szCs w:val="20"/>
                <w:color w:val="auto"/>
              </w:rPr>
            </w:pPr>
            <w:r>
              <w:rPr>
                <w:rFonts w:ascii="Arial" w:cs="Arial" w:eastAsia="Arial" w:hAnsi="Arial"/>
                <w:sz w:val="15"/>
                <w:szCs w:val="15"/>
                <w:color w:val="auto"/>
              </w:rPr>
              <w:t>5,055</w:t>
            </w:r>
          </w:p>
        </w:tc>
        <w:tc>
          <w:tcPr>
            <w:tcW w:w="820" w:type="dxa"/>
            <w:vAlign w:val="bottom"/>
            <w:gridSpan w:val="5"/>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5,293</w:t>
            </w:r>
          </w:p>
        </w:tc>
        <w:tc>
          <w:tcPr>
            <w:tcW w:w="78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5"/>
                <w:szCs w:val="15"/>
                <w:color w:val="auto"/>
              </w:rPr>
              <w:t>5,524</w:t>
            </w:r>
          </w:p>
        </w:tc>
        <w:tc>
          <w:tcPr>
            <w:tcW w:w="8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6340" w:type="dxa"/>
            <w:vAlign w:val="bottom"/>
            <w:gridSpan w:val="3"/>
          </w:tcPr>
          <w:p>
            <w:pPr>
              <w:spacing w:after="0" w:line="166" w:lineRule="exact"/>
              <w:rPr>
                <w:sz w:val="20"/>
                <w:szCs w:val="20"/>
                <w:color w:val="auto"/>
              </w:rPr>
            </w:pPr>
            <w:r>
              <w:rPr>
                <w:rFonts w:ascii="Arial" w:cs="Arial" w:eastAsia="Arial" w:hAnsi="Arial"/>
                <w:sz w:val="15"/>
                <w:szCs w:val="15"/>
                <w:color w:val="auto"/>
              </w:rPr>
              <w:t>Share - based payments</w:t>
            </w:r>
          </w:p>
        </w:tc>
        <w:tc>
          <w:tcPr>
            <w:tcW w:w="980" w:type="dxa"/>
            <w:vAlign w:val="bottom"/>
            <w:gridSpan w:val="5"/>
          </w:tcPr>
          <w:p>
            <w:pPr>
              <w:jc w:val="right"/>
              <w:spacing w:after="0" w:line="166" w:lineRule="exact"/>
              <w:rPr>
                <w:sz w:val="20"/>
                <w:szCs w:val="20"/>
                <w:color w:val="auto"/>
              </w:rPr>
            </w:pPr>
            <w:r>
              <w:rPr>
                <w:rFonts w:ascii="Arial" w:cs="Arial" w:eastAsia="Arial" w:hAnsi="Arial"/>
                <w:sz w:val="15"/>
                <w:szCs w:val="15"/>
                <w:color w:val="auto"/>
              </w:rPr>
              <w:t>847</w:t>
            </w:r>
          </w:p>
        </w:tc>
        <w:tc>
          <w:tcPr>
            <w:tcW w:w="820" w:type="dxa"/>
            <w:vAlign w:val="bottom"/>
            <w:gridSpan w:val="5"/>
          </w:tcPr>
          <w:p>
            <w:pPr>
              <w:jc w:val="right"/>
              <w:ind w:right="60"/>
              <w:spacing w:after="0" w:line="166" w:lineRule="exact"/>
              <w:rPr>
                <w:sz w:val="20"/>
                <w:szCs w:val="20"/>
                <w:color w:val="auto"/>
              </w:rPr>
            </w:pPr>
            <w:r>
              <w:rPr>
                <w:rFonts w:ascii="Arial" w:cs="Arial" w:eastAsia="Arial" w:hAnsi="Arial"/>
                <w:sz w:val="15"/>
                <w:szCs w:val="15"/>
                <w:color w:val="auto"/>
              </w:rPr>
              <w:t>1,671</w:t>
            </w:r>
          </w:p>
        </w:tc>
        <w:tc>
          <w:tcPr>
            <w:tcW w:w="780" w:type="dxa"/>
            <w:vAlign w:val="bottom"/>
            <w:gridSpan w:val="3"/>
          </w:tcPr>
          <w:p>
            <w:pPr>
              <w:jc w:val="right"/>
              <w:spacing w:after="0" w:line="166" w:lineRule="exact"/>
              <w:rPr>
                <w:sz w:val="20"/>
                <w:szCs w:val="20"/>
                <w:color w:val="auto"/>
              </w:rPr>
            </w:pPr>
            <w:r>
              <w:rPr>
                <w:rFonts w:ascii="Arial" w:cs="Arial" w:eastAsia="Arial" w:hAnsi="Arial"/>
                <w:sz w:val="15"/>
                <w:szCs w:val="15"/>
                <w:color w:val="auto"/>
              </w:rPr>
              <w:t>214</w:t>
            </w:r>
          </w:p>
        </w:tc>
        <w:tc>
          <w:tcPr>
            <w:tcW w:w="80" w:type="dxa"/>
            <w:vAlign w:val="bottom"/>
          </w:tcPr>
          <w:p>
            <w:pPr>
              <w:spacing w:after="0"/>
              <w:rPr>
                <w:sz w:val="14"/>
                <w:szCs w:val="14"/>
                <w:color w:val="auto"/>
              </w:rPr>
            </w:pPr>
          </w:p>
        </w:tc>
      </w:tr>
      <w:tr>
        <w:trPr>
          <w:trHeight w:val="157"/>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340" w:type="dxa"/>
            <w:vAlign w:val="bottom"/>
            <w:tcBorders>
              <w:top w:val="single" w:sz="8" w:color="CCEEFF"/>
              <w:bottom w:val="single" w:sz="8" w:color="CCEEFF"/>
            </w:tcBorders>
            <w:gridSpan w:val="3"/>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Total remuneration of key management personnel</w:t>
            </w: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gridSpan w:val="4"/>
            <w:shd w:val="clear" w:color="auto" w:fill="CCEEFF"/>
          </w:tcPr>
          <w:p>
            <w:pPr>
              <w:jc w:val="right"/>
              <w:spacing w:after="0" w:line="157" w:lineRule="exact"/>
              <w:rPr>
                <w:sz w:val="20"/>
                <w:szCs w:val="20"/>
                <w:color w:val="auto"/>
              </w:rPr>
            </w:pPr>
            <w:r>
              <w:rPr>
                <w:rFonts w:ascii="Arial" w:cs="Arial" w:eastAsia="Arial" w:hAnsi="Arial"/>
                <w:sz w:val="15"/>
                <w:szCs w:val="15"/>
                <w:color w:val="auto"/>
              </w:rPr>
              <w:t>5,902</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gridSpan w:val="3"/>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6,964</w:t>
            </w: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5,738</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9"/>
        </w:trPr>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40"/>
          </w:cols>
          <w:pgMar w:left="1440" w:top="432" w:right="1419" w:bottom="1440" w:gutter="0" w:footer="0" w:header="0"/>
        </w:sectPr>
      </w:pPr>
    </w:p>
    <w:bookmarkStart w:id="199" w:name="page200"/>
    <w:bookmarkEnd w:id="19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67" w:lineRule="exact"/>
        <w:rPr>
          <w:sz w:val="20"/>
          <w:szCs w:val="20"/>
          <w:color w:val="auto"/>
        </w:rPr>
      </w:pPr>
    </w:p>
    <w:p>
      <w:pPr>
        <w:ind w:left="560" w:hanging="525"/>
        <w:spacing w:after="0"/>
        <w:tabs>
          <w:tab w:leader="none" w:pos="560" w:val="left"/>
        </w:tabs>
        <w:numPr>
          <w:ilvl w:val="0"/>
          <w:numId w:val="125"/>
        </w:numPr>
        <w:rPr>
          <w:rFonts w:ascii="Arial" w:cs="Arial" w:eastAsia="Arial" w:hAnsi="Arial"/>
          <w:sz w:val="15"/>
          <w:szCs w:val="15"/>
          <w:b w:val="1"/>
          <w:bCs w:val="1"/>
          <w:color w:val="auto"/>
        </w:rPr>
      </w:pPr>
      <w:r>
        <w:rPr>
          <w:rFonts w:ascii="Arial" w:cs="Arial" w:eastAsia="Arial" w:hAnsi="Arial"/>
          <w:sz w:val="15"/>
          <w:szCs w:val="15"/>
          <w:b w:val="1"/>
          <w:bCs w:val="1"/>
          <w:color w:val="auto"/>
        </w:rPr>
        <w:t>OTHER OPERATING COSTS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4080" w:type="dxa"/>
            <w:vAlign w:val="bottom"/>
            <w:tcBorders>
              <w:top w:val="single" w:sz="8" w:color="auto"/>
            </w:tcBorders>
          </w:tcPr>
          <w:p>
            <w:pPr>
              <w:spacing w:after="0"/>
              <w:rPr>
                <w:sz w:val="11"/>
                <w:szCs w:val="11"/>
                <w:color w:val="auto"/>
              </w:rPr>
            </w:pPr>
          </w:p>
        </w:tc>
        <w:tc>
          <w:tcPr>
            <w:tcW w:w="24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June 30,</w:t>
            </w:r>
          </w:p>
        </w:tc>
        <w:tc>
          <w:tcPr>
            <w:tcW w:w="880" w:type="dxa"/>
            <w:vAlign w:val="bottom"/>
            <w:tcBorders>
              <w:top w:val="single" w:sz="8" w:color="auto"/>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June 30,</w:t>
            </w:r>
          </w:p>
        </w:tc>
        <w:tc>
          <w:tcPr>
            <w:tcW w:w="680" w:type="dxa"/>
            <w:vAlign w:val="bottom"/>
            <w:tcBorders>
              <w:top w:val="single" w:sz="8" w:color="auto"/>
            </w:tcBorders>
          </w:tcPr>
          <w:p>
            <w:pPr>
              <w:jc w:val="right"/>
              <w:ind w:right="69"/>
              <w:spacing w:after="0" w:line="136" w:lineRule="exact"/>
              <w:rPr>
                <w:sz w:val="20"/>
                <w:szCs w:val="20"/>
                <w:color w:val="auto"/>
              </w:rPr>
            </w:pPr>
            <w:r>
              <w:rPr>
                <w:rFonts w:ascii="Arial" w:cs="Arial" w:eastAsia="Arial" w:hAnsi="Arial"/>
                <w:sz w:val="12"/>
                <w:szCs w:val="12"/>
                <w:b w:val="1"/>
                <w:bCs w:val="1"/>
                <w:color w:val="auto"/>
              </w:rPr>
              <w:t>June 30,</w:t>
            </w:r>
          </w:p>
        </w:tc>
      </w:tr>
      <w:tr>
        <w:trPr>
          <w:trHeight w:val="141"/>
        </w:trPr>
        <w:tc>
          <w:tcPr>
            <w:tcW w:w="40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ind w:left="1880"/>
              <w:spacing w:after="0"/>
              <w:rPr>
                <w:sz w:val="20"/>
                <w:szCs w:val="20"/>
                <w:color w:val="auto"/>
              </w:rPr>
            </w:pPr>
            <w:r>
              <w:rPr>
                <w:rFonts w:ascii="Arial" w:cs="Arial" w:eastAsia="Arial" w:hAnsi="Arial"/>
                <w:sz w:val="12"/>
                <w:szCs w:val="12"/>
                <w:b w:val="1"/>
                <w:bCs w:val="1"/>
                <w:i w:val="1"/>
                <w:iCs w:val="1"/>
                <w:color w:val="auto"/>
              </w:rPr>
              <w:t>Note</w:t>
            </w: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2020</w:t>
            </w:r>
          </w:p>
        </w:tc>
      </w:tr>
      <w:tr>
        <w:trPr>
          <w:trHeight w:val="124"/>
        </w:trPr>
        <w:tc>
          <w:tcPr>
            <w:tcW w:w="40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60"/>
              <w:spacing w:after="0" w:line="124" w:lineRule="exact"/>
              <w:rPr>
                <w:sz w:val="20"/>
                <w:szCs w:val="20"/>
                <w:color w:val="auto"/>
              </w:rPr>
            </w:pPr>
            <w:r>
              <w:rPr>
                <w:rFonts w:ascii="Arial" w:cs="Arial" w:eastAsia="Arial" w:hAnsi="Arial"/>
                <w:sz w:val="12"/>
                <w:szCs w:val="12"/>
                <w:b w:val="1"/>
                <w:bCs w:val="1"/>
                <w:color w:val="auto"/>
              </w:rPr>
              <w:t>(US$’000)</w:t>
            </w:r>
          </w:p>
        </w:tc>
        <w:tc>
          <w:tcPr>
            <w:tcW w:w="680" w:type="dxa"/>
            <w:vAlign w:val="bottom"/>
            <w:tcBorders>
              <w:bottom w:val="single" w:sz="8" w:color="auto"/>
            </w:tcBorders>
          </w:tcPr>
          <w:p>
            <w:pPr>
              <w:spacing w:after="0"/>
              <w:rPr>
                <w:sz w:val="10"/>
                <w:szCs w:val="10"/>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Rent and utilities</w:t>
            </w:r>
          </w:p>
        </w:tc>
        <w:tc>
          <w:tcPr>
            <w:tcW w:w="2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10,797</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8,462</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7,802</w:t>
            </w:r>
          </w:p>
        </w:tc>
      </w:tr>
      <w:tr>
        <w:trPr>
          <w:trHeight w:val="166"/>
        </w:trPr>
        <w:tc>
          <w:tcPr>
            <w:tcW w:w="4080" w:type="dxa"/>
            <w:vAlign w:val="bottom"/>
          </w:tcPr>
          <w:p>
            <w:pPr>
              <w:spacing w:after="0" w:line="166" w:lineRule="exact"/>
              <w:rPr>
                <w:sz w:val="20"/>
                <w:szCs w:val="20"/>
                <w:color w:val="auto"/>
              </w:rPr>
            </w:pPr>
            <w:r>
              <w:rPr>
                <w:rFonts w:ascii="Arial" w:cs="Arial" w:eastAsia="Arial" w:hAnsi="Arial"/>
                <w:sz w:val="15"/>
                <w:szCs w:val="15"/>
                <w:color w:val="auto"/>
              </w:rPr>
              <w:t>Telecommunication</w:t>
            </w:r>
          </w:p>
        </w:tc>
        <w:tc>
          <w:tcPr>
            <w:tcW w:w="242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7,378</w:t>
            </w:r>
          </w:p>
        </w:tc>
        <w:tc>
          <w:tcPr>
            <w:tcW w:w="2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6,890</w:t>
            </w:r>
          </w:p>
        </w:tc>
        <w:tc>
          <w:tcPr>
            <w:tcW w:w="2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6,908</w:t>
            </w:r>
          </w:p>
        </w:tc>
      </w:tr>
      <w:tr>
        <w:trPr>
          <w:trHeight w:val="166"/>
        </w:trPr>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Information technology</w:t>
            </w:r>
          </w:p>
        </w:tc>
        <w:tc>
          <w:tcPr>
            <w:tcW w:w="2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10,130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8,331</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5,225</w:t>
            </w:r>
          </w:p>
        </w:tc>
      </w:tr>
      <w:tr>
        <w:trPr>
          <w:trHeight w:val="166"/>
        </w:trPr>
        <w:tc>
          <w:tcPr>
            <w:tcW w:w="4080" w:type="dxa"/>
            <w:vAlign w:val="bottom"/>
          </w:tcPr>
          <w:p>
            <w:pPr>
              <w:spacing w:after="0" w:line="166" w:lineRule="exact"/>
              <w:rPr>
                <w:sz w:val="20"/>
                <w:szCs w:val="20"/>
                <w:color w:val="auto"/>
              </w:rPr>
            </w:pPr>
            <w:r>
              <w:rPr>
                <w:rFonts w:ascii="Arial" w:cs="Arial" w:eastAsia="Arial" w:hAnsi="Arial"/>
                <w:sz w:val="15"/>
                <w:szCs w:val="15"/>
                <w:color w:val="auto"/>
              </w:rPr>
              <w:t>Facilities expense</w:t>
            </w:r>
          </w:p>
        </w:tc>
        <w:tc>
          <w:tcPr>
            <w:tcW w:w="242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20,101</w:t>
            </w:r>
          </w:p>
        </w:tc>
        <w:tc>
          <w:tcPr>
            <w:tcW w:w="2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20,742</w:t>
            </w:r>
          </w:p>
        </w:tc>
        <w:tc>
          <w:tcPr>
            <w:tcW w:w="2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16,510</w:t>
            </w:r>
          </w:p>
        </w:tc>
      </w:tr>
      <w:tr>
        <w:trPr>
          <w:trHeight w:val="166"/>
        </w:trPr>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Travel and housing</w:t>
            </w:r>
          </w:p>
        </w:tc>
        <w:tc>
          <w:tcPr>
            <w:tcW w:w="2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2,621</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1,679</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7,972</w:t>
            </w:r>
          </w:p>
        </w:tc>
      </w:tr>
      <w:tr>
        <w:trPr>
          <w:trHeight w:val="166"/>
        </w:trPr>
        <w:tc>
          <w:tcPr>
            <w:tcW w:w="4080" w:type="dxa"/>
            <w:vAlign w:val="bottom"/>
          </w:tcPr>
          <w:p>
            <w:pPr>
              <w:spacing w:after="0" w:line="166" w:lineRule="exact"/>
              <w:rPr>
                <w:sz w:val="20"/>
                <w:szCs w:val="20"/>
                <w:color w:val="auto"/>
              </w:rPr>
            </w:pPr>
            <w:r>
              <w:rPr>
                <w:rFonts w:ascii="Arial" w:cs="Arial" w:eastAsia="Arial" w:hAnsi="Arial"/>
                <w:sz w:val="15"/>
                <w:szCs w:val="15"/>
                <w:color w:val="auto"/>
              </w:rPr>
              <w:t>Local transportation</w:t>
            </w:r>
          </w:p>
        </w:tc>
        <w:tc>
          <w:tcPr>
            <w:tcW w:w="2420" w:type="dxa"/>
            <w:vAlign w:val="bottom"/>
          </w:tcPr>
          <w:p>
            <w:pPr>
              <w:ind w:left="1860"/>
              <w:spacing w:after="0" w:line="166" w:lineRule="exact"/>
              <w:rPr>
                <w:sz w:val="20"/>
                <w:szCs w:val="20"/>
                <w:color w:val="auto"/>
              </w:rPr>
            </w:pPr>
            <w:r>
              <w:rPr>
                <w:rFonts w:ascii="Arial" w:cs="Arial" w:eastAsia="Arial" w:hAnsi="Arial"/>
                <w:sz w:val="15"/>
                <w:szCs w:val="15"/>
                <w:i w:val="1"/>
                <w:iCs w:val="1"/>
                <w:color w:val="auto"/>
              </w:rPr>
              <w:t>27.1</w:t>
            </w: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8,024</w:t>
            </w:r>
          </w:p>
        </w:tc>
        <w:tc>
          <w:tcPr>
            <w:tcW w:w="2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13,768</w:t>
            </w:r>
          </w:p>
        </w:tc>
        <w:tc>
          <w:tcPr>
            <w:tcW w:w="2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3,977</w:t>
            </w:r>
          </w:p>
        </w:tc>
      </w:tr>
      <w:tr>
        <w:trPr>
          <w:trHeight w:val="166"/>
        </w:trPr>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Insurance</w:t>
            </w:r>
          </w:p>
        </w:tc>
        <w:tc>
          <w:tcPr>
            <w:tcW w:w="2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5,207</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4,837</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1,516</w:t>
            </w:r>
          </w:p>
        </w:tc>
      </w:tr>
      <w:tr>
        <w:trPr>
          <w:trHeight w:val="166"/>
        </w:trPr>
        <w:tc>
          <w:tcPr>
            <w:tcW w:w="4080" w:type="dxa"/>
            <w:vAlign w:val="bottom"/>
          </w:tcPr>
          <w:p>
            <w:pPr>
              <w:spacing w:after="0" w:line="166" w:lineRule="exact"/>
              <w:rPr>
                <w:sz w:val="20"/>
                <w:szCs w:val="20"/>
                <w:color w:val="auto"/>
              </w:rPr>
            </w:pPr>
            <w:r>
              <w:rPr>
                <w:rFonts w:ascii="Arial" w:cs="Arial" w:eastAsia="Arial" w:hAnsi="Arial"/>
                <w:sz w:val="15"/>
                <w:szCs w:val="15"/>
                <w:color w:val="auto"/>
              </w:rPr>
              <w:t>Legal and professional expenses</w:t>
            </w:r>
          </w:p>
        </w:tc>
        <w:tc>
          <w:tcPr>
            <w:tcW w:w="2420" w:type="dxa"/>
            <w:vAlign w:val="bottom"/>
          </w:tcPr>
          <w:p>
            <w:pPr>
              <w:ind w:left="1860"/>
              <w:spacing w:after="0" w:line="166" w:lineRule="exact"/>
              <w:rPr>
                <w:sz w:val="20"/>
                <w:szCs w:val="20"/>
                <w:color w:val="auto"/>
              </w:rPr>
            </w:pPr>
            <w:r>
              <w:rPr>
                <w:rFonts w:ascii="Arial" w:cs="Arial" w:eastAsia="Arial" w:hAnsi="Arial"/>
                <w:sz w:val="15"/>
                <w:szCs w:val="15"/>
                <w:i w:val="1"/>
                <w:iCs w:val="1"/>
                <w:color w:val="auto"/>
              </w:rPr>
              <w:t>27.2</w:t>
            </w: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5,609</w:t>
            </w:r>
          </w:p>
        </w:tc>
        <w:tc>
          <w:tcPr>
            <w:tcW w:w="2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8,112</w:t>
            </w:r>
          </w:p>
        </w:tc>
        <w:tc>
          <w:tcPr>
            <w:tcW w:w="200" w:type="dxa"/>
            <w:vAlign w:val="bottom"/>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5"/>
                <w:szCs w:val="15"/>
                <w:color w:val="auto"/>
              </w:rPr>
              <w:t>6,570</w:t>
            </w:r>
          </w:p>
        </w:tc>
      </w:tr>
      <w:tr>
        <w:trPr>
          <w:trHeight w:val="166"/>
        </w:trPr>
        <w:tc>
          <w:tcPr>
            <w:tcW w:w="408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Allowance for expected credit loss</w:t>
            </w:r>
          </w:p>
        </w:tc>
        <w:tc>
          <w:tcPr>
            <w:tcW w:w="2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(761)</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291</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224</w:t>
            </w:r>
          </w:p>
        </w:tc>
      </w:tr>
      <w:tr>
        <w:trPr>
          <w:trHeight w:val="166"/>
        </w:trPr>
        <w:tc>
          <w:tcPr>
            <w:tcW w:w="408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Others</w:t>
            </w:r>
          </w:p>
        </w:tc>
        <w:tc>
          <w:tcPr>
            <w:tcW w:w="2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5,899</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3,753</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7,366</w:t>
            </w:r>
          </w:p>
        </w:tc>
      </w:tr>
      <w:tr>
        <w:trPr>
          <w:trHeight w:val="157"/>
        </w:trPr>
        <w:tc>
          <w:tcPr>
            <w:tcW w:w="408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Other Operating Costs</w:t>
            </w:r>
          </w:p>
        </w:tc>
        <w:tc>
          <w:tcPr>
            <w:tcW w:w="24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75,005</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76,865</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b w:val="1"/>
                <w:bCs w:val="1"/>
                <w:color w:val="auto"/>
              </w:rPr>
              <w:t>64,070</w:t>
            </w:r>
          </w:p>
        </w:tc>
      </w:tr>
    </w:tbl>
    <w:p>
      <w:pPr>
        <w:spacing w:after="0" w:line="317"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27.1.</w:t>
      </w:r>
      <w:r>
        <w:rPr>
          <w:sz w:val="20"/>
          <w:szCs w:val="20"/>
          <w:color w:val="auto"/>
        </w:rPr>
        <w:tab/>
      </w:r>
      <w:r>
        <w:rPr>
          <w:rFonts w:ascii="Arial" w:cs="Arial" w:eastAsia="Arial" w:hAnsi="Arial"/>
          <w:sz w:val="14"/>
          <w:szCs w:val="14"/>
          <w:color w:val="auto"/>
        </w:rPr>
        <w:t>The decrease in local transportation is related to a decrease in COVID-19 costs in the current year.</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b w:val="1"/>
          <w:bCs w:val="1"/>
          <w:color w:val="auto"/>
        </w:rPr>
        <w:t xml:space="preserve">27.2. </w:t>
      </w:r>
      <w:r>
        <w:rPr>
          <w:rFonts w:ascii="Arial" w:cs="Arial" w:eastAsia="Arial" w:hAnsi="Arial"/>
          <w:sz w:val="15"/>
          <w:szCs w:val="15"/>
          <w:color w:val="auto"/>
        </w:rPr>
        <w:t>This includes non-recurring legal expenses of nil for the year ended June 30, 2022 (June 30, 2021: $0.9 million, June 30, 2020</w:t>
      </w:r>
      <w:r>
        <w:rPr>
          <w:rFonts w:ascii="Arial" w:cs="Arial" w:eastAsia="Arial" w:hAnsi="Arial"/>
          <w:sz w:val="15"/>
          <w:szCs w:val="15"/>
          <w:b w:val="1"/>
          <w:bCs w:val="1"/>
          <w:color w:val="auto"/>
        </w:rPr>
        <w:t xml:space="preserve"> </w:t>
      </w:r>
      <w:r>
        <w:rPr>
          <w:rFonts w:ascii="Arial" w:cs="Arial" w:eastAsia="Arial" w:hAnsi="Arial"/>
          <w:sz w:val="15"/>
          <w:szCs w:val="15"/>
          <w:color w:val="auto"/>
        </w:rPr>
        <w:t>nil).</w:t>
      </w:r>
    </w:p>
    <w:p>
      <w:pPr>
        <w:spacing w:after="0" w:line="135" w:lineRule="exact"/>
        <w:rPr>
          <w:sz w:val="20"/>
          <w:szCs w:val="20"/>
          <w:color w:val="auto"/>
        </w:rPr>
      </w:pPr>
    </w:p>
    <w:p>
      <w:pPr>
        <w:ind w:left="560" w:hanging="525"/>
        <w:spacing w:after="0"/>
        <w:tabs>
          <w:tab w:leader="none" w:pos="560"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color w:val="auto"/>
        </w:rPr>
        <w:t>WARRANT</w:t>
      </w:r>
    </w:p>
    <w:p>
      <w:pPr>
        <w:spacing w:after="0" w:line="170" w:lineRule="exact"/>
        <w:rPr>
          <w:sz w:val="20"/>
          <w:szCs w:val="20"/>
          <w:color w:val="auto"/>
        </w:rPr>
      </w:pPr>
    </w:p>
    <w:p>
      <w:pPr>
        <w:jc w:val="both"/>
        <w:ind w:left="40" w:right="39"/>
        <w:spacing w:after="0" w:line="237" w:lineRule="auto"/>
        <w:rPr>
          <w:sz w:val="20"/>
          <w:szCs w:val="20"/>
          <w:color w:val="auto"/>
        </w:rPr>
      </w:pPr>
      <w:r>
        <w:rPr>
          <w:rFonts w:ascii="Arial" w:cs="Arial" w:eastAsia="Arial" w:hAnsi="Arial"/>
          <w:sz w:val="15"/>
          <w:szCs w:val="15"/>
          <w:color w:val="auto"/>
        </w:rPr>
        <w:t>On November 13, 2017, and as subsequently amended through December 2020, the Company issued to Amazon.com NV Investment Holdings LLC, a subsidiary of Amazon.com, Inc. (“Amazon”), a 10-year warrant to acquire approximately 1,429,303 of our Series B Preference Shares and approximately 14,437.4049 of our Series C Preference Shares, totalling 1,443,740 shares, representing 10.0% of our equity on a fully diluted and as-converted basis as of the date of issuance of the warrant. 1,674,017 common shares, representing 10.0% of our equity on a fully diluted basis. The warrant is exercisable, either for cash or on a net issuance basis, at an exercise price per share of $11.20.</w:t>
      </w:r>
    </w:p>
    <w:p>
      <w:pPr>
        <w:spacing w:after="0" w:line="150" w:lineRule="exact"/>
        <w:rPr>
          <w:sz w:val="20"/>
          <w:szCs w:val="20"/>
          <w:color w:val="auto"/>
        </w:rPr>
      </w:pPr>
    </w:p>
    <w:p>
      <w:pPr>
        <w:ind w:left="40" w:right="299"/>
        <w:spacing w:after="0" w:line="260" w:lineRule="auto"/>
        <w:rPr>
          <w:sz w:val="20"/>
          <w:szCs w:val="20"/>
          <w:color w:val="auto"/>
        </w:rPr>
      </w:pPr>
      <w:r>
        <w:rPr>
          <w:rFonts w:ascii="Arial" w:cs="Arial" w:eastAsia="Arial" w:hAnsi="Arial"/>
          <w:sz w:val="15"/>
          <w:szCs w:val="15"/>
          <w:color w:val="auto"/>
        </w:rPr>
        <w:t>The Series B and Series C Preference shares of 1,443,740 shares were subsequently converted to 1,674,017 common shares on the date of the Company’s initial public offering (refer to Note 12.1) at an exercise price of $9.42.</w:t>
      </w:r>
    </w:p>
    <w:p>
      <w:pPr>
        <w:spacing w:after="0" w:line="135"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5"/>
          <w:szCs w:val="15"/>
          <w:color w:val="auto"/>
        </w:rPr>
        <w:t>The warrant shares vest on the satisfaction of specified milestones tied to Amazon’s purchase of services from the Company during a seven and a half year period ending on June 30, 2024. The vesting is partially accelerated in the event of a reorganization transaction (as defined in the warrant).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Amazon is entitled to customary shelf and piggy-back registration rights with respect to the shares issued upon exercise of the warrant.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Amazon may not transfer the warrant except to a wholly-owned subsidiary of Amazon.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00" w:name="page201"/>
    <w:bookmarkEnd w:id="20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jc w:val="both"/>
        <w:ind w:left="40" w:right="39"/>
        <w:spacing w:after="0"/>
        <w:rPr>
          <w:sz w:val="20"/>
          <w:szCs w:val="20"/>
          <w:color w:val="auto"/>
        </w:rPr>
      </w:pPr>
      <w:r>
        <w:rPr>
          <w:rFonts w:ascii="Arial" w:cs="Arial" w:eastAsia="Arial" w:hAnsi="Arial"/>
          <w:sz w:val="15"/>
          <w:szCs w:val="15"/>
          <w:color w:val="auto"/>
        </w:rPr>
        <w:t>At June 30, 2020, the Company estimated the warrant liability using a Monte Carlo simulation. As a result of the Company’s initial public offering in August 2020, variables that previously required a more complex modeling techniques were eliminated and all inputs into the calculation of the warrant liability are now observable in the public markets; therefore, the Company has elected to use the Black-Scholes valuation technique to calculate the warrant liability going forward.</w:t>
      </w:r>
    </w:p>
    <w:p>
      <w:pPr>
        <w:spacing w:after="0" w:line="151"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Black-Scholes valuation model requires the use of certain estimates and assumptions that affect the fair value adjustment recognized in the consolidated statement of profit or loss. These include the price per share, expected term, expected volatility, expected dividends and the risk-free interest rate.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Fair value of common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fair value of the common shares is $16.87 per share as of June 30, 2022.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Expected term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expected term of options granted is 5.37 years from June 30, 2022, and ending November 12, 2027.</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Volatility</w:t>
      </w:r>
    </w:p>
    <w:p>
      <w:pPr>
        <w:spacing w:after="0" w:line="17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Management used an average volatility of comparable listed companies of 33.8% as the Company does not have sufficient experience in the public markets to calculate its own volatility.</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Expected dividends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expected average dividend yield is 0%. The Holding Company does not expect to pay any dividends in the foreseeable future.</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Risk-free rate</w:t>
      </w:r>
    </w:p>
    <w:p>
      <w:pPr>
        <w:spacing w:after="0" w:line="170"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risk-free rate is the continuously compounded United States nominal treasury rate corresponding to the remaining term of the warrant. The average risk-free rate was 3.0%.</w:t>
      </w:r>
    </w:p>
    <w:p>
      <w:pPr>
        <w:spacing w:after="0" w:line="16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5"/>
          <w:szCs w:val="15"/>
          <w:color w:val="auto"/>
        </w:rPr>
        <w:t>There were no warrants cancelled or expired as of June 30, 2022 and June 30, 2021. At June 30, 2022, 669,607 warrants were vested and at June 30, 2021, 502,205 warrants were vested based on the agreed upon revenue criteria.</w:t>
      </w:r>
    </w:p>
    <w:p>
      <w:pPr>
        <w:spacing w:after="0" w:line="157" w:lineRule="exact"/>
        <w:rPr>
          <w:sz w:val="20"/>
          <w:szCs w:val="20"/>
          <w:color w:val="auto"/>
        </w:rPr>
      </w:pPr>
    </w:p>
    <w:p>
      <w:pPr>
        <w:jc w:val="both"/>
        <w:ind w:left="40" w:right="39"/>
        <w:spacing w:after="0" w:line="260" w:lineRule="auto"/>
        <w:rPr>
          <w:sz w:val="20"/>
          <w:szCs w:val="20"/>
          <w:color w:val="auto"/>
        </w:rPr>
      </w:pPr>
      <w:r>
        <w:rPr>
          <w:rFonts w:ascii="Arial" w:cs="Arial" w:eastAsia="Arial" w:hAnsi="Arial"/>
          <w:sz w:val="15"/>
          <w:szCs w:val="15"/>
          <w:color w:val="auto"/>
        </w:rPr>
        <w:t>The total fair value of the warrant liability included in other non-current liabilities and trade and other payables was $11.3 million and $13.6 million, as of June 30, 2022 and 2021, respectively.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Warrant asset</w:t>
      </w:r>
    </w:p>
    <w:p>
      <w:pPr>
        <w:spacing w:after="0" w:line="170" w:lineRule="exact"/>
        <w:rPr>
          <w:sz w:val="20"/>
          <w:szCs w:val="20"/>
          <w:color w:val="auto"/>
        </w:rPr>
      </w:pPr>
    </w:p>
    <w:p>
      <w:pPr>
        <w:jc w:val="both"/>
        <w:ind w:left="40" w:right="39"/>
        <w:spacing w:after="0" w:line="245" w:lineRule="auto"/>
        <w:rPr>
          <w:sz w:val="20"/>
          <w:szCs w:val="20"/>
          <w:color w:val="auto"/>
        </w:rPr>
      </w:pPr>
      <w:r>
        <w:rPr>
          <w:rFonts w:ascii="Arial" w:cs="Arial" w:eastAsia="Arial" w:hAnsi="Arial"/>
          <w:sz w:val="15"/>
          <w:szCs w:val="15"/>
          <w:color w:val="auto"/>
        </w:rPr>
        <w:t>The Warrant asset is amortized pro rata over the life of the vesting period of the warrant based on actual and projected revenues. The Company recorded contra revenue of approximately $0.3 million and $0.8 million during the years ended June 30, 2022 and 2021, respectively. The balance of the warrant asset as of June 30, 2022 and 2021 was $1.8 million and $2.1 million,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01" w:name="page202"/>
    <w:bookmarkEnd w:id="20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Fair value hierarchy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financial instruments carried at fair value have been categorized under the three levels of the IFRS fair value hierarchy as follows:</w:t>
      </w:r>
    </w:p>
    <w:p>
      <w:pPr>
        <w:spacing w:after="0" w:line="170" w:lineRule="exact"/>
        <w:rPr>
          <w:sz w:val="20"/>
          <w:szCs w:val="20"/>
          <w:color w:val="auto"/>
        </w:rPr>
      </w:pPr>
    </w:p>
    <w:p>
      <w:pPr>
        <w:ind w:left="300" w:right="39" w:hanging="265"/>
        <w:spacing w:after="0" w:line="259" w:lineRule="auto"/>
        <w:tabs>
          <w:tab w:leader="none" w:pos="300" w:val="left"/>
        </w:tabs>
        <w:numPr>
          <w:ilvl w:val="0"/>
          <w:numId w:val="127"/>
        </w:numPr>
        <w:rPr>
          <w:rFonts w:ascii="Times New Roman" w:cs="Times New Roman" w:eastAsia="Times New Roman" w:hAnsi="Times New Roman"/>
          <w:sz w:val="15"/>
          <w:szCs w:val="15"/>
          <w:color w:val="auto"/>
        </w:rPr>
      </w:pPr>
      <w:r>
        <w:rPr>
          <w:rFonts w:ascii="Arial" w:cs="Arial" w:eastAsia="Arial" w:hAnsi="Arial"/>
          <w:sz w:val="15"/>
          <w:szCs w:val="15"/>
          <w:color w:val="auto"/>
        </w:rPr>
        <w:t>Level 1 - Instruments valued using quoted prices in active markets are instruments where the fair value can be determined directly from prices which are quoted in active, liquid markets and where the instrument observed in the market is representative</w:t>
      </w:r>
    </w:p>
    <w:p>
      <w:pPr>
        <w:spacing w:after="0" w:line="135" w:lineRule="exact"/>
        <w:rPr>
          <w:rFonts w:ascii="Times New Roman" w:cs="Times New Roman" w:eastAsia="Times New Roman" w:hAnsi="Times New Roman"/>
          <w:sz w:val="15"/>
          <w:szCs w:val="15"/>
          <w:color w:val="auto"/>
        </w:rPr>
      </w:pPr>
    </w:p>
    <w:p>
      <w:pPr>
        <w:jc w:val="both"/>
        <w:ind w:left="300" w:right="39" w:hanging="265"/>
        <w:spacing w:after="0" w:line="244" w:lineRule="auto"/>
        <w:tabs>
          <w:tab w:leader="none" w:pos="300" w:val="left"/>
        </w:tabs>
        <w:numPr>
          <w:ilvl w:val="0"/>
          <w:numId w:val="127"/>
        </w:numPr>
        <w:rPr>
          <w:rFonts w:ascii="Times New Roman" w:cs="Times New Roman" w:eastAsia="Times New Roman" w:hAnsi="Times New Roman"/>
          <w:sz w:val="15"/>
          <w:szCs w:val="15"/>
          <w:color w:val="auto"/>
        </w:rPr>
      </w:pPr>
      <w:r>
        <w:rPr>
          <w:rFonts w:ascii="Arial" w:cs="Arial" w:eastAsia="Arial" w:hAnsi="Arial"/>
          <w:sz w:val="15"/>
          <w:szCs w:val="15"/>
          <w:color w:val="auto"/>
        </w:rPr>
        <w:t>Level 2 - Instruments valued with valuation techniques using observable market data are instruments where the fair value can be determined by reference to similar instruments trading in active markets, or where a technique is used to derive the valuation but where all inputs to that technique are observable.</w:t>
      </w:r>
    </w:p>
    <w:p>
      <w:pPr>
        <w:spacing w:after="0" w:line="147" w:lineRule="exact"/>
        <w:rPr>
          <w:rFonts w:ascii="Times New Roman" w:cs="Times New Roman" w:eastAsia="Times New Roman" w:hAnsi="Times New Roman"/>
          <w:sz w:val="15"/>
          <w:szCs w:val="15"/>
          <w:color w:val="auto"/>
        </w:rPr>
      </w:pPr>
    </w:p>
    <w:p>
      <w:pPr>
        <w:jc w:val="both"/>
        <w:ind w:left="300" w:right="39" w:hanging="265"/>
        <w:spacing w:after="0"/>
        <w:tabs>
          <w:tab w:leader="none" w:pos="300" w:val="left"/>
        </w:tabs>
        <w:numPr>
          <w:ilvl w:val="0"/>
          <w:numId w:val="127"/>
        </w:numPr>
        <w:rPr>
          <w:rFonts w:ascii="Times New Roman" w:cs="Times New Roman" w:eastAsia="Times New Roman" w:hAnsi="Times New Roman"/>
          <w:sz w:val="15"/>
          <w:szCs w:val="15"/>
          <w:color w:val="auto"/>
        </w:rPr>
      </w:pPr>
      <w:r>
        <w:rPr>
          <w:rFonts w:ascii="Arial" w:cs="Arial" w:eastAsia="Arial" w:hAnsi="Arial"/>
          <w:sz w:val="15"/>
          <w:szCs w:val="15"/>
          <w:color w:val="auto"/>
        </w:rPr>
        <w:t>Level 3 - Instruments valued using valuation techniques using market data which is not directly observable are instruments where the fair value cannot be determined directly by reference to market observable information, and some other pricing technique must be employed. Instruments classified in this category have an element which is unobservable and which has a significant impact on the fair value.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Given these guidelines, the warrant liability associated with Amazon would be classified as a Level 3 liability.</w:t>
      </w:r>
    </w:p>
    <w:p>
      <w:pPr>
        <w:spacing w:after="0" w:line="170" w:lineRule="exact"/>
        <w:rPr>
          <w:sz w:val="20"/>
          <w:szCs w:val="20"/>
          <w:color w:val="auto"/>
        </w:rPr>
      </w:pPr>
    </w:p>
    <w:p>
      <w:pPr>
        <w:ind w:left="560" w:hanging="525"/>
        <w:spacing w:after="0"/>
        <w:tabs>
          <w:tab w:leader="none" w:pos="560" w:val="left"/>
        </w:tabs>
        <w:numPr>
          <w:ilvl w:val="0"/>
          <w:numId w:val="128"/>
        </w:numPr>
        <w:rPr>
          <w:rFonts w:ascii="Arial" w:cs="Arial" w:eastAsia="Arial" w:hAnsi="Arial"/>
          <w:sz w:val="15"/>
          <w:szCs w:val="15"/>
          <w:b w:val="1"/>
          <w:bCs w:val="1"/>
          <w:color w:val="auto"/>
        </w:rPr>
      </w:pPr>
      <w:r>
        <w:rPr>
          <w:rFonts w:ascii="Arial" w:cs="Arial" w:eastAsia="Arial" w:hAnsi="Arial"/>
          <w:sz w:val="15"/>
          <w:szCs w:val="15"/>
          <w:b w:val="1"/>
          <w:bCs w:val="1"/>
          <w:color w:val="auto"/>
        </w:rPr>
        <w:t>HOLDING COMPANY INDIRECT SUBSIDIARIES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entities are indirect subsidiaries of the Holding Company through IBEX Global Limited: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22"/>
        </w:trPr>
        <w:tc>
          <w:tcPr>
            <w:tcW w:w="37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480" w:type="dxa"/>
            <w:vAlign w:val="bottom"/>
            <w:tcBorders>
              <w:top w:val="single" w:sz="8" w:color="auto"/>
              <w:bottom w:val="single" w:sz="8" w:color="auto"/>
            </w:tcBorders>
            <w:vMerge w:val="restart"/>
          </w:tcPr>
          <w:p>
            <w:pPr>
              <w:ind w:left="860"/>
              <w:spacing w:after="0"/>
              <w:rPr>
                <w:sz w:val="20"/>
                <w:szCs w:val="20"/>
                <w:color w:val="auto"/>
              </w:rPr>
            </w:pPr>
            <w:r>
              <w:rPr>
                <w:rFonts w:ascii="Arial" w:cs="Arial" w:eastAsia="Arial" w:hAnsi="Arial"/>
                <w:sz w:val="10"/>
                <w:szCs w:val="10"/>
                <w:b w:val="1"/>
                <w:bCs w:val="1"/>
                <w:color w:val="auto"/>
              </w:rPr>
              <w:t>Location</w:t>
            </w:r>
          </w:p>
        </w:tc>
        <w:tc>
          <w:tcPr>
            <w:tcW w:w="1780" w:type="dxa"/>
            <w:vAlign w:val="bottom"/>
            <w:tcBorders>
              <w:top w:val="single" w:sz="8" w:color="auto"/>
              <w:bottom w:val="single" w:sz="8" w:color="auto"/>
            </w:tcBorders>
            <w:vMerge w:val="restart"/>
          </w:tcPr>
          <w:p>
            <w:pPr>
              <w:ind w:left="520"/>
              <w:spacing w:after="0"/>
              <w:rPr>
                <w:sz w:val="20"/>
                <w:szCs w:val="20"/>
                <w:color w:val="auto"/>
              </w:rPr>
            </w:pPr>
            <w:r>
              <w:rPr>
                <w:rFonts w:ascii="Arial" w:cs="Arial" w:eastAsia="Arial" w:hAnsi="Arial"/>
                <w:sz w:val="10"/>
                <w:szCs w:val="10"/>
                <w:b w:val="1"/>
                <w:bCs w:val="1"/>
                <w:color w:val="auto"/>
              </w:rPr>
              <w:t>Nature of Business</w:t>
            </w:r>
          </w:p>
        </w:tc>
        <w:tc>
          <w:tcPr>
            <w:tcW w:w="1920" w:type="dxa"/>
            <w:vAlign w:val="bottom"/>
            <w:tcBorders>
              <w:top w:val="single" w:sz="8" w:color="auto"/>
              <w:bottom w:val="single" w:sz="8" w:color="auto"/>
            </w:tcBorders>
            <w:gridSpan w:val="3"/>
          </w:tcPr>
          <w:p>
            <w:pPr>
              <w:jc w:val="right"/>
              <w:ind w:right="594"/>
              <w:spacing w:after="0"/>
              <w:rPr>
                <w:sz w:val="20"/>
                <w:szCs w:val="20"/>
                <w:color w:val="auto"/>
              </w:rPr>
            </w:pPr>
            <w:r>
              <w:rPr>
                <w:rFonts w:ascii="Arial" w:cs="Arial" w:eastAsia="Arial" w:hAnsi="Arial"/>
                <w:sz w:val="10"/>
                <w:szCs w:val="10"/>
                <w:b w:val="1"/>
                <w:bCs w:val="1"/>
                <w:color w:val="auto"/>
              </w:rPr>
              <w:t>Ownership %</w:t>
            </w:r>
          </w:p>
        </w:tc>
        <w:tc>
          <w:tcPr>
            <w:tcW w:w="0" w:type="dxa"/>
            <w:vAlign w:val="bottom"/>
          </w:tcPr>
          <w:p>
            <w:pPr>
              <w:spacing w:after="0"/>
              <w:rPr>
                <w:sz w:val="1"/>
                <w:szCs w:val="1"/>
                <w:color w:val="auto"/>
              </w:rPr>
            </w:pPr>
          </w:p>
        </w:tc>
      </w:tr>
      <w:tr>
        <w:trPr>
          <w:trHeight w:val="102"/>
        </w:trPr>
        <w:tc>
          <w:tcPr>
            <w:tcW w:w="376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78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tcPr>
          <w:p>
            <w:pPr>
              <w:jc w:val="right"/>
              <w:ind w:right="408"/>
              <w:spacing w:after="0" w:line="102" w:lineRule="exact"/>
              <w:rPr>
                <w:sz w:val="20"/>
                <w:szCs w:val="20"/>
                <w:color w:val="auto"/>
              </w:rPr>
            </w:pPr>
            <w:r>
              <w:rPr>
                <w:rFonts w:ascii="Arial" w:cs="Arial" w:eastAsia="Arial" w:hAnsi="Arial"/>
                <w:sz w:val="10"/>
                <w:szCs w:val="10"/>
                <w:b w:val="1"/>
                <w:bCs w:val="1"/>
                <w:color w:val="auto"/>
              </w:rPr>
              <w:t>2022</w:t>
            </w:r>
          </w:p>
        </w:tc>
        <w:tc>
          <w:tcPr>
            <w:tcW w:w="620" w:type="dxa"/>
            <w:vAlign w:val="bottom"/>
            <w:tcBorders>
              <w:bottom w:val="single" w:sz="8" w:color="auto"/>
            </w:tcBorders>
          </w:tcPr>
          <w:p>
            <w:pPr>
              <w:jc w:val="right"/>
              <w:ind w:right="168"/>
              <w:spacing w:after="0" w:line="102"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6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IBEX Global Solutions Limited</w:t>
            </w:r>
          </w:p>
        </w:tc>
        <w:tc>
          <w:tcPr>
            <w:tcW w:w="1480" w:type="dxa"/>
            <w:vAlign w:val="bottom"/>
            <w:shd w:val="clear" w:color="auto" w:fill="CCEEFF"/>
          </w:tcPr>
          <w:p>
            <w:pPr>
              <w:ind w:left="680"/>
              <w:spacing w:after="0" w:line="102" w:lineRule="exact"/>
              <w:rPr>
                <w:sz w:val="20"/>
                <w:szCs w:val="20"/>
                <w:color w:val="auto"/>
              </w:rPr>
            </w:pPr>
            <w:r>
              <w:rPr>
                <w:rFonts w:ascii="Arial" w:cs="Arial" w:eastAsia="Arial" w:hAnsi="Arial"/>
                <w:sz w:val="10"/>
                <w:szCs w:val="10"/>
                <w:color w:val="auto"/>
              </w:rPr>
              <w:t>England</w:t>
            </w:r>
          </w:p>
        </w:tc>
        <w:tc>
          <w:tcPr>
            <w:tcW w:w="1780" w:type="dxa"/>
            <w:vAlign w:val="bottom"/>
            <w:shd w:val="clear" w:color="auto" w:fill="CCEEFF"/>
          </w:tcPr>
          <w:p>
            <w:pPr>
              <w:ind w:left="200"/>
              <w:spacing w:after="0" w:line="102" w:lineRule="exact"/>
              <w:rPr>
                <w:sz w:val="20"/>
                <w:szCs w:val="20"/>
                <w:color w:val="auto"/>
              </w:rPr>
            </w:pPr>
            <w:r>
              <w:rPr>
                <w:rFonts w:ascii="Arial" w:cs="Arial" w:eastAsia="Arial" w:hAnsi="Arial"/>
                <w:sz w:val="10"/>
                <w:szCs w:val="10"/>
                <w:color w:val="auto"/>
              </w:rPr>
              <w:t>Holding company</w:t>
            </w:r>
          </w:p>
        </w:tc>
        <w:tc>
          <w:tcPr>
            <w:tcW w:w="1100" w:type="dxa"/>
            <w:vAlign w:val="bottom"/>
            <w:shd w:val="clear" w:color="auto" w:fill="CCEEFF"/>
          </w:tcPr>
          <w:p>
            <w:pPr>
              <w:jc w:val="right"/>
              <w:ind w:right="108"/>
              <w:spacing w:after="0" w:line="102" w:lineRule="exact"/>
              <w:rPr>
                <w:sz w:val="20"/>
                <w:szCs w:val="20"/>
                <w:color w:val="auto"/>
              </w:rPr>
            </w:pPr>
            <w:r>
              <w:rPr>
                <w:rFonts w:ascii="Arial" w:cs="Arial" w:eastAsia="Arial" w:hAnsi="Arial"/>
                <w:sz w:val="10"/>
                <w:szCs w:val="10"/>
                <w:color w:val="auto"/>
              </w:rPr>
              <w:t>100 %</w:t>
            </w:r>
          </w:p>
        </w:tc>
        <w:tc>
          <w:tcPr>
            <w:tcW w:w="62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100</w:t>
            </w:r>
          </w:p>
        </w:tc>
        <w:tc>
          <w:tcPr>
            <w:tcW w:w="200" w:type="dxa"/>
            <w:vAlign w:val="bottom"/>
            <w:shd w:val="clear" w:color="auto" w:fill="CCEEFF"/>
          </w:tcPr>
          <w:p>
            <w:pPr>
              <w:jc w:val="right"/>
              <w:ind w:right="74"/>
              <w:spacing w:after="0" w:line="102"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Lovercius Consultants Limited</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Cyprus</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IBEX Global Europe</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Luxembourg</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Tech support services</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IBEX Global ROHQ</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Philippines</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Regional HQ</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IBEX Global Solutions, Inc. (formerly TRG Customer Solutions, Inc.)</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USA</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TRG Customer Solutions (Canada), Inc.</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Canada</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TRG Marketing Solutions Limited</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England</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Virtual World (Private) Limited</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Pakistan</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IBEX Philippines, Inc.</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Philippines</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IBEX Global Solutions (Philippines) Inc.</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Philippines</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TRG Customer Solutions (Philippines) Inc.</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Philippines</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IBEX Global Solutions Senegal S.A. (formerly TRG Senegal SA)</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Senegal</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IBEX Global Solutions (Private) Limited</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Pakistan</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IBEX Global MENA FZE</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Dubai</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IBEX Global Bermuda Ltd</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Bermuda</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IBEX Global Solutions Nicaragua SA</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Nicaragua</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Ibex Honduras S.A. de C.V.</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Honduras</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IBEX Global St. Lucia Limited</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St. Lucia</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Holding company</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IBEX Global Jamaica Limited</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Jamaica</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IBEX Receivable Solutions, Inc</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USA</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IBEX Global Solutions France SARL</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France</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Call center</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IBEX Global Solutions Holdings Inc.</w:t>
            </w:r>
          </w:p>
        </w:tc>
        <w:tc>
          <w:tcPr>
            <w:tcW w:w="1480" w:type="dxa"/>
            <w:vAlign w:val="bottom"/>
          </w:tcPr>
          <w:p>
            <w:pPr>
              <w:ind w:left="680"/>
              <w:spacing w:after="0" w:line="111" w:lineRule="exact"/>
              <w:rPr>
                <w:sz w:val="20"/>
                <w:szCs w:val="20"/>
                <w:color w:val="auto"/>
              </w:rPr>
            </w:pPr>
            <w:r>
              <w:rPr>
                <w:rFonts w:ascii="Arial" w:cs="Arial" w:eastAsia="Arial" w:hAnsi="Arial"/>
                <w:sz w:val="10"/>
                <w:szCs w:val="10"/>
                <w:color w:val="auto"/>
              </w:rPr>
              <w:t>USA</w:t>
            </w:r>
          </w:p>
        </w:tc>
        <w:tc>
          <w:tcPr>
            <w:tcW w:w="1780" w:type="dxa"/>
            <w:vAlign w:val="bottom"/>
          </w:tcPr>
          <w:p>
            <w:pPr>
              <w:ind w:left="200"/>
              <w:spacing w:after="0" w:line="111" w:lineRule="exact"/>
              <w:rPr>
                <w:sz w:val="20"/>
                <w:szCs w:val="20"/>
                <w:color w:val="auto"/>
              </w:rPr>
            </w:pPr>
            <w:r>
              <w:rPr>
                <w:rFonts w:ascii="Arial" w:cs="Arial" w:eastAsia="Arial" w:hAnsi="Arial"/>
                <w:sz w:val="10"/>
                <w:szCs w:val="10"/>
                <w:color w:val="auto"/>
              </w:rPr>
              <w:t>Holding company</w:t>
            </w:r>
          </w:p>
        </w:tc>
        <w:tc>
          <w:tcPr>
            <w:tcW w:w="1100" w:type="dxa"/>
            <w:vAlign w:val="bottom"/>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96"/>
        </w:trPr>
        <w:tc>
          <w:tcPr>
            <w:tcW w:w="37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780" w:type="dxa"/>
            <w:vAlign w:val="bottom"/>
            <w:shd w:val="clear" w:color="auto" w:fill="CCEEFF"/>
          </w:tcPr>
          <w:p>
            <w:pPr>
              <w:ind w:left="200"/>
              <w:spacing w:after="0" w:line="96" w:lineRule="exact"/>
              <w:rPr>
                <w:sz w:val="20"/>
                <w:szCs w:val="20"/>
                <w:color w:val="auto"/>
              </w:rPr>
            </w:pPr>
            <w:r>
              <w:rPr>
                <w:rFonts w:ascii="Arial" w:cs="Arial" w:eastAsia="Arial" w:hAnsi="Arial"/>
                <w:sz w:val="10"/>
                <w:szCs w:val="10"/>
                <w:color w:val="auto"/>
              </w:rPr>
              <w:t>Internet marketing for residential</w:t>
            </w:r>
          </w:p>
        </w:tc>
        <w:tc>
          <w:tcPr>
            <w:tcW w:w="1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60" w:type="dxa"/>
            <w:vAlign w:val="bottom"/>
            <w:shd w:val="clear" w:color="auto" w:fill="CCEEFF"/>
          </w:tcPr>
          <w:p>
            <w:pPr>
              <w:spacing w:after="0"/>
              <w:rPr>
                <w:sz w:val="20"/>
                <w:szCs w:val="20"/>
                <w:color w:val="auto"/>
              </w:rPr>
            </w:pPr>
            <w:r>
              <w:rPr>
                <w:rFonts w:ascii="Arial" w:cs="Arial" w:eastAsia="Arial" w:hAnsi="Arial"/>
                <w:sz w:val="10"/>
                <w:szCs w:val="10"/>
                <w:color w:val="auto"/>
              </w:rPr>
              <w:t>Digital Globe Services, LLC</w:t>
            </w:r>
          </w:p>
        </w:tc>
        <w:tc>
          <w:tcPr>
            <w:tcW w:w="1480" w:type="dxa"/>
            <w:vAlign w:val="bottom"/>
            <w:shd w:val="clear" w:color="auto" w:fill="CCEEFF"/>
          </w:tcPr>
          <w:p>
            <w:pPr>
              <w:ind w:left="680"/>
              <w:spacing w:after="0"/>
              <w:rPr>
                <w:sz w:val="20"/>
                <w:szCs w:val="20"/>
                <w:color w:val="auto"/>
              </w:rPr>
            </w:pPr>
            <w:r>
              <w:rPr>
                <w:rFonts w:ascii="Arial" w:cs="Arial" w:eastAsia="Arial" w:hAnsi="Arial"/>
                <w:sz w:val="10"/>
                <w:szCs w:val="10"/>
                <w:color w:val="auto"/>
              </w:rPr>
              <w:t>USA</w:t>
            </w:r>
          </w:p>
        </w:tc>
        <w:tc>
          <w:tcPr>
            <w:tcW w:w="17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cable services</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96"/>
        </w:trPr>
        <w:tc>
          <w:tcPr>
            <w:tcW w:w="37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80" w:type="dxa"/>
            <w:vAlign w:val="bottom"/>
          </w:tcPr>
          <w:p>
            <w:pPr>
              <w:ind w:left="200"/>
              <w:spacing w:after="0" w:line="96" w:lineRule="exact"/>
              <w:rPr>
                <w:sz w:val="20"/>
                <w:szCs w:val="20"/>
                <w:color w:val="auto"/>
              </w:rPr>
            </w:pPr>
            <w:r>
              <w:rPr>
                <w:rFonts w:ascii="Arial" w:cs="Arial" w:eastAsia="Arial" w:hAnsi="Arial"/>
                <w:sz w:val="10"/>
                <w:szCs w:val="10"/>
                <w:color w:val="auto"/>
              </w:rPr>
              <w:t>Internet marketing for non - cable</w:t>
            </w: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60" w:type="dxa"/>
            <w:vAlign w:val="bottom"/>
          </w:tcPr>
          <w:p>
            <w:pPr>
              <w:spacing w:after="0"/>
              <w:rPr>
                <w:sz w:val="20"/>
                <w:szCs w:val="20"/>
                <w:color w:val="auto"/>
              </w:rPr>
            </w:pPr>
            <w:r>
              <w:rPr>
                <w:rFonts w:ascii="Arial" w:cs="Arial" w:eastAsia="Arial" w:hAnsi="Arial"/>
                <w:sz w:val="10"/>
                <w:szCs w:val="10"/>
                <w:color w:val="auto"/>
              </w:rPr>
              <w:t>TelsatOnline, LLC</w:t>
            </w:r>
          </w:p>
        </w:tc>
        <w:tc>
          <w:tcPr>
            <w:tcW w:w="1480" w:type="dxa"/>
            <w:vAlign w:val="bottom"/>
          </w:tcPr>
          <w:p>
            <w:pPr>
              <w:ind w:left="680"/>
              <w:spacing w:after="0"/>
              <w:rPr>
                <w:sz w:val="20"/>
                <w:szCs w:val="20"/>
                <w:color w:val="auto"/>
              </w:rPr>
            </w:pPr>
            <w:r>
              <w:rPr>
                <w:rFonts w:ascii="Arial" w:cs="Arial" w:eastAsia="Arial" w:hAnsi="Arial"/>
                <w:sz w:val="10"/>
                <w:szCs w:val="10"/>
                <w:color w:val="auto"/>
              </w:rPr>
              <w:t>USA</w:t>
            </w:r>
          </w:p>
        </w:tc>
        <w:tc>
          <w:tcPr>
            <w:tcW w:w="1780" w:type="dxa"/>
            <w:vAlign w:val="bottom"/>
          </w:tcPr>
          <w:p>
            <w:pPr>
              <w:ind w:left="200"/>
              <w:spacing w:after="0"/>
              <w:rPr>
                <w:sz w:val="20"/>
                <w:szCs w:val="20"/>
                <w:color w:val="auto"/>
              </w:rPr>
            </w:pPr>
            <w:r>
              <w:rPr>
                <w:rFonts w:ascii="Arial" w:cs="Arial" w:eastAsia="Arial" w:hAnsi="Arial"/>
                <w:sz w:val="10"/>
                <w:szCs w:val="10"/>
                <w:color w:val="auto"/>
              </w:rPr>
              <w:t>telco services</w:t>
            </w:r>
          </w:p>
        </w:tc>
        <w:tc>
          <w:tcPr>
            <w:tcW w:w="1100" w:type="dxa"/>
            <w:vAlign w:val="bottom"/>
          </w:tcPr>
          <w:p>
            <w:pPr>
              <w:jc w:val="right"/>
              <w:ind w:right="108"/>
              <w:spacing w:after="0"/>
              <w:rPr>
                <w:sz w:val="20"/>
                <w:szCs w:val="20"/>
                <w:color w:val="auto"/>
              </w:rPr>
            </w:pPr>
            <w:r>
              <w:rPr>
                <w:rFonts w:ascii="Arial" w:cs="Arial" w:eastAsia="Arial" w:hAnsi="Arial"/>
                <w:sz w:val="10"/>
                <w:szCs w:val="10"/>
                <w:color w:val="auto"/>
              </w:rPr>
              <w:t>100 %</w:t>
            </w:r>
          </w:p>
        </w:tc>
        <w:tc>
          <w:tcPr>
            <w:tcW w:w="820" w:type="dxa"/>
            <w:vAlign w:val="bottom"/>
            <w:gridSpan w:val="2"/>
          </w:tcPr>
          <w:p>
            <w:pPr>
              <w:jc w:val="right"/>
              <w:ind w:right="74"/>
              <w:spacing w:after="0"/>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7 Degrees LLC</w:t>
            </w:r>
          </w:p>
        </w:tc>
        <w:tc>
          <w:tcPr>
            <w:tcW w:w="1480" w:type="dxa"/>
            <w:vAlign w:val="bottom"/>
            <w:shd w:val="clear" w:color="auto" w:fill="CCEEFF"/>
          </w:tcPr>
          <w:p>
            <w:pPr>
              <w:ind w:left="680"/>
              <w:spacing w:after="0" w:line="111" w:lineRule="exact"/>
              <w:rPr>
                <w:sz w:val="20"/>
                <w:szCs w:val="20"/>
                <w:color w:val="auto"/>
              </w:rPr>
            </w:pPr>
            <w:r>
              <w:rPr>
                <w:rFonts w:ascii="Arial" w:cs="Arial" w:eastAsia="Arial" w:hAnsi="Arial"/>
                <w:sz w:val="10"/>
                <w:szCs w:val="10"/>
                <w:color w:val="auto"/>
              </w:rPr>
              <w:t>USA</w:t>
            </w:r>
          </w:p>
        </w:tc>
        <w:tc>
          <w:tcPr>
            <w:tcW w:w="1780" w:type="dxa"/>
            <w:vAlign w:val="bottom"/>
            <w:shd w:val="clear" w:color="auto" w:fill="CCEEFF"/>
          </w:tcPr>
          <w:p>
            <w:pPr>
              <w:ind w:left="200"/>
              <w:spacing w:after="0" w:line="111" w:lineRule="exact"/>
              <w:rPr>
                <w:sz w:val="20"/>
                <w:szCs w:val="20"/>
                <w:color w:val="auto"/>
              </w:rPr>
            </w:pPr>
            <w:r>
              <w:rPr>
                <w:rFonts w:ascii="Arial" w:cs="Arial" w:eastAsia="Arial" w:hAnsi="Arial"/>
                <w:sz w:val="10"/>
                <w:szCs w:val="10"/>
                <w:color w:val="auto"/>
              </w:rPr>
              <w:t>Digital marketing agency</w:t>
            </w:r>
          </w:p>
        </w:tc>
        <w:tc>
          <w:tcPr>
            <w:tcW w:w="1100" w:type="dxa"/>
            <w:vAlign w:val="bottom"/>
            <w:shd w:val="clear" w:color="auto" w:fill="CCEEFF"/>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gridSpan w:val="2"/>
            <w:shd w:val="clear" w:color="auto" w:fill="CCEEFF"/>
          </w:tcPr>
          <w:p>
            <w:pPr>
              <w:jc w:val="right"/>
              <w:ind w:right="74"/>
              <w:spacing w:after="0" w:line="111" w:lineRule="exact"/>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11"/>
        </w:trPr>
        <w:tc>
          <w:tcPr>
            <w:tcW w:w="3760" w:type="dxa"/>
            <w:vAlign w:val="bottom"/>
            <w:tcBorders>
              <w:bottom w:val="single" w:sz="8" w:color="auto"/>
            </w:tcBorders>
          </w:tcPr>
          <w:p>
            <w:pPr>
              <w:spacing w:after="0" w:line="111" w:lineRule="exact"/>
              <w:rPr>
                <w:sz w:val="20"/>
                <w:szCs w:val="20"/>
                <w:color w:val="auto"/>
              </w:rPr>
            </w:pPr>
            <w:r>
              <w:rPr>
                <w:rFonts w:ascii="Arial" w:cs="Arial" w:eastAsia="Arial" w:hAnsi="Arial"/>
                <w:sz w:val="10"/>
                <w:szCs w:val="10"/>
                <w:color w:val="auto"/>
              </w:rPr>
              <w:t>iSky, LLC</w:t>
            </w:r>
          </w:p>
        </w:tc>
        <w:tc>
          <w:tcPr>
            <w:tcW w:w="1480" w:type="dxa"/>
            <w:vAlign w:val="bottom"/>
            <w:tcBorders>
              <w:bottom w:val="single" w:sz="8" w:color="auto"/>
            </w:tcBorders>
          </w:tcPr>
          <w:p>
            <w:pPr>
              <w:ind w:left="680"/>
              <w:spacing w:after="0" w:line="111" w:lineRule="exact"/>
              <w:rPr>
                <w:sz w:val="20"/>
                <w:szCs w:val="20"/>
                <w:color w:val="auto"/>
              </w:rPr>
            </w:pPr>
            <w:r>
              <w:rPr>
                <w:rFonts w:ascii="Arial" w:cs="Arial" w:eastAsia="Arial" w:hAnsi="Arial"/>
                <w:sz w:val="10"/>
                <w:szCs w:val="10"/>
                <w:color w:val="auto"/>
              </w:rPr>
              <w:t>USA</w:t>
            </w:r>
          </w:p>
        </w:tc>
        <w:tc>
          <w:tcPr>
            <w:tcW w:w="1780" w:type="dxa"/>
            <w:vAlign w:val="bottom"/>
            <w:tcBorders>
              <w:bottom w:val="single" w:sz="8" w:color="auto"/>
            </w:tcBorders>
          </w:tcPr>
          <w:p>
            <w:pPr>
              <w:ind w:left="200"/>
              <w:spacing w:after="0" w:line="111" w:lineRule="exact"/>
              <w:rPr>
                <w:sz w:val="20"/>
                <w:szCs w:val="20"/>
                <w:color w:val="auto"/>
              </w:rPr>
            </w:pPr>
            <w:r>
              <w:rPr>
                <w:rFonts w:ascii="Arial" w:cs="Arial" w:eastAsia="Arial" w:hAnsi="Arial"/>
                <w:sz w:val="10"/>
                <w:szCs w:val="10"/>
                <w:color w:val="auto"/>
              </w:rPr>
              <w:t>Customer experience</w:t>
            </w:r>
          </w:p>
        </w:tc>
        <w:tc>
          <w:tcPr>
            <w:tcW w:w="1100" w:type="dxa"/>
            <w:vAlign w:val="bottom"/>
            <w:tcBorders>
              <w:bottom w:val="single" w:sz="8" w:color="auto"/>
            </w:tcBorders>
          </w:tcPr>
          <w:p>
            <w:pPr>
              <w:jc w:val="right"/>
              <w:ind w:right="108"/>
              <w:spacing w:after="0" w:line="111" w:lineRule="exact"/>
              <w:rPr>
                <w:sz w:val="20"/>
                <w:szCs w:val="20"/>
                <w:color w:val="auto"/>
              </w:rPr>
            </w:pPr>
            <w:r>
              <w:rPr>
                <w:rFonts w:ascii="Arial" w:cs="Arial" w:eastAsia="Arial" w:hAnsi="Arial"/>
                <w:sz w:val="10"/>
                <w:szCs w:val="10"/>
                <w:color w:val="auto"/>
              </w:rPr>
              <w:t>100 %</w:t>
            </w:r>
          </w:p>
        </w:tc>
        <w:tc>
          <w:tcPr>
            <w:tcW w:w="820" w:type="dxa"/>
            <w:vAlign w:val="bottom"/>
            <w:tcBorders>
              <w:bottom w:val="single" w:sz="8" w:color="auto"/>
            </w:tcBorders>
            <w:gridSpan w:val="2"/>
          </w:tcPr>
          <w:p>
            <w:pPr>
              <w:jc w:val="right"/>
              <w:ind w:right="74"/>
              <w:spacing w:after="0" w:line="111"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02" w:name="page203"/>
    <w:bookmarkEnd w:id="20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IBEX Limited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Notes to the Consolidated Financial Statements</w:t>
      </w:r>
    </w:p>
    <w:p>
      <w:pPr>
        <w:ind w:left="40"/>
        <w:spacing w:after="0"/>
        <w:rPr>
          <w:sz w:val="20"/>
          <w:szCs w:val="20"/>
          <w:color w:val="auto"/>
        </w:rPr>
      </w:pPr>
      <w:r>
        <w:rPr>
          <w:rFonts w:ascii="Arial" w:cs="Arial" w:eastAsia="Arial" w:hAnsi="Arial"/>
          <w:sz w:val="15"/>
          <w:szCs w:val="15"/>
          <w:i w:val="1"/>
          <w:iCs w:val="1"/>
          <w:color w:val="auto"/>
        </w:rPr>
        <w:t>For the years ended June 30, 2022, 2021 and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entities are indirect subsidiaries of the Holding Company through DGS Limited: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7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Description</w:t>
            </w:r>
          </w:p>
        </w:tc>
        <w:tc>
          <w:tcPr>
            <w:tcW w:w="1520" w:type="dxa"/>
            <w:vAlign w:val="bottom"/>
            <w:tcBorders>
              <w:top w:val="single" w:sz="8" w:color="auto"/>
              <w:bottom w:val="single" w:sz="8" w:color="auto"/>
            </w:tcBorders>
            <w:vMerge w:val="restart"/>
          </w:tcPr>
          <w:p>
            <w:pPr>
              <w:jc w:val="center"/>
              <w:ind w:left="701"/>
              <w:spacing w:after="0"/>
              <w:rPr>
                <w:sz w:val="20"/>
                <w:szCs w:val="20"/>
                <w:color w:val="auto"/>
              </w:rPr>
            </w:pPr>
            <w:r>
              <w:rPr>
                <w:rFonts w:ascii="Arial" w:cs="Arial" w:eastAsia="Arial" w:hAnsi="Arial"/>
                <w:sz w:val="12"/>
                <w:szCs w:val="12"/>
                <w:b w:val="1"/>
                <w:bCs w:val="1"/>
                <w:color w:val="auto"/>
                <w:w w:val="95"/>
              </w:rPr>
              <w:t>Location</w:t>
            </w:r>
          </w:p>
        </w:tc>
        <w:tc>
          <w:tcPr>
            <w:tcW w:w="2720" w:type="dxa"/>
            <w:vAlign w:val="bottom"/>
            <w:tcBorders>
              <w:top w:val="single" w:sz="8" w:color="auto"/>
              <w:bottom w:val="single" w:sz="8" w:color="auto"/>
            </w:tcBorders>
            <w:vMerge w:val="restart"/>
          </w:tcPr>
          <w:p>
            <w:pPr>
              <w:ind w:left="900"/>
              <w:spacing w:after="0"/>
              <w:rPr>
                <w:sz w:val="20"/>
                <w:szCs w:val="20"/>
                <w:color w:val="auto"/>
              </w:rPr>
            </w:pPr>
            <w:r>
              <w:rPr>
                <w:rFonts w:ascii="Arial" w:cs="Arial" w:eastAsia="Arial" w:hAnsi="Arial"/>
                <w:sz w:val="12"/>
                <w:szCs w:val="12"/>
                <w:b w:val="1"/>
                <w:bCs w:val="1"/>
                <w:color w:val="auto"/>
              </w:rPr>
              <w:t>Nature of Business</w:t>
            </w:r>
          </w:p>
        </w:tc>
        <w:tc>
          <w:tcPr>
            <w:tcW w:w="1980" w:type="dxa"/>
            <w:vAlign w:val="bottom"/>
            <w:tcBorders>
              <w:top w:val="single" w:sz="8" w:color="auto"/>
              <w:bottom w:val="single" w:sz="8" w:color="auto"/>
            </w:tcBorders>
            <w:gridSpan w:val="2"/>
          </w:tcPr>
          <w:p>
            <w:pPr>
              <w:jc w:val="right"/>
              <w:ind w:right="561"/>
              <w:spacing w:after="0"/>
              <w:rPr>
                <w:sz w:val="20"/>
                <w:szCs w:val="20"/>
                <w:color w:val="auto"/>
              </w:rPr>
            </w:pPr>
            <w:r>
              <w:rPr>
                <w:rFonts w:ascii="Arial" w:cs="Arial" w:eastAsia="Arial" w:hAnsi="Arial"/>
                <w:sz w:val="12"/>
                <w:szCs w:val="12"/>
                <w:b w:val="1"/>
                <w:bCs w:val="1"/>
                <w:color w:val="auto"/>
              </w:rPr>
              <w:t>Ownership %</w:t>
            </w:r>
          </w:p>
        </w:tc>
        <w:tc>
          <w:tcPr>
            <w:tcW w:w="0" w:type="dxa"/>
            <w:vAlign w:val="bottom"/>
          </w:tcPr>
          <w:p>
            <w:pPr>
              <w:spacing w:after="0"/>
              <w:rPr>
                <w:sz w:val="1"/>
                <w:szCs w:val="1"/>
                <w:color w:val="auto"/>
              </w:rPr>
            </w:pPr>
          </w:p>
        </w:tc>
      </w:tr>
      <w:tr>
        <w:trPr>
          <w:trHeight w:val="124"/>
        </w:trPr>
        <w:tc>
          <w:tcPr>
            <w:tcW w:w="2720" w:type="dxa"/>
            <w:vAlign w:val="bottom"/>
            <w:tcBorders>
              <w:bottom w:val="single" w:sz="8" w:color="auto"/>
            </w:tcBorders>
            <w:vMerge w:val="continue"/>
          </w:tcPr>
          <w:p>
            <w:pPr>
              <w:spacing w:after="0"/>
              <w:rPr>
                <w:sz w:val="10"/>
                <w:szCs w:val="10"/>
                <w:color w:val="auto"/>
              </w:rPr>
            </w:pPr>
          </w:p>
        </w:tc>
        <w:tc>
          <w:tcPr>
            <w:tcW w:w="1520" w:type="dxa"/>
            <w:vAlign w:val="bottom"/>
            <w:tcBorders>
              <w:bottom w:val="single" w:sz="8" w:color="auto"/>
            </w:tcBorders>
            <w:vMerge w:val="continue"/>
          </w:tcPr>
          <w:p>
            <w:pPr>
              <w:spacing w:after="0"/>
              <w:rPr>
                <w:sz w:val="10"/>
                <w:szCs w:val="10"/>
                <w:color w:val="auto"/>
              </w:rPr>
            </w:pPr>
          </w:p>
        </w:tc>
        <w:tc>
          <w:tcPr>
            <w:tcW w:w="272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tcPr>
          <w:p>
            <w:pPr>
              <w:jc w:val="right"/>
              <w:ind w:right="401"/>
              <w:spacing w:after="0" w:line="124" w:lineRule="exact"/>
              <w:rPr>
                <w:sz w:val="20"/>
                <w:szCs w:val="20"/>
                <w:color w:val="auto"/>
              </w:rPr>
            </w:pPr>
            <w:r>
              <w:rPr>
                <w:rFonts w:ascii="Arial" w:cs="Arial" w:eastAsia="Arial" w:hAnsi="Arial"/>
                <w:sz w:val="12"/>
                <w:szCs w:val="12"/>
                <w:b w:val="1"/>
                <w:bCs w:val="1"/>
                <w:color w:val="auto"/>
              </w:rPr>
              <w:t>2022</w:t>
            </w:r>
          </w:p>
        </w:tc>
        <w:tc>
          <w:tcPr>
            <w:tcW w:w="880" w:type="dxa"/>
            <w:vAlign w:val="bottom"/>
            <w:tcBorders>
              <w:bottom w:val="single" w:sz="8" w:color="auto"/>
            </w:tcBorders>
          </w:tcPr>
          <w:p>
            <w:pPr>
              <w:jc w:val="right"/>
              <w:ind w:right="381"/>
              <w:spacing w:after="0" w:line="124" w:lineRule="exact"/>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24"/>
        </w:trPr>
        <w:tc>
          <w:tcPr>
            <w:tcW w:w="272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DGS Worldwide Marketing Limited</w:t>
            </w:r>
          </w:p>
        </w:tc>
        <w:tc>
          <w:tcPr>
            <w:tcW w:w="1520" w:type="dxa"/>
            <w:vAlign w:val="bottom"/>
            <w:shd w:val="clear" w:color="auto" w:fill="CCEEFF"/>
          </w:tcPr>
          <w:p>
            <w:pPr>
              <w:jc w:val="center"/>
              <w:ind w:left="701"/>
              <w:spacing w:after="0" w:line="124" w:lineRule="exact"/>
              <w:rPr>
                <w:sz w:val="20"/>
                <w:szCs w:val="20"/>
                <w:color w:val="auto"/>
              </w:rPr>
            </w:pPr>
            <w:r>
              <w:rPr>
                <w:rFonts w:ascii="Arial" w:cs="Arial" w:eastAsia="Arial" w:hAnsi="Arial"/>
                <w:sz w:val="12"/>
                <w:szCs w:val="12"/>
                <w:color w:val="auto"/>
                <w:w w:val="94"/>
              </w:rPr>
              <w:t>Cyprus</w:t>
            </w:r>
          </w:p>
        </w:tc>
        <w:tc>
          <w:tcPr>
            <w:tcW w:w="272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Holding company and global marketing</w:t>
            </w:r>
          </w:p>
        </w:tc>
        <w:tc>
          <w:tcPr>
            <w:tcW w:w="1100" w:type="dxa"/>
            <w:vAlign w:val="bottom"/>
            <w:shd w:val="clear" w:color="auto" w:fill="CCEEFF"/>
          </w:tcPr>
          <w:p>
            <w:pPr>
              <w:jc w:val="right"/>
              <w:ind w:right="121"/>
              <w:spacing w:after="0" w:line="124" w:lineRule="exact"/>
              <w:rPr>
                <w:sz w:val="20"/>
                <w:szCs w:val="20"/>
                <w:color w:val="auto"/>
              </w:rPr>
            </w:pPr>
            <w:r>
              <w:rPr>
                <w:rFonts w:ascii="Arial" w:cs="Arial" w:eastAsia="Arial" w:hAnsi="Arial"/>
                <w:sz w:val="12"/>
                <w:szCs w:val="12"/>
                <w:color w:val="auto"/>
              </w:rPr>
              <w:t>100 %</w:t>
            </w:r>
          </w:p>
        </w:tc>
        <w:tc>
          <w:tcPr>
            <w:tcW w:w="880" w:type="dxa"/>
            <w:vAlign w:val="bottom"/>
            <w:shd w:val="clear" w:color="auto" w:fill="CCEEFF"/>
          </w:tcPr>
          <w:p>
            <w:pPr>
              <w:jc w:val="right"/>
              <w:ind w:right="41"/>
              <w:spacing w:after="0" w:line="124" w:lineRule="exact"/>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33"/>
        </w:trPr>
        <w:tc>
          <w:tcPr>
            <w:tcW w:w="2720" w:type="dxa"/>
            <w:vAlign w:val="bottom"/>
          </w:tcPr>
          <w:p>
            <w:pPr>
              <w:ind w:left="20"/>
              <w:spacing w:after="0" w:line="133" w:lineRule="exact"/>
              <w:rPr>
                <w:sz w:val="20"/>
                <w:szCs w:val="20"/>
                <w:color w:val="auto"/>
              </w:rPr>
            </w:pPr>
            <w:r>
              <w:rPr>
                <w:rFonts w:ascii="Arial" w:cs="Arial" w:eastAsia="Arial" w:hAnsi="Arial"/>
                <w:sz w:val="12"/>
                <w:szCs w:val="12"/>
                <w:color w:val="auto"/>
              </w:rPr>
              <w:t>DGS (Pvt.) Limited</w:t>
            </w:r>
          </w:p>
        </w:tc>
        <w:tc>
          <w:tcPr>
            <w:tcW w:w="1520" w:type="dxa"/>
            <w:vAlign w:val="bottom"/>
          </w:tcPr>
          <w:p>
            <w:pPr>
              <w:jc w:val="center"/>
              <w:ind w:left="701"/>
              <w:spacing w:after="0" w:line="133" w:lineRule="exact"/>
              <w:rPr>
                <w:sz w:val="20"/>
                <w:szCs w:val="20"/>
                <w:color w:val="auto"/>
              </w:rPr>
            </w:pPr>
            <w:r>
              <w:rPr>
                <w:rFonts w:ascii="Arial" w:cs="Arial" w:eastAsia="Arial" w:hAnsi="Arial"/>
                <w:sz w:val="12"/>
                <w:szCs w:val="12"/>
                <w:color w:val="auto"/>
                <w:w w:val="95"/>
              </w:rPr>
              <w:t>Pakistan</w:t>
            </w:r>
          </w:p>
        </w:tc>
        <w:tc>
          <w:tcPr>
            <w:tcW w:w="2720" w:type="dxa"/>
            <w:vAlign w:val="bottom"/>
          </w:tcPr>
          <w:p>
            <w:pPr>
              <w:ind w:left="160"/>
              <w:spacing w:after="0" w:line="133" w:lineRule="exact"/>
              <w:rPr>
                <w:sz w:val="20"/>
                <w:szCs w:val="20"/>
                <w:color w:val="auto"/>
              </w:rPr>
            </w:pPr>
            <w:r>
              <w:rPr>
                <w:rFonts w:ascii="Arial" w:cs="Arial" w:eastAsia="Arial" w:hAnsi="Arial"/>
                <w:sz w:val="12"/>
                <w:szCs w:val="12"/>
                <w:color w:val="auto"/>
              </w:rPr>
              <w:t>Call center and support services</w:t>
            </w:r>
          </w:p>
        </w:tc>
        <w:tc>
          <w:tcPr>
            <w:tcW w:w="1100" w:type="dxa"/>
            <w:vAlign w:val="bottom"/>
          </w:tcPr>
          <w:p>
            <w:pPr>
              <w:jc w:val="right"/>
              <w:ind w:right="121"/>
              <w:spacing w:after="0" w:line="133" w:lineRule="exact"/>
              <w:rPr>
                <w:sz w:val="20"/>
                <w:szCs w:val="20"/>
                <w:color w:val="auto"/>
              </w:rPr>
            </w:pPr>
            <w:r>
              <w:rPr>
                <w:rFonts w:ascii="Arial" w:cs="Arial" w:eastAsia="Arial" w:hAnsi="Arial"/>
                <w:sz w:val="12"/>
                <w:szCs w:val="12"/>
                <w:color w:val="auto"/>
              </w:rPr>
              <w:t>100 %</w:t>
            </w:r>
          </w:p>
        </w:tc>
        <w:tc>
          <w:tcPr>
            <w:tcW w:w="880" w:type="dxa"/>
            <w:vAlign w:val="bottom"/>
          </w:tcPr>
          <w:p>
            <w:pPr>
              <w:jc w:val="right"/>
              <w:ind w:right="41"/>
              <w:spacing w:after="0" w:line="133" w:lineRule="exact"/>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33"/>
        </w:trPr>
        <w:tc>
          <w:tcPr>
            <w:tcW w:w="2720" w:type="dxa"/>
            <w:vAlign w:val="bottom"/>
            <w:tcBorders>
              <w:bottom w:val="single" w:sz="8" w:color="auto"/>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spacing w:after="0"/>
              <w:rPr>
                <w:sz w:val="11"/>
                <w:szCs w:val="11"/>
                <w:color w:val="auto"/>
              </w:rPr>
            </w:pPr>
          </w:p>
        </w:tc>
        <w:tc>
          <w:tcPr>
            <w:tcW w:w="272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entity is a Joint venture with membership interest held by Digital Globe Services, LLC:</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6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Description</w:t>
            </w:r>
          </w:p>
        </w:tc>
        <w:tc>
          <w:tcPr>
            <w:tcW w:w="1880" w:type="dxa"/>
            <w:vAlign w:val="bottom"/>
            <w:tcBorders>
              <w:top w:val="single" w:sz="8" w:color="auto"/>
              <w:bottom w:val="single" w:sz="8" w:color="auto"/>
            </w:tcBorders>
            <w:vMerge w:val="restart"/>
          </w:tcPr>
          <w:p>
            <w:pPr>
              <w:ind w:left="1220"/>
              <w:spacing w:after="0"/>
              <w:rPr>
                <w:sz w:val="20"/>
                <w:szCs w:val="20"/>
                <w:color w:val="auto"/>
              </w:rPr>
            </w:pPr>
            <w:r>
              <w:rPr>
                <w:rFonts w:ascii="Arial" w:cs="Arial" w:eastAsia="Arial" w:hAnsi="Arial"/>
                <w:sz w:val="12"/>
                <w:szCs w:val="12"/>
                <w:b w:val="1"/>
                <w:bCs w:val="1"/>
                <w:color w:val="auto"/>
              </w:rPr>
              <w:t>Location</w:t>
            </w:r>
          </w:p>
        </w:tc>
        <w:tc>
          <w:tcPr>
            <w:tcW w:w="2320" w:type="dxa"/>
            <w:vAlign w:val="bottom"/>
            <w:tcBorders>
              <w:top w:val="single" w:sz="8" w:color="auto"/>
              <w:bottom w:val="single" w:sz="8" w:color="auto"/>
            </w:tcBorders>
            <w:vMerge w:val="restart"/>
          </w:tcPr>
          <w:p>
            <w:pPr>
              <w:ind w:left="600"/>
              <w:spacing w:after="0"/>
              <w:rPr>
                <w:sz w:val="20"/>
                <w:szCs w:val="20"/>
                <w:color w:val="auto"/>
              </w:rPr>
            </w:pPr>
            <w:r>
              <w:rPr>
                <w:rFonts w:ascii="Arial" w:cs="Arial" w:eastAsia="Arial" w:hAnsi="Arial"/>
                <w:sz w:val="12"/>
                <w:szCs w:val="12"/>
                <w:b w:val="1"/>
                <w:bCs w:val="1"/>
                <w:color w:val="auto"/>
              </w:rPr>
              <w:t>Nature of Business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Ownership %</w:t>
            </w:r>
          </w:p>
        </w:tc>
        <w:tc>
          <w:tcPr>
            <w:tcW w:w="7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680" w:type="dxa"/>
            <w:vAlign w:val="bottom"/>
            <w:tcBorders>
              <w:bottom w:val="single" w:sz="8" w:color="auto"/>
            </w:tcBorders>
            <w:vMerge w:val="continue"/>
          </w:tcPr>
          <w:p>
            <w:pPr>
              <w:spacing w:after="0"/>
              <w:rPr>
                <w:sz w:val="10"/>
                <w:szCs w:val="10"/>
                <w:color w:val="auto"/>
              </w:rPr>
            </w:pPr>
          </w:p>
        </w:tc>
        <w:tc>
          <w:tcPr>
            <w:tcW w:w="1880" w:type="dxa"/>
            <w:vAlign w:val="bottom"/>
            <w:tcBorders>
              <w:bottom w:val="single" w:sz="8" w:color="auto"/>
            </w:tcBorders>
            <w:vMerge w:val="continue"/>
          </w:tcPr>
          <w:p>
            <w:pPr>
              <w:spacing w:after="0"/>
              <w:rPr>
                <w:sz w:val="10"/>
                <w:szCs w:val="10"/>
                <w:color w:val="auto"/>
              </w:rPr>
            </w:pPr>
          </w:p>
        </w:tc>
        <w:tc>
          <w:tcPr>
            <w:tcW w:w="232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tcPr>
          <w:p>
            <w:pPr>
              <w:jc w:val="right"/>
              <w:ind w:right="696"/>
              <w:spacing w:after="0" w:line="124" w:lineRule="exact"/>
              <w:rPr>
                <w:sz w:val="20"/>
                <w:szCs w:val="20"/>
                <w:color w:val="auto"/>
              </w:rPr>
            </w:pPr>
            <w:r>
              <w:rPr>
                <w:rFonts w:ascii="Arial" w:cs="Arial" w:eastAsia="Arial" w:hAnsi="Arial"/>
                <w:sz w:val="12"/>
                <w:szCs w:val="12"/>
                <w:b w:val="1"/>
                <w:bCs w:val="1"/>
                <w:color w:val="auto"/>
              </w:rPr>
              <w:t>2022</w:t>
            </w:r>
          </w:p>
        </w:tc>
        <w:tc>
          <w:tcPr>
            <w:tcW w:w="780" w:type="dxa"/>
            <w:vAlign w:val="bottom"/>
            <w:tcBorders>
              <w:bottom w:val="single" w:sz="8" w:color="auto"/>
            </w:tcBorders>
          </w:tcPr>
          <w:p>
            <w:pPr>
              <w:jc w:val="right"/>
              <w:ind w:right="454"/>
              <w:spacing w:after="0" w:line="124" w:lineRule="exact"/>
              <w:rPr>
                <w:sz w:val="20"/>
                <w:szCs w:val="20"/>
                <w:color w:val="auto"/>
              </w:rPr>
            </w:pPr>
            <w:r>
              <w:rPr>
                <w:rFonts w:ascii="Arial" w:cs="Arial" w:eastAsia="Arial" w:hAnsi="Arial"/>
                <w:sz w:val="12"/>
                <w:szCs w:val="12"/>
                <w:b w:val="1"/>
                <w:bCs w:val="1"/>
                <w:color w:val="auto"/>
                <w:w w:val="89"/>
              </w:rPr>
              <w:t>2021</w:t>
            </w:r>
          </w:p>
        </w:tc>
        <w:tc>
          <w:tcPr>
            <w:tcW w:w="0" w:type="dxa"/>
            <w:vAlign w:val="bottom"/>
          </w:tcPr>
          <w:p>
            <w:pPr>
              <w:spacing w:after="0"/>
              <w:rPr>
                <w:sz w:val="1"/>
                <w:szCs w:val="1"/>
                <w:color w:val="auto"/>
              </w:rPr>
            </w:pPr>
          </w:p>
        </w:tc>
      </w:tr>
      <w:tr>
        <w:trPr>
          <w:trHeight w:val="142"/>
        </w:trPr>
        <w:tc>
          <w:tcPr>
            <w:tcW w:w="26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320" w:type="dxa"/>
            <w:vAlign w:val="bottom"/>
            <w:shd w:val="clear" w:color="auto" w:fill="CCEEFF"/>
          </w:tcPr>
          <w:p>
            <w:pPr>
              <w:ind w:left="120"/>
              <w:spacing w:after="0" w:line="142" w:lineRule="exact"/>
              <w:rPr>
                <w:sz w:val="20"/>
                <w:szCs w:val="20"/>
                <w:color w:val="auto"/>
              </w:rPr>
            </w:pPr>
            <w:r>
              <w:rPr>
                <w:rFonts w:ascii="Arial" w:cs="Arial" w:eastAsia="Arial" w:hAnsi="Arial"/>
                <w:sz w:val="15"/>
                <w:szCs w:val="15"/>
                <w:color w:val="auto"/>
              </w:rPr>
              <w:t>Internet Marketing for</w:t>
            </w:r>
          </w:p>
        </w:tc>
        <w:tc>
          <w:tcPr>
            <w:tcW w:w="1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Lakeball LLC (Note 7)</w:t>
            </w:r>
          </w:p>
        </w:tc>
        <w:tc>
          <w:tcPr>
            <w:tcW w:w="1880" w:type="dxa"/>
            <w:vAlign w:val="bottom"/>
            <w:shd w:val="clear" w:color="auto" w:fill="CCEEFF"/>
          </w:tcPr>
          <w:p>
            <w:pPr>
              <w:ind w:left="1440"/>
              <w:spacing w:after="0"/>
              <w:rPr>
                <w:sz w:val="20"/>
                <w:szCs w:val="20"/>
                <w:color w:val="auto"/>
              </w:rPr>
            </w:pPr>
            <w:r>
              <w:rPr>
                <w:rFonts w:ascii="Arial" w:cs="Arial" w:eastAsia="Arial" w:hAnsi="Arial"/>
                <w:sz w:val="15"/>
                <w:szCs w:val="15"/>
                <w:color w:val="auto"/>
              </w:rPr>
              <w:t>USA</w:t>
            </w:r>
          </w:p>
        </w:tc>
        <w:tc>
          <w:tcPr>
            <w:tcW w:w="2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commercial cable services</w:t>
            </w:r>
          </w:p>
        </w:tc>
        <w:tc>
          <w:tcPr>
            <w:tcW w:w="1280" w:type="dxa"/>
            <w:vAlign w:val="bottom"/>
            <w:shd w:val="clear" w:color="auto" w:fill="CCEEFF"/>
          </w:tcPr>
          <w:p>
            <w:pPr>
              <w:jc w:val="right"/>
              <w:ind w:right="316"/>
              <w:spacing w:after="0"/>
              <w:rPr>
                <w:sz w:val="20"/>
                <w:szCs w:val="20"/>
                <w:color w:val="auto"/>
              </w:rPr>
            </w:pPr>
            <w:r>
              <w:rPr>
                <w:rFonts w:ascii="Arial" w:cs="Arial" w:eastAsia="Arial" w:hAnsi="Arial"/>
                <w:sz w:val="15"/>
                <w:szCs w:val="15"/>
                <w:color w:val="auto"/>
              </w:rPr>
              <w:t>47.5 %</w:t>
            </w:r>
          </w:p>
        </w:tc>
        <w:tc>
          <w:tcPr>
            <w:tcW w:w="780" w:type="dxa"/>
            <w:vAlign w:val="bottom"/>
            <w:shd w:val="clear" w:color="auto" w:fill="CCEEFF"/>
          </w:tcPr>
          <w:p>
            <w:pPr>
              <w:jc w:val="right"/>
              <w:ind w:right="74"/>
              <w:spacing w:after="0"/>
              <w:rPr>
                <w:sz w:val="20"/>
                <w:szCs w:val="20"/>
                <w:color w:val="auto"/>
              </w:rPr>
            </w:pPr>
            <w:r>
              <w:rPr>
                <w:rFonts w:ascii="Arial" w:cs="Arial" w:eastAsia="Arial" w:hAnsi="Arial"/>
                <w:sz w:val="15"/>
                <w:szCs w:val="15"/>
                <w:color w:val="auto"/>
              </w:rPr>
              <w:t>47.5 %</w:t>
            </w:r>
          </w:p>
        </w:tc>
        <w:tc>
          <w:tcPr>
            <w:tcW w:w="0" w:type="dxa"/>
            <w:vAlign w:val="bottom"/>
          </w:tcPr>
          <w:p>
            <w:pPr>
              <w:spacing w:after="0"/>
              <w:rPr>
                <w:sz w:val="1"/>
                <w:szCs w:val="1"/>
                <w:color w:val="auto"/>
              </w:rPr>
            </w:pPr>
          </w:p>
        </w:tc>
      </w:tr>
      <w:tr>
        <w:trPr>
          <w:trHeight w:val="166"/>
        </w:trPr>
        <w:tc>
          <w:tcPr>
            <w:tcW w:w="2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60" w:hanging="525"/>
        <w:spacing w:after="0"/>
        <w:tabs>
          <w:tab w:leader="none" w:pos="560" w:val="left"/>
        </w:tabs>
        <w:numPr>
          <w:ilvl w:val="0"/>
          <w:numId w:val="129"/>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70"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5"/>
          <w:szCs w:val="15"/>
          <w:b w:val="1"/>
          <w:bCs w:val="1"/>
          <w:color w:val="auto"/>
        </w:rPr>
        <w:t>30.1</w:t>
      </w:r>
      <w:r>
        <w:rPr>
          <w:sz w:val="20"/>
          <w:szCs w:val="20"/>
          <w:color w:val="auto"/>
        </w:rPr>
        <w:tab/>
      </w:r>
      <w:r>
        <w:rPr>
          <w:rFonts w:ascii="Arial" w:cs="Arial" w:eastAsia="Arial" w:hAnsi="Arial"/>
          <w:sz w:val="14"/>
          <w:szCs w:val="14"/>
          <w:color w:val="auto"/>
        </w:rPr>
        <w:t>On July 29, 2022, the demand loan with First Global Bank Limited was paid in full.</w:t>
      </w:r>
    </w:p>
    <w:p>
      <w:pPr>
        <w:spacing w:after="0" w:line="170" w:lineRule="exact"/>
        <w:rPr>
          <w:sz w:val="20"/>
          <w:szCs w:val="20"/>
          <w:color w:val="auto"/>
        </w:rPr>
      </w:pPr>
    </w:p>
    <w:p>
      <w:pPr>
        <w:ind w:left="40" w:right="59"/>
        <w:spacing w:after="0" w:line="260" w:lineRule="auto"/>
        <w:rPr>
          <w:sz w:val="20"/>
          <w:szCs w:val="20"/>
          <w:color w:val="auto"/>
        </w:rPr>
      </w:pPr>
      <w:r>
        <w:rPr>
          <w:rFonts w:ascii="Arial" w:cs="Arial" w:eastAsia="Arial" w:hAnsi="Arial"/>
          <w:sz w:val="15"/>
          <w:szCs w:val="15"/>
          <w:b w:val="1"/>
          <w:bCs w:val="1"/>
          <w:color w:val="auto"/>
        </w:rPr>
        <w:t xml:space="preserve">30.2 </w:t>
      </w:r>
      <w:r>
        <w:rPr>
          <w:rFonts w:ascii="Arial" w:cs="Arial" w:eastAsia="Arial" w:hAnsi="Arial"/>
          <w:sz w:val="15"/>
          <w:szCs w:val="15"/>
          <w:color w:val="auto"/>
        </w:rPr>
        <w:t>These consolidated financial statements were authorized for issue by the Chairman of IBEX Limited on behalf of the Board of</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of IBEX Limited, on October 3, 2022.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286385</wp:posOffset>
            </wp:positionV>
            <wp:extent cx="5681980" cy="139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5681980" cy="13970"/>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5"/>
          <w:szCs w:val="15"/>
          <w:b w:val="1"/>
          <w:bCs w:val="1"/>
          <w:color w:val="auto"/>
        </w:rPr>
        <w:t>EXHIBIT 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SHARE CAPITAL</w:t>
      </w:r>
    </w:p>
    <w:p>
      <w:pPr>
        <w:jc w:val="center"/>
        <w:spacing w:after="0"/>
        <w:rPr>
          <w:sz w:val="20"/>
          <w:szCs w:val="20"/>
          <w:color w:val="auto"/>
        </w:rPr>
      </w:pPr>
      <w:r>
        <w:rPr>
          <w:rFonts w:ascii="Arial" w:cs="Arial" w:eastAsia="Arial" w:hAnsi="Arial"/>
          <w:sz w:val="15"/>
          <w:szCs w:val="15"/>
          <w:b w:val="1"/>
          <w:bCs w:val="1"/>
          <w:color w:val="auto"/>
        </w:rPr>
        <w:t>REGISTERED UNDER SECTION 12 OF THE EXCHANGE ACT</w:t>
      </w:r>
    </w:p>
    <w:p>
      <w:pPr>
        <w:spacing w:after="0" w:line="145"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As of September 1, 2022 IBEX Limited (“IBEX”, the “company,” “we,” “us,” and “our”) had the following series of securities registered pursuant to Section 12(b) of the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5"/>
                <w:szCs w:val="15"/>
                <w:b w:val="1"/>
                <w:bCs w:val="1"/>
                <w:color w:val="auto"/>
                <w:w w:val="98"/>
              </w:rPr>
              <w:t>Name of each exchange on which</w:t>
            </w:r>
          </w:p>
        </w:tc>
      </w:tr>
      <w:tr>
        <w:trPr>
          <w:trHeight w:val="205"/>
        </w:trPr>
        <w:tc>
          <w:tcPr>
            <w:tcW w:w="20" w:type="dxa"/>
            <w:vAlign w:val="bottom"/>
          </w:tcPr>
          <w:p>
            <w:pPr>
              <w:spacing w:after="0"/>
              <w:rPr>
                <w:sz w:val="17"/>
                <w:szCs w:val="17"/>
                <w:color w:val="auto"/>
              </w:rPr>
            </w:pPr>
          </w:p>
        </w:tc>
        <w:tc>
          <w:tcPr>
            <w:tcW w:w="3840" w:type="dxa"/>
            <w:vAlign w:val="bottom"/>
            <w:gridSpan w:val="2"/>
          </w:tcPr>
          <w:p>
            <w:pPr>
              <w:ind w:left="1160"/>
              <w:spacing w:after="0"/>
              <w:rPr>
                <w:sz w:val="20"/>
                <w:szCs w:val="20"/>
                <w:color w:val="auto"/>
              </w:rPr>
            </w:pPr>
            <w:r>
              <w:rPr>
                <w:rFonts w:ascii="Arial" w:cs="Arial" w:eastAsia="Arial" w:hAnsi="Arial"/>
                <w:sz w:val="15"/>
                <w:szCs w:val="15"/>
                <w:b w:val="1"/>
                <w:bCs w:val="1"/>
                <w:color w:val="auto"/>
              </w:rPr>
              <w:t>Title of each class</w:t>
            </w:r>
          </w:p>
        </w:tc>
        <w:tc>
          <w:tcPr>
            <w:tcW w:w="24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Trading symbol(s)</w:t>
            </w:r>
          </w:p>
        </w:tc>
        <w:tc>
          <w:tcPr>
            <w:tcW w:w="3640" w:type="dxa"/>
            <w:vAlign w:val="bottom"/>
          </w:tcPr>
          <w:p>
            <w:pPr>
              <w:jc w:val="center"/>
              <w:spacing w:after="0"/>
              <w:rPr>
                <w:sz w:val="20"/>
                <w:szCs w:val="20"/>
                <w:color w:val="auto"/>
              </w:rPr>
            </w:pPr>
            <w:r>
              <w:rPr>
                <w:rFonts w:ascii="Arial" w:cs="Arial" w:eastAsia="Arial" w:hAnsi="Arial"/>
                <w:sz w:val="15"/>
                <w:szCs w:val="15"/>
                <w:b w:val="1"/>
                <w:bCs w:val="1"/>
                <w:color w:val="auto"/>
                <w:w w:val="99"/>
              </w:rPr>
              <w:t>registered</w:t>
            </w:r>
          </w:p>
        </w:tc>
      </w:tr>
      <w:tr>
        <w:trPr>
          <w:trHeight w:val="193"/>
        </w:trPr>
        <w:tc>
          <w:tcPr>
            <w:tcW w:w="20" w:type="dxa"/>
            <w:vAlign w:val="bottom"/>
          </w:tcPr>
          <w:p>
            <w:pPr>
              <w:spacing w:after="0"/>
              <w:rPr>
                <w:sz w:val="16"/>
                <w:szCs w:val="16"/>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Common shares of par value $0.0001 per share</w:t>
            </w:r>
          </w:p>
        </w:tc>
        <w:tc>
          <w:tcPr>
            <w:tcW w:w="220" w:type="dxa"/>
            <w:vAlign w:val="bottom"/>
          </w:tcPr>
          <w:p>
            <w:pPr>
              <w:spacing w:after="0"/>
              <w:rPr>
                <w:sz w:val="16"/>
                <w:szCs w:val="16"/>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9"/>
              </w:rPr>
              <w:t>IBEX</w:t>
            </w:r>
          </w:p>
        </w:tc>
        <w:tc>
          <w:tcPr>
            <w:tcW w:w="240" w:type="dxa"/>
            <w:vAlign w:val="bottom"/>
          </w:tcPr>
          <w:p>
            <w:pPr>
              <w:spacing w:after="0"/>
              <w:rPr>
                <w:sz w:val="16"/>
                <w:szCs w:val="16"/>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7"/>
              </w:rPr>
              <w:t>NASDAQ</w:t>
            </w:r>
          </w:p>
        </w:tc>
      </w:tr>
    </w:tbl>
    <w:p>
      <w:pPr>
        <w:spacing w:after="0" w:line="124" w:lineRule="exact"/>
        <w:rPr>
          <w:sz w:val="20"/>
          <w:szCs w:val="20"/>
          <w:color w:val="auto"/>
        </w:rPr>
      </w:pPr>
    </w:p>
    <w:p>
      <w:pPr>
        <w:ind w:right="300"/>
        <w:spacing w:after="0" w:line="260" w:lineRule="auto"/>
        <w:rPr>
          <w:sz w:val="20"/>
          <w:szCs w:val="20"/>
          <w:color w:val="auto"/>
        </w:rPr>
      </w:pPr>
      <w:r>
        <w:rPr>
          <w:rFonts w:ascii="Arial" w:cs="Arial" w:eastAsia="Arial" w:hAnsi="Arial"/>
          <w:sz w:val="15"/>
          <w:szCs w:val="15"/>
          <w:color w:val="auto"/>
        </w:rPr>
        <w:t>Capitalized terms used but not defined herein have the meanings given to them in our annual report on Form 20-F for the fiscal year ended June 30, 2022 (the “Annual Report”).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w:t>
      </w:r>
    </w:p>
    <w:p>
      <w:pPr>
        <w:spacing w:after="0" w:line="159" w:lineRule="exact"/>
        <w:rPr>
          <w:sz w:val="20"/>
          <w:szCs w:val="20"/>
          <w:color w:val="auto"/>
        </w:rPr>
      </w:pPr>
    </w:p>
    <w:p>
      <w:pPr>
        <w:ind w:right="380"/>
        <w:spacing w:after="0"/>
        <w:rPr>
          <w:sz w:val="20"/>
          <w:szCs w:val="20"/>
          <w:color w:val="auto"/>
        </w:rPr>
      </w:pPr>
      <w:r>
        <w:rPr>
          <w:rFonts w:ascii="Arial" w:cs="Arial" w:eastAsia="Arial" w:hAnsi="Arial"/>
          <w:sz w:val="15"/>
          <w:szCs w:val="15"/>
          <w:color w:val="auto"/>
        </w:rPr>
        <w:t>We are an exempted company incorporated under the laws of Bermuda. We are registered with the Registrar of Companies in Bermuda under registration number 52347. We were incorporated on February 28, 2017 under the name “Forward March Limited.” We changed our name to “IBEX Holdings Limited” on September 15, 2017 and then changed our name to IBEX Limited on September 9, 2019. Our registered office is located at Crawford House, 50 Cedar Avenue, Hamilton HM11, Bermuda.</w:t>
      </w:r>
    </w:p>
    <w:p>
      <w:pPr>
        <w:spacing w:after="0" w:line="62"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We are authorized to issue up to 108,057,967 common shares at a par value of $0.0001 per share. As of September 1, 2022, there were there were 18,247,999 common shares issued and outstanding, which includes 104,454 unvested restricted common shares. Certain of our security holders have rights, subject to some conditions, to require us to file registration statements covering common shares that it holds or to include their shares in registration statements that we may file for ourselves or for other shareholders.</w:t>
      </w:r>
    </w:p>
    <w:p>
      <w:pPr>
        <w:spacing w:after="0" w:line="62" w:lineRule="exact"/>
        <w:rPr>
          <w:sz w:val="20"/>
          <w:szCs w:val="20"/>
          <w:color w:val="auto"/>
        </w:rPr>
      </w:pPr>
    </w:p>
    <w:p>
      <w:pPr>
        <w:ind w:right="80"/>
        <w:spacing w:after="0" w:line="245" w:lineRule="auto"/>
        <w:rPr>
          <w:sz w:val="20"/>
          <w:szCs w:val="20"/>
          <w:color w:val="auto"/>
        </w:rPr>
      </w:pPr>
      <w:r>
        <w:rPr>
          <w:rFonts w:ascii="Arial" w:cs="Arial" w:eastAsia="Arial" w:hAnsi="Arial"/>
          <w:sz w:val="15"/>
          <w:szCs w:val="15"/>
          <w:color w:val="auto"/>
        </w:rPr>
        <w:t>Pursuant to our bye-laws, subject to the requirements of any stock exchange on which our shares are listed and to any resolution of the shareholders to the contrary, our board of directors is authorized to issue any of our authorized but unissued shares. There are no limitations on the right of non-Bermudians or non-residents of Bermuda to hold or vote our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There has been no bankruptcy, receivership or similar proceedings with respect to us or our subsidiaries.</w:t>
      </w:r>
    </w:p>
    <w:p>
      <w:pPr>
        <w:spacing w:after="0" w:line="82" w:lineRule="exact"/>
        <w:rPr>
          <w:sz w:val="20"/>
          <w:szCs w:val="20"/>
          <w:color w:val="auto"/>
        </w:rPr>
      </w:pPr>
    </w:p>
    <w:p>
      <w:pPr>
        <w:ind w:right="240"/>
        <w:spacing w:after="0" w:line="260" w:lineRule="auto"/>
        <w:rPr>
          <w:sz w:val="20"/>
          <w:szCs w:val="20"/>
          <w:color w:val="auto"/>
        </w:rPr>
      </w:pPr>
      <w:r>
        <w:rPr>
          <w:rFonts w:ascii="Arial" w:cs="Arial" w:eastAsia="Arial" w:hAnsi="Arial"/>
          <w:sz w:val="15"/>
          <w:szCs w:val="15"/>
          <w:color w:val="auto"/>
        </w:rPr>
        <w:t>There has been no public takeover offers by third parties for our shares nor any public takeover offers by us for the shares of another company which have occurred during the last or current financial years.</w:t>
      </w:r>
    </w:p>
    <w:p>
      <w:pPr>
        <w:spacing w:after="0" w:line="47"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auto"/>
        </w:rPr>
        <w:t>Pursuant to Bermuda law and our bye-laws, in addition to the common shares described below, our board of directors may, by resolution,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of directors without any further shareholder approval. Such rights, preferences, powers and limitations, as may be established, could have the effect of discouraging an attempt to obtain control of the company.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COMMON SHARES</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following description of our common shares is a summary and does not purport to be complete. It is subject to and qualified in its entirety by IBEX’s memorandum of association, IBEX’s bye-laws, the Companies Act and the common law of Bermuda. A copy of IBEX’s memorandum of association is filed as Exhibit 1.1, and IBEX’s bye-laws is filed as Exhibit 1.2, to IBEX’s Annual Report on Form 20-F for the year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470535</wp:posOffset>
            </wp:positionV>
            <wp:extent cx="631444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24" w:right="979" w:bottom="1440" w:gutter="0" w:footer="0" w:header="0"/>
        </w:sectPr>
      </w:pPr>
    </w:p>
    <w:bookmarkStart w:id="204" w:name="page205"/>
    <w:bookmarkEnd w:id="204"/>
    <w:p>
      <w:pPr>
        <w:spacing w:after="0"/>
        <w:rPr>
          <w:sz w:val="20"/>
          <w:szCs w:val="20"/>
          <w:color w:val="auto"/>
        </w:rPr>
      </w:pPr>
      <w:r>
        <w:rPr>
          <w:rFonts w:ascii="Arial" w:cs="Arial" w:eastAsia="Arial" w:hAnsi="Arial"/>
          <w:sz w:val="15"/>
          <w:szCs w:val="15"/>
          <w:b w:val="1"/>
          <w:bCs w:val="1"/>
          <w:color w:val="auto"/>
        </w:rPr>
        <w:t>Objects of Our Company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were incorporated by registration under the Companies Act. Our business objects are unrestricted and we have all the powers of a natural person.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Shares Ownership</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Our memorandum of association and bye-laws do not impose any limitations on the ownership rights of our shareholders. We have been designated by the BMA as a non-resident for Bermuda exchange control purposes. The BMA has pursuant to its statement of June 1, 2005 given its general permission under the Bermuda Exchange Control Act 1972 (and its related regulations) for the issue and transfer of our common shares to and between non-residents of Bermuda for exchange control purposes, provided our common shares are listed on the Nasdaq Global Market, or any other appointed stock exchange. This general permission would cease to apply if our common shares were to cease to be so listed and in such event specific permission would be required from the BMA for all issues and transfers of our common shares subject to certain exceptions set out in the BMA statement of June 1, 2005. For so long as our common shares are listed on an appointed stock exchange, there are no limitations on the right of non-Bermudians or non-residents of Bermuda to hold or vote our common shares.</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In addition, the non-resident designation allows us to engage in transactions in currencies other than the Bermuda dollar, and there are no restrictions on our ability to transfer funds (other than funds denominated in Bermuda dollars) in and out of Bermuda or to pay dividends to U.S. residents who are holders of our common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Pre-emptive, Redemption or Conversion Rights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Holders of common shares have no pre-emptive, redemption or conversion rights.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Liquidation</w:t>
      </w:r>
    </w:p>
    <w:p>
      <w:pPr>
        <w:spacing w:after="0" w:line="82" w:lineRule="exact"/>
        <w:rPr>
          <w:sz w:val="20"/>
          <w:szCs w:val="20"/>
          <w:color w:val="auto"/>
        </w:rPr>
      </w:pPr>
    </w:p>
    <w:p>
      <w:pPr>
        <w:ind w:right="340"/>
        <w:spacing w:after="0" w:line="295" w:lineRule="auto"/>
        <w:rPr>
          <w:sz w:val="20"/>
          <w:szCs w:val="20"/>
          <w:color w:val="auto"/>
        </w:rPr>
      </w:pPr>
      <w:r>
        <w:rPr>
          <w:rFonts w:ascii="Arial" w:cs="Arial" w:eastAsia="Arial" w:hAnsi="Arial"/>
          <w:sz w:val="14"/>
          <w:szCs w:val="14"/>
          <w:color w:val="auto"/>
        </w:rPr>
        <w:t>In the event of our liquidation, dissolution or winding up, the holders of common shares are entitled to share equally and ratably in our assets, if any, remaining after the payment of all of our debts and liabilities, subject to any liquidation preference on any issued and outstanding preferred shares.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Rights</w:t>
      </w:r>
    </w:p>
    <w:p>
      <w:pPr>
        <w:spacing w:after="0" w:line="82" w:lineRule="exact"/>
        <w:rPr>
          <w:sz w:val="20"/>
          <w:szCs w:val="20"/>
          <w:color w:val="auto"/>
        </w:rPr>
      </w:pPr>
    </w:p>
    <w:p>
      <w:pPr>
        <w:ind w:right="120"/>
        <w:spacing w:after="0" w:line="237" w:lineRule="auto"/>
        <w:rPr>
          <w:sz w:val="20"/>
          <w:szCs w:val="20"/>
          <w:color w:val="auto"/>
        </w:rPr>
      </w:pPr>
      <w:r>
        <w:rPr>
          <w:rFonts w:ascii="Arial" w:cs="Arial" w:eastAsia="Arial" w:hAnsi="Arial"/>
          <w:sz w:val="15"/>
          <w:szCs w:val="15"/>
          <w:color w:val="auto"/>
        </w:rPr>
        <w:t>Under Bermuda law, a company may not declare or pay dividends or make a distribution out of contributed surplus if there are reasonable grounds for believing that: (i) the company is, or would after the payment be, unable to pay its liabilities as they become due; or (ii) that the realizable value of its assets would thereby be less than its liabilities. Under our bye-laws, each common share is entitled to dividends if, as and when dividends are declared by our board of directors, subject to any preferred dividend right of the holders of any preferred shares. Any cash dividends payable to holders of our common shares listed on the Nasdaq Global Market will be paid to Broadridge Corporate Issuer Solutions, Inc., our paying agent in the U.S. for disbursement to those holders.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Variation of Rights</w:t>
      </w:r>
    </w:p>
    <w:p>
      <w:pPr>
        <w:spacing w:after="0" w:line="82"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If at any time we have more than one class of shares, the rights attaching to any class, unless otherwise provided for by the terms of issue of the relevant class, may be varied in accordance with our bye-laws either: (i) with the consent in writing of the holders of 50% of the issued shares of that class; or (ii) with the sanction of a resolution passed by a majority of the votes cast at a general meeting of the relevant class of shareholders at which a quorum consisting of at least one person holding or representing 25% of the issued shares of the relevant class is present. Our bye-laws specify that the creation or issue of shares ranking equally with existing shares will not, unless expressly provided by the terms of issue of existing shares, vary the rights attached to existing shares. In addition, the creation or issue of preferred shares ranking prior to common shares will not be deemed to vary the rights attached to common shares or, subject to the terms of any other class or series of preferred shares, to vary the rights attached to any other class or series of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631444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24" w:right="979" w:bottom="1440" w:gutter="0" w:footer="0" w:header="0"/>
        </w:sectPr>
      </w:pPr>
    </w:p>
    <w:bookmarkStart w:id="205" w:name="page206"/>
    <w:bookmarkEnd w:id="205"/>
    <w:p>
      <w:pPr>
        <w:spacing w:after="0"/>
        <w:rPr>
          <w:sz w:val="20"/>
          <w:szCs w:val="20"/>
          <w:color w:val="auto"/>
        </w:rPr>
      </w:pPr>
      <w:r>
        <w:rPr>
          <w:rFonts w:ascii="Arial" w:cs="Arial" w:eastAsia="Arial" w:hAnsi="Arial"/>
          <w:sz w:val="15"/>
          <w:szCs w:val="15"/>
          <w:b w:val="1"/>
          <w:bCs w:val="1"/>
          <w:color w:val="auto"/>
        </w:rPr>
        <w:t>Transfer of Shares</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board of directors may, in its absolute discretion and without assigning any reason, refuse to register the transfer of a share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Subject to these restrictions, a holder of common shares may transfer the title to all or any of his common shares by completing a form of transfer in the form set out in our bye-laws (or as near thereto as circumstances admit) or in such other common form as our board of directors may accept. The instrument of transfer must be signed by the transferor and transferee, although in the case of a fully paid share our board of directors may accept the instrument signed only by the transferor.</w:t>
      </w:r>
    </w:p>
    <w:p>
      <w:pPr>
        <w:spacing w:after="0" w:line="50" w:lineRule="exact"/>
        <w:rPr>
          <w:sz w:val="20"/>
          <w:szCs w:val="20"/>
          <w:color w:val="auto"/>
        </w:rPr>
      </w:pPr>
    </w:p>
    <w:p>
      <w:pPr>
        <w:ind w:right="260"/>
        <w:spacing w:after="0" w:line="260" w:lineRule="auto"/>
        <w:rPr>
          <w:sz w:val="20"/>
          <w:szCs w:val="20"/>
          <w:color w:val="auto"/>
        </w:rPr>
      </w:pPr>
      <w:r>
        <w:rPr>
          <w:rFonts w:ascii="Arial" w:cs="Arial" w:eastAsia="Arial" w:hAnsi="Arial"/>
          <w:sz w:val="15"/>
          <w:szCs w:val="15"/>
          <w:color w:val="auto"/>
        </w:rPr>
        <w:t>Where our shares are listed or admitted to trading on any appointed stock exchange, such as Nasdaq, they will be transferred in accordance with the rules and regulations of such exchange.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 and Meetings of Shareholders</w:t>
      </w:r>
    </w:p>
    <w:p>
      <w:pPr>
        <w:spacing w:after="0" w:line="82" w:lineRule="exact"/>
        <w:rPr>
          <w:sz w:val="20"/>
          <w:szCs w:val="20"/>
          <w:color w:val="auto"/>
        </w:rPr>
      </w:pPr>
    </w:p>
    <w:p>
      <w:pPr>
        <w:ind w:right="40"/>
        <w:spacing w:after="0" w:line="245" w:lineRule="auto"/>
        <w:rPr>
          <w:sz w:val="20"/>
          <w:szCs w:val="20"/>
          <w:color w:val="auto"/>
        </w:rPr>
      </w:pPr>
      <w:r>
        <w:rPr>
          <w:rFonts w:ascii="Arial" w:cs="Arial" w:eastAsia="Arial" w:hAnsi="Arial"/>
          <w:sz w:val="15"/>
          <w:szCs w:val="15"/>
          <w:color w:val="auto"/>
        </w:rPr>
        <w:t>Holders of common shares are entitled to one vote per share on all matters submitted to a vote of holders of common shares. Unless a different majority is required by law or by our bye-laws, resolutions to be approved by holders of common shares require approval by a simple majority of votes cast at a meeting at which a quorum is present.</w:t>
      </w:r>
    </w:p>
    <w:p>
      <w:pPr>
        <w:spacing w:after="0" w:line="58" w:lineRule="exact"/>
        <w:rPr>
          <w:sz w:val="20"/>
          <w:szCs w:val="20"/>
          <w:color w:val="auto"/>
        </w:rPr>
      </w:pPr>
    </w:p>
    <w:p>
      <w:pPr>
        <w:ind w:right="280"/>
        <w:spacing w:after="0"/>
        <w:rPr>
          <w:sz w:val="20"/>
          <w:szCs w:val="20"/>
          <w:color w:val="auto"/>
        </w:rPr>
      </w:pPr>
      <w:r>
        <w:rPr>
          <w:rFonts w:ascii="Arial" w:cs="Arial" w:eastAsia="Arial" w:hAnsi="Arial"/>
          <w:sz w:val="15"/>
          <w:szCs w:val="15"/>
          <w:color w:val="auto"/>
        </w:rPr>
        <w:t>Under Bermuda law, a company is required to convene at least one general meeting of shareholders each calendar year. However, the shareholders may by resolution waive this requirement, either for a specific year or period of time, or indefinitely. When the requirement has been so waived, any shareholder may, on notice to the company, terminate the waiver, in which case an annual general meeting must be called. We have chosen not to waive the convening of an annual general meeting.</w:t>
      </w:r>
    </w:p>
    <w:p>
      <w:pPr>
        <w:spacing w:after="0" w:line="62"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auto"/>
        </w:rPr>
        <w:t>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 notice to any person does not invalidate the proceedings at a meeting. This is less than Delaware law, which requires that written notice shall be given not less than 10 nor more than 60 days before the general meeting. Our bye-laws provide that our board of directors may convene an annual general meeting and the chairman or a majority of our directors then in office may convene a special general meeting. Under our bye-laws, at least five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 in nominal value of the shares entitled to vote at such meeting.</w:t>
      </w:r>
    </w:p>
    <w:p>
      <w:pPr>
        <w:spacing w:after="0" w:line="66" w:lineRule="exact"/>
        <w:rPr>
          <w:sz w:val="20"/>
          <w:szCs w:val="20"/>
          <w:color w:val="auto"/>
        </w:rPr>
      </w:pPr>
    </w:p>
    <w:p>
      <w:pPr>
        <w:ind w:right="140"/>
        <w:spacing w:after="0" w:line="245" w:lineRule="auto"/>
        <w:rPr>
          <w:sz w:val="20"/>
          <w:szCs w:val="20"/>
          <w:color w:val="auto"/>
        </w:rPr>
      </w:pPr>
      <w:r>
        <w:rPr>
          <w:rFonts w:ascii="Arial" w:cs="Arial" w:eastAsia="Arial" w:hAnsi="Arial"/>
          <w:sz w:val="15"/>
          <w:szCs w:val="15"/>
          <w:color w:val="auto"/>
        </w:rPr>
        <w:t>Subject to the rules of Nasdaq, our bye-laws provide that the quorum required for a general meeting of shareholders is one or more persons present in person at the start of the meeting and representing in person or by proxy in excess of 25% of all issued and outstanding common shares. This is less than Delaware law, which requires that in no event shall a quorum consist of less than one-third of shares entitled to vote at a meeting.</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Access to Books and Records and Dissemination of Information</w:t>
      </w:r>
    </w:p>
    <w:p>
      <w:pPr>
        <w:spacing w:after="0" w:line="82"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Members of the general public have a right to inspect the public documents of a company available at the office of the Registrar of Companies in Bermuda. These documents include the company’s memorandum of association, including its objects and powers, and certain alterations to the memorandum of association. The shareholders have the additional right to inspect the bye-laws of the company, minutes of general meetings and the company’s audited financial statements, which must be presented in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435610</wp:posOffset>
            </wp:positionV>
            <wp:extent cx="631444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24" w:right="979" w:bottom="1440" w:gutter="0" w:footer="0" w:header="0"/>
        </w:sectPr>
      </w:pPr>
    </w:p>
    <w:bookmarkStart w:id="206" w:name="page207"/>
    <w:bookmarkEnd w:id="206"/>
    <w:p>
      <w:pPr>
        <w:jc w:val="both"/>
        <w:ind w:right="60"/>
        <w:spacing w:after="0" w:line="244" w:lineRule="auto"/>
        <w:rPr>
          <w:sz w:val="20"/>
          <w:szCs w:val="20"/>
          <w:color w:val="auto"/>
        </w:rPr>
      </w:pPr>
      <w:r>
        <w:rPr>
          <w:rFonts w:ascii="Arial" w:cs="Arial" w:eastAsia="Arial" w:hAnsi="Arial"/>
          <w:sz w:val="15"/>
          <w:szCs w:val="15"/>
          <w:color w:val="auto"/>
        </w:rPr>
        <w:t>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Election and Removal of Directors</w:t>
      </w:r>
    </w:p>
    <w:p>
      <w:pPr>
        <w:spacing w:after="0" w:line="82" w:lineRule="exact"/>
        <w:rPr>
          <w:sz w:val="20"/>
          <w:szCs w:val="20"/>
          <w:color w:val="auto"/>
        </w:rPr>
      </w:pPr>
    </w:p>
    <w:p>
      <w:pPr>
        <w:ind w:right="420"/>
        <w:spacing w:after="0" w:line="260" w:lineRule="auto"/>
        <w:rPr>
          <w:sz w:val="20"/>
          <w:szCs w:val="20"/>
          <w:color w:val="auto"/>
        </w:rPr>
      </w:pPr>
      <w:r>
        <w:rPr>
          <w:rFonts w:ascii="Arial" w:cs="Arial" w:eastAsia="Arial" w:hAnsi="Arial"/>
          <w:sz w:val="15"/>
          <w:szCs w:val="15"/>
          <w:color w:val="auto"/>
        </w:rPr>
        <w:t>Our bye-laws provide that our board of directors shall consist of not less than one director and no more than ten directors, with such number to be determined at each annual general meeting.</w:t>
      </w:r>
    </w:p>
    <w:p>
      <w:pPr>
        <w:spacing w:after="0" w:line="47" w:lineRule="exact"/>
        <w:rPr>
          <w:sz w:val="20"/>
          <w:szCs w:val="20"/>
          <w:color w:val="auto"/>
        </w:rPr>
      </w:pPr>
    </w:p>
    <w:p>
      <w:pPr>
        <w:ind w:right="140"/>
        <w:spacing w:after="0" w:line="245" w:lineRule="auto"/>
        <w:rPr>
          <w:sz w:val="20"/>
          <w:szCs w:val="20"/>
          <w:color w:val="auto"/>
        </w:rPr>
      </w:pPr>
      <w:r>
        <w:rPr>
          <w:rFonts w:ascii="Arial" w:cs="Arial" w:eastAsia="Arial" w:hAnsi="Arial"/>
          <w:sz w:val="15"/>
          <w:szCs w:val="15"/>
          <w:color w:val="auto"/>
        </w:rPr>
        <w:t>Our bye-laws provide that any shareholder holding 50% or more of the nominal value of our voting shares will have the right to appoint up to five directors to our board of directors. If there is no such 50% holder, then any shareholder holding 25% or more of the nominal value of our voting shares (first in time as compared to any other 25% shareholder) will have the right to appoint up to five directors to our board of directors.</w:t>
      </w:r>
    </w:p>
    <w:p>
      <w:pPr>
        <w:spacing w:after="0" w:line="58" w:lineRule="exact"/>
        <w:rPr>
          <w:sz w:val="20"/>
          <w:szCs w:val="20"/>
          <w:color w:val="auto"/>
        </w:rPr>
      </w:pPr>
    </w:p>
    <w:p>
      <w:pPr>
        <w:ind w:right="20"/>
        <w:spacing w:after="0"/>
        <w:rPr>
          <w:sz w:val="20"/>
          <w:szCs w:val="20"/>
          <w:color w:val="auto"/>
        </w:rPr>
      </w:pPr>
      <w:r>
        <w:rPr>
          <w:rFonts w:ascii="Arial" w:cs="Arial" w:eastAsia="Arial" w:hAnsi="Arial"/>
          <w:sz w:val="15"/>
          <w:szCs w:val="15"/>
          <w:color w:val="auto"/>
        </w:rPr>
        <w:t>Any director not appointed by a 25% or more shareholder as described above may be removed by the shareholders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removal.</w:t>
      </w:r>
    </w:p>
    <w:p>
      <w:pPr>
        <w:spacing w:after="0" w:line="62" w:lineRule="exact"/>
        <w:rPr>
          <w:sz w:val="20"/>
          <w:szCs w:val="20"/>
          <w:color w:val="auto"/>
        </w:rPr>
      </w:pPr>
    </w:p>
    <w:p>
      <w:pPr>
        <w:ind w:right="240"/>
        <w:spacing w:after="0" w:line="260" w:lineRule="auto"/>
        <w:rPr>
          <w:sz w:val="20"/>
          <w:szCs w:val="20"/>
          <w:color w:val="auto"/>
        </w:rPr>
      </w:pPr>
      <w:r>
        <w:rPr>
          <w:rFonts w:ascii="Arial" w:cs="Arial" w:eastAsia="Arial" w:hAnsi="Arial"/>
          <w:sz w:val="15"/>
          <w:szCs w:val="15"/>
          <w:color w:val="auto"/>
        </w:rPr>
        <w:t>Bermuda law requires that the Company shall file with the Bermuda Registrar of Companies a list of its directors and must notify the Registrar of any changes in such directors within 30 days of the date of the change.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Proceedings of Board of Directors</w:t>
      </w:r>
    </w:p>
    <w:p>
      <w:pPr>
        <w:spacing w:after="0" w:line="82" w:lineRule="exact"/>
        <w:rPr>
          <w:sz w:val="20"/>
          <w:szCs w:val="20"/>
          <w:color w:val="auto"/>
        </w:rPr>
      </w:pPr>
    </w:p>
    <w:p>
      <w:pPr>
        <w:ind w:right="20"/>
        <w:spacing w:after="0" w:line="245" w:lineRule="auto"/>
        <w:rPr>
          <w:sz w:val="20"/>
          <w:szCs w:val="20"/>
          <w:color w:val="auto"/>
        </w:rPr>
      </w:pPr>
      <w:r>
        <w:rPr>
          <w:rFonts w:ascii="Arial" w:cs="Arial" w:eastAsia="Arial" w:hAnsi="Arial"/>
          <w:sz w:val="15"/>
          <w:szCs w:val="15"/>
          <w:color w:val="auto"/>
        </w:rPr>
        <w:t>Our bye-laws provide that our business is to be managed and conducted by our board of directors. Bermuda law permits individual and corporate directors and there is no requirement in our bye-laws or Bermuda law that directors hold any of our shares. There is also no requirement in our bye-laws or Bermuda law that our directors must retire at a certain age. Decisions taken by the board are decided by a simple majority of votes.</w:t>
      </w:r>
    </w:p>
    <w:p>
      <w:pPr>
        <w:spacing w:after="0" w:line="58" w:lineRule="exact"/>
        <w:rPr>
          <w:sz w:val="20"/>
          <w:szCs w:val="20"/>
          <w:color w:val="auto"/>
        </w:rPr>
      </w:pPr>
    </w:p>
    <w:p>
      <w:pPr>
        <w:jc w:val="both"/>
        <w:ind w:right="480"/>
        <w:spacing w:after="0" w:line="245" w:lineRule="auto"/>
        <w:rPr>
          <w:sz w:val="20"/>
          <w:szCs w:val="20"/>
          <w:color w:val="auto"/>
        </w:rPr>
      </w:pPr>
      <w:r>
        <w:rPr>
          <w:rFonts w:ascii="Arial" w:cs="Arial" w:eastAsia="Arial" w:hAnsi="Arial"/>
          <w:sz w:val="15"/>
          <w:szCs w:val="15"/>
          <w:color w:val="auto"/>
        </w:rPr>
        <w:t>The compensation of our directors is determined by the board of directors, and there is no requirement that a specified number or percentage of “independent” directors must approve any such determination. Our directors may also be paid all travel, hotel and other reasonable out-of-pocket expenses properly incurred by them in connection with our business or their duties as directors.</w:t>
      </w:r>
    </w:p>
    <w:p>
      <w:pPr>
        <w:spacing w:after="0" w:line="58" w:lineRule="exact"/>
        <w:rPr>
          <w:sz w:val="20"/>
          <w:szCs w:val="20"/>
          <w:color w:val="auto"/>
        </w:rPr>
      </w:pPr>
    </w:p>
    <w:p>
      <w:pPr>
        <w:jc w:val="both"/>
        <w:ind w:right="280"/>
        <w:spacing w:after="0" w:line="245" w:lineRule="auto"/>
        <w:rPr>
          <w:sz w:val="20"/>
          <w:szCs w:val="20"/>
          <w:color w:val="auto"/>
        </w:rPr>
      </w:pPr>
      <w:r>
        <w:rPr>
          <w:rFonts w:ascii="Arial" w:cs="Arial" w:eastAsia="Arial" w:hAnsi="Arial"/>
          <w:sz w:val="15"/>
          <w:szCs w:val="15"/>
          <w:color w:val="auto"/>
        </w:rPr>
        <w:t>Our bye-laws provide that a director who discloses a direct or indirect interest in any contract or arrangement with us as required by Bermuda law is entitled to vote in respect of any such contract or arrangement in which he or she is interested unless disqualified from voting by the chairman of the relevant meeting of the board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of Directors and Officers</w:t>
      </w:r>
    </w:p>
    <w:p>
      <w:pPr>
        <w:spacing w:after="0" w:line="82"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62"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Our bye-laws provide that we shall indemnify our officers and directors in respect of their actions and omissions, except in respect of their fraud or dishonesty, and that we shall advance funds to our officers and directors for expenses incurred in their defense upon receipt of an undertaking to repay the funds if any allegation of fraud or dishonesty is proved.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435610</wp:posOffset>
            </wp:positionV>
            <wp:extent cx="631444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00"/>
          </w:cols>
          <w:pgMar w:left="980" w:top="126" w:right="1019" w:bottom="1440" w:gutter="0" w:footer="0" w:header="0"/>
        </w:sectPr>
      </w:pPr>
    </w:p>
    <w:bookmarkStart w:id="207" w:name="page208"/>
    <w:bookmarkEnd w:id="207"/>
    <w:p>
      <w:pPr>
        <w:spacing w:after="0" w:line="244" w:lineRule="auto"/>
        <w:rPr>
          <w:sz w:val="20"/>
          <w:szCs w:val="20"/>
          <w:color w:val="auto"/>
        </w:rPr>
      </w:pPr>
      <w:r>
        <w:rPr>
          <w:rFonts w:ascii="Arial" w:cs="Arial" w:eastAsia="Arial" w:hAnsi="Arial"/>
          <w:sz w:val="15"/>
          <w:szCs w:val="15"/>
          <w:color w:val="auto"/>
        </w:rPr>
        <w:t>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purpose.</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Memorandum of Association and Bye-laws</w:t>
      </w:r>
    </w:p>
    <w:p>
      <w:pPr>
        <w:spacing w:after="0" w:line="82"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Bermuda law provides that the memorandum of association of a company may be amended by a resolution passed at a general meeting of shareholders. The Companies Act and our bye-laws provide that no bye-law shall be rescinded, altered or amended, and no new bye-law shall be made, unless it shall have been approved by a resolution of our board of directors and by a resolution of our shareholders.</w:t>
      </w:r>
    </w:p>
    <w:p>
      <w:pPr>
        <w:spacing w:after="0" w:line="58"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auto"/>
        </w:rPr>
        <w:t>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63"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color w:val="auto"/>
        </w:rPr>
        <w:t>Any amendment to our bye-laws require the approval of the board and a member resolution passed by 75% of those members attending and entitled to vote.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Amalgamations, Mergers, Business Combinations, Asset Sales</w:t>
      </w:r>
    </w:p>
    <w:p>
      <w:pPr>
        <w:spacing w:after="0" w:line="82" w:lineRule="exact"/>
        <w:rPr>
          <w:sz w:val="20"/>
          <w:szCs w:val="20"/>
          <w:color w:val="auto"/>
        </w:rPr>
      </w:pPr>
    </w:p>
    <w:p>
      <w:pPr>
        <w:ind w:right="600"/>
        <w:spacing w:after="0" w:line="260" w:lineRule="auto"/>
        <w:rPr>
          <w:sz w:val="20"/>
          <w:szCs w:val="20"/>
          <w:color w:val="auto"/>
        </w:rPr>
      </w:pPr>
      <w:r>
        <w:rPr>
          <w:rFonts w:ascii="Arial" w:cs="Arial" w:eastAsia="Arial" w:hAnsi="Arial"/>
          <w:sz w:val="15"/>
          <w:szCs w:val="15"/>
          <w:color w:val="auto"/>
        </w:rPr>
        <w:t>The amalgamation or merger of a Bermuda company with another company or corporation (other than certain affiliated companies) requires the amalgamation or merger agreement to be approved by the company’s board of directors and by its shareholders.</w:t>
      </w:r>
    </w:p>
    <w:p>
      <w:pPr>
        <w:spacing w:after="0" w:line="47" w:lineRule="exact"/>
        <w:rPr>
          <w:sz w:val="20"/>
          <w:szCs w:val="20"/>
          <w:color w:val="auto"/>
        </w:rPr>
      </w:pPr>
    </w:p>
    <w:p>
      <w:pPr>
        <w:ind w:right="280"/>
        <w:spacing w:after="0" w:line="245" w:lineRule="auto"/>
        <w:rPr>
          <w:sz w:val="20"/>
          <w:szCs w:val="20"/>
          <w:color w:val="auto"/>
        </w:rPr>
      </w:pPr>
      <w:r>
        <w:rPr>
          <w:rFonts w:ascii="Arial" w:cs="Arial" w:eastAsia="Arial" w:hAnsi="Arial"/>
          <w:sz w:val="15"/>
          <w:szCs w:val="15"/>
          <w:color w:val="auto"/>
        </w:rPr>
        <w:t>Under Bermuda law and pursuant to our bye-laws, approval of 50% of the shareholders voting by written resolution or at a shareholder meeting is required to approve the amalgamation or merger agreement, and the quorum for such meeting must be one or more persons holding or representing more than 25% of the issued shares of the company.</w:t>
      </w:r>
    </w:p>
    <w:p>
      <w:pPr>
        <w:spacing w:after="0" w:line="58"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62"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As a Bermuda company, when authorized by a resolution of the board of directors, we may sell, lease or exchange all or substantially all of its property and assets as its board of directors deems in the best interests of the company. This differs from Delaware law, pursuant to which every corporation may at any meeting of the board sell, lease or exchange all or substantially all of its property and assets as its board deems expedient and for the best interests of the corporation when so authorized by a resolution adopted by the holders of a majority of the outstanding stock of a corporation entitled to vote.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Suits</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426720</wp:posOffset>
            </wp:positionV>
            <wp:extent cx="631444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26" w:right="979" w:bottom="1440" w:gutter="0" w:footer="0" w:header="0"/>
        </w:sectPr>
      </w:pPr>
    </w:p>
    <w:bookmarkStart w:id="208" w:name="page209"/>
    <w:bookmarkEnd w:id="208"/>
    <w:p>
      <w:pPr>
        <w:ind w:right="20"/>
        <w:spacing w:after="0" w:line="245" w:lineRule="auto"/>
        <w:rPr>
          <w:sz w:val="20"/>
          <w:szCs w:val="20"/>
          <w:color w:val="auto"/>
        </w:rPr>
      </w:pPr>
      <w:r>
        <w:rPr>
          <w:rFonts w:ascii="Arial" w:cs="Arial" w:eastAsia="Arial" w:hAnsi="Arial"/>
          <w:sz w:val="15"/>
          <w:szCs w:val="15"/>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57" w:lineRule="exact"/>
        <w:rPr>
          <w:sz w:val="20"/>
          <w:szCs w:val="20"/>
          <w:color w:val="auto"/>
        </w:rPr>
      </w:pPr>
    </w:p>
    <w:p>
      <w:pPr>
        <w:ind w:right="180"/>
        <w:spacing w:after="0" w:line="238" w:lineRule="auto"/>
        <w:rPr>
          <w:sz w:val="20"/>
          <w:szCs w:val="20"/>
          <w:color w:val="auto"/>
        </w:rPr>
      </w:pPr>
      <w:r>
        <w:rPr>
          <w:rFonts w:ascii="Arial" w:cs="Arial" w:eastAsia="Arial" w:hAnsi="Arial"/>
          <w:sz w:val="15"/>
          <w:szCs w:val="15"/>
          <w:color w:val="auto"/>
        </w:rPr>
        <w:t>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 Waivers of compliance with any provision of the Securities Act or Exchange Act are void under the terms of such acts. Accordingly, the operation of this bye-law provision as a waiver of the right to sue for violations of the U.S. federal securities laws would likely be unenforceable in U.S. courts.</w:t>
      </w:r>
    </w:p>
    <w:p>
      <w:pPr>
        <w:spacing w:after="0" w:line="63"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In addition, our bye-laws contain a provision by virtue of which unless we consent in writing to the selection of an alternative forum, the United States District Court for the Southern District of New York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United States District Court for the Southern District of New York, the plaintiff or plaintiffs shall be deemed by this provision of the bye-laws (i) to have consented to removal of the action by us to the United States District Court for the Southern District of New York, in the case of an action filed in a state court, and (ii) to have consented to transfer of the action pursuant to 28 U.S.C. § 1404 to the United States District Court for the Southern District of New York. Section 27 of the Exchange Act creates exclusive federal jurisdiction over all suits brought to enforce any duty or liability created by the Exchange Act or the rules and regulations thereunder.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with respect to claims under the Securities Act, and in any event, our shareholders cannot waive compliance with federal securities laws and the rules and regulations thereunder.</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Capitalization of Profits and Reserves</w:t>
      </w:r>
    </w:p>
    <w:p>
      <w:pPr>
        <w:spacing w:after="0" w:line="82"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Registrar or Transfer Agent</w:t>
      </w:r>
    </w:p>
    <w:p>
      <w:pPr>
        <w:spacing w:after="0" w:line="82" w:lineRule="exact"/>
        <w:rPr>
          <w:sz w:val="20"/>
          <w:szCs w:val="20"/>
          <w:color w:val="auto"/>
        </w:rPr>
      </w:pPr>
    </w:p>
    <w:p>
      <w:pPr>
        <w:ind w:right="460"/>
        <w:spacing w:after="0" w:line="260" w:lineRule="auto"/>
        <w:rPr>
          <w:sz w:val="20"/>
          <w:szCs w:val="20"/>
          <w:color w:val="auto"/>
        </w:rPr>
      </w:pPr>
      <w:r>
        <w:rPr>
          <w:rFonts w:ascii="Arial" w:cs="Arial" w:eastAsia="Arial" w:hAnsi="Arial"/>
          <w:sz w:val="15"/>
          <w:szCs w:val="15"/>
          <w:color w:val="auto"/>
        </w:rPr>
        <w:t>A register of holders of the common shares will be maintained by Compass Administration Services Ltd. in Bermuda, and a branch register will be maintained in the U.S. by Broadridge Corporate Issuer Solutions, Inc., which will serve as branch registrar and transfer agent.</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Untraced Shareholders</w:t>
      </w:r>
    </w:p>
    <w:p>
      <w:pPr>
        <w:spacing w:after="0" w:line="82"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273685</wp:posOffset>
            </wp:positionV>
            <wp:extent cx="631444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26" w:right="97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4.19</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SIXTEENTH AMENDMENT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REVOLVING CREDIT AND SECURITY AGREEMENT</w:t>
      </w:r>
    </w:p>
    <w:p>
      <w:pPr>
        <w:spacing w:after="0" w:line="171"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This Sixteenth Amendment to Revolving Credit and Security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is made as of this 1st day of June, 2022, by and among </w:t>
      </w:r>
      <w:r>
        <w:rPr>
          <w:rFonts w:ascii="Times New Roman" w:cs="Times New Roman" w:eastAsia="Times New Roman" w:hAnsi="Times New Roman"/>
          <w:sz w:val="18"/>
          <w:szCs w:val="18"/>
          <w:b w:val="1"/>
          <w:bCs w:val="1"/>
          <w:color w:val="auto"/>
        </w:rPr>
        <w:t>IBEX GLOBAL SOLUTIONS, INC., formerly known as TRG CUSTOMER SOLUTIONS, INC. d/b/a IBEX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Global Solutions</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IBEX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DIGITAL GLOBE SERVICES, LLC</w:t>
      </w:r>
      <w:r>
        <w:rPr>
          <w:rFonts w:ascii="Times New Roman" w:cs="Times New Roman" w:eastAsia="Times New Roman" w:hAnsi="Times New Roman"/>
          <w:sz w:val="18"/>
          <w:szCs w:val="18"/>
          <w:color w:val="auto"/>
        </w:rPr>
        <w:t>, a Delaware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TELSATONLINE,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u w:val="single" w:color="auto"/>
          <w:color w:val="auto"/>
        </w:rPr>
        <w:t>TelSatOnline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 DEGREES,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u w:val="single" w:color="auto"/>
          <w:color w:val="auto"/>
        </w:rPr>
        <w:t>7 Degrees”)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iSKY, LLC</w:t>
      </w:r>
      <w:r>
        <w:rPr>
          <w:rFonts w:ascii="Times New Roman" w:cs="Times New Roman" w:eastAsia="Times New Roman" w:hAnsi="Times New Roman"/>
          <w:sz w:val="18"/>
          <w:szCs w:val="18"/>
          <w:color w:val="auto"/>
        </w:rPr>
        <w:t>, a Delaware limited liability company and the successor by conversion to iSky, Inc., a Delaware corporation (“</w:t>
      </w:r>
      <w:r>
        <w:rPr>
          <w:rFonts w:ascii="Times New Roman" w:cs="Times New Roman" w:eastAsia="Times New Roman" w:hAnsi="Times New Roman"/>
          <w:sz w:val="18"/>
          <w:szCs w:val="18"/>
          <w:u w:val="single" w:color="auto"/>
          <w:color w:val="auto"/>
        </w:rPr>
        <w:t>iSKY</w:t>
      </w:r>
      <w:r>
        <w:rPr>
          <w:rFonts w:ascii="Times New Roman" w:cs="Times New Roman" w:eastAsia="Times New Roman" w:hAnsi="Times New Roman"/>
          <w:sz w:val="18"/>
          <w:szCs w:val="18"/>
          <w:color w:val="auto"/>
        </w:rPr>
        <w:t>”, and together with IBEX, DGS, TelSatOnline and 7 Degrees, and with any other Person joined to the Loan Agreement hereafter from time to time as a borrower,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financial institutions which are now or which hereafter become party to the Loan Agreement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as agent for Lenders (PNC,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as a Lender.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71"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On November 8, 2013, Borrowers, Lenders and PNC as a Lender and as Agent entered into that certain Revolving Credit and Security Agreement (as same has been or may be amended, restated, modified, renewed, extended, replaced or substituted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to reflect certain financing arrangements between the parties thereto. All capitalized terms not otherwise defined herein shall have the meaning ascribed thereto in the Loan Agreement.</w:t>
      </w:r>
    </w:p>
    <w:p>
      <w:pPr>
        <w:spacing w:after="0" w:line="57"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Borrowers have informed Agent and Lenders that (I) the outstanding IBEX loan balance in the amount of $5,210,407.35 due to IBEX Global Europe (“IBEX LUX”) shall be assigned to Holdings, (II) the outstanding IBEX intercompany note in the amount of $86,793.00 payable to IBEX LUX shall be assigned to Holdings, (III) the outstanding intercompany accounts receivable balances in the amount of $784,788.00 due from TRG Holdings, LLC a Delaware limited liability company, the Resource Group International Limited, a Bermuda company, Alert Communications LLC, a Delaware limited liability company, TRG Private Limited, a Pakistan private limited company, TRG Marketing Services, Inc. a Delaware corporation, and BPO Solutions, Inc. a Delaware corporation shall be assigned to IBEX Limited, a Bermuda entity (“</w:t>
      </w:r>
      <w:r>
        <w:rPr>
          <w:rFonts w:ascii="Times New Roman" w:cs="Times New Roman" w:eastAsia="Times New Roman" w:hAnsi="Times New Roman"/>
          <w:sz w:val="18"/>
          <w:szCs w:val="18"/>
          <w:u w:val="single" w:color="auto"/>
          <w:color w:val="auto"/>
        </w:rPr>
        <w:t>Limited</w:t>
      </w:r>
      <w:r>
        <w:rPr>
          <w:rFonts w:ascii="Times New Roman" w:cs="Times New Roman" w:eastAsia="Times New Roman" w:hAnsi="Times New Roman"/>
          <w:sz w:val="18"/>
          <w:szCs w:val="18"/>
          <w:color w:val="auto"/>
        </w:rPr>
        <w:t>”), (IV) the outstanding intercompany accounts receivable balance in the amount of $1,731,018 due from DGS Private Limited, a Pakistan private limited company, shall be assigned to Limited, (V) the outstanding intercompany accounts receivable balance in the amount of $21,165 due from DGS Limited, a Bermuda entity, shall be assigned to Limited, and (VI) the outstanding intercompany accounts receivable balance in the amount of $46,350 due from DGS Worldwide Marketing Limited, a Cyprus company, shall be assigned to Limited. The intercompany transactions stated in subsections (I) through (VI) are more fully described in Exhibit A (Intercompany Assignments).</w:t>
      </w:r>
    </w:p>
    <w:p>
      <w:pPr>
        <w:spacing w:after="0" w:line="56"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Borrowers have requested that Agent and Lenders (i) consent to the intercompany transactions as stated in Section B and (ii) modify certain definitions, terms and conditions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447040</wp:posOffset>
            </wp:positionV>
            <wp:extent cx="631444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4" w:right="979" w:bottom="1440" w:gutter="0" w:footer="0" w:header="0"/>
        </w:sectPr>
      </w:pPr>
    </w:p>
    <w:bookmarkStart w:id="210" w:name="page211"/>
    <w:bookmarkEnd w:id="210"/>
    <w:p>
      <w:pPr>
        <w:ind w:left="9"/>
        <w:spacing w:after="0"/>
        <w:rPr>
          <w:sz w:val="20"/>
          <w:szCs w:val="20"/>
          <w:color w:val="auto"/>
        </w:rPr>
      </w:pPr>
      <w:r>
        <w:rPr>
          <w:rFonts w:ascii="Times New Roman" w:cs="Times New Roman" w:eastAsia="Times New Roman" w:hAnsi="Times New Roman"/>
          <w:sz w:val="18"/>
          <w:szCs w:val="18"/>
          <w:color w:val="auto"/>
        </w:rPr>
        <w:t>Loan Agreement, and Agent and Lenders are willing to do so on the terms and conditions hereafter set forth</w:t>
      </w:r>
    </w:p>
    <w:p>
      <w:pPr>
        <w:spacing w:after="0" w:line="80" w:lineRule="exact"/>
        <w:rPr>
          <w:sz w:val="20"/>
          <w:szCs w:val="20"/>
          <w:color w:val="auto"/>
        </w:rPr>
      </w:pPr>
    </w:p>
    <w:p>
      <w:pPr>
        <w:ind w:left="9" w:firstLine="531"/>
        <w:spacing w:after="0" w:line="259" w:lineRule="auto"/>
        <w:rPr>
          <w:sz w:val="20"/>
          <w:szCs w:val="20"/>
          <w:color w:val="auto"/>
        </w:rPr>
      </w:pPr>
      <w:r>
        <w:rPr>
          <w:rFonts w:ascii="Times New Roman" w:cs="Times New Roman" w:eastAsia="Times New Roman" w:hAnsi="Times New Roman"/>
          <w:sz w:val="18"/>
          <w:szCs w:val="18"/>
          <w:color w:val="auto"/>
        </w:rPr>
        <w:t>NOW THEREFORE, with the foregoing background hereinafter deemed incorporated by reference herein and made part hereof, the parties hereto, intending to be legally bound, promise and agree as follows:</w:t>
      </w:r>
    </w:p>
    <w:p>
      <w:pPr>
        <w:spacing w:after="0" w:line="38"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u w:val="single" w:color="auto"/>
          <w:color w:val="auto"/>
        </w:rPr>
        <w:t>Consent.</w:t>
      </w:r>
    </w:p>
    <w:p>
      <w:pPr>
        <w:spacing w:after="0" w:line="83" w:lineRule="exact"/>
        <w:rPr>
          <w:sz w:val="20"/>
          <w:szCs w:val="20"/>
          <w:color w:val="auto"/>
        </w:rPr>
      </w:pPr>
    </w:p>
    <w:p>
      <w:pPr>
        <w:jc w:val="both"/>
        <w:ind w:left="9" w:firstLine="522"/>
        <w:spacing w:after="0" w:line="245" w:lineRule="auto"/>
        <w:tabs>
          <w:tab w:leader="none" w:pos="107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reliance upon the documentation and information provided to Agent in connection with the transactions contemplated herein, and notwithstanding anything to the contrary contained in the Loan Agreement, upon the effectiveness of this Amendment, Agent and Lenders hereby consent to items (I) through (VI) in Section B above.</w:t>
      </w:r>
    </w:p>
    <w:p>
      <w:pPr>
        <w:spacing w:after="0" w:line="51" w:lineRule="exact"/>
        <w:rPr>
          <w:rFonts w:ascii="Times New Roman" w:cs="Times New Roman" w:eastAsia="Times New Roman" w:hAnsi="Times New Roman"/>
          <w:sz w:val="18"/>
          <w:szCs w:val="18"/>
          <w:color w:val="auto"/>
        </w:rPr>
      </w:pPr>
    </w:p>
    <w:p>
      <w:pPr>
        <w:jc w:val="both"/>
        <w:ind w:left="9" w:firstLine="522"/>
        <w:spacing w:after="0" w:line="249" w:lineRule="auto"/>
        <w:tabs>
          <w:tab w:leader="none" w:pos="1071"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consent shall be effective only as to the items set forth in the preceding paragraph. This consent shall not be deemed to constitute a consent to the breach by Borrowers of any covenants or agreements contained in the Loan Agreement or any Other Document with respect to any other transaction or matter. Borrowers agree that the consent set forth in the preceding paragraph (a) shall be limited to the precise meaning of the words as written therein and shall not be deemed (i) to be a consent to, or any waiver or modification of, any other term or condition of the Loan Agreement or any Other Document, or (ii) to prejudice any right or remedy that Agent or Lenders may now have or may in the future have under or in connection with the Loan Agreement of any Other Document, other than with respect to the matters for which the consent in the preceding paragraph (a) has been provided. Other than as described in this Amendment, the consent described in the preceding paragraph (a) shall not alter, affect, release or prejudice in any way any Obligations under the Loan Agreement or Other Documents. This consent shall not be construed as establishing a course of conduct on the part of Agent or Lenders upon which the Borrowers may rely at any time in the future. Borrowers expressly waive any right to assert any claim to such effect at any time.</w:t>
      </w:r>
    </w:p>
    <w:p>
      <w:pPr>
        <w:spacing w:after="0" w:line="49"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u w:val="single" w:color="auto"/>
          <w:color w:val="auto"/>
        </w:rPr>
        <w:t>Amendments to Loan Agreement</w:t>
      </w:r>
    </w:p>
    <w:p>
      <w:pPr>
        <w:spacing w:after="0" w:line="83" w:lineRule="exact"/>
        <w:rPr>
          <w:sz w:val="20"/>
          <w:szCs w:val="20"/>
          <w:color w:val="auto"/>
        </w:rPr>
      </w:pPr>
    </w:p>
    <w:p>
      <w:pPr>
        <w:jc w:val="both"/>
        <w:ind w:left="9" w:firstLine="597"/>
        <w:spacing w:after="0" w:line="253" w:lineRule="auto"/>
        <w:rPr>
          <w:sz w:val="20"/>
          <w:szCs w:val="20"/>
          <w:color w:val="auto"/>
        </w:rPr>
      </w:pPr>
      <w:r>
        <w:rPr>
          <w:rFonts w:ascii="Times New Roman" w:cs="Times New Roman" w:eastAsia="Times New Roman" w:hAnsi="Times New Roman"/>
          <w:sz w:val="17"/>
          <w:szCs w:val="17"/>
          <w:color w:val="auto"/>
        </w:rPr>
        <w:t>Subject to the satisfaction of all of the conditions set forth in Section 5 of this Amendment, the terms and provisions of the Loan Agreement are hereby amended in accordance with Exhibit B attached hereto such that, immediately after giving effect to this Amendment, the Loan Agreement will read as set forth in Exhibit B. For the avoidance of doubt, except as so modified by this Amendment, Schedules and Exhibits to the Credit Agreement shall remain in the form attached to the Loan Agreement; except, that, Agent may (and is hereby authorized by the Required Lenders to), with the written agreement of Borrowers, modify any Exhibits to the Loan Agreement as it may deem necessary or desirable to implement and give effect to the transactions contemplated by this Amendment.</w:t>
      </w:r>
    </w:p>
    <w:p>
      <w:pPr>
        <w:spacing w:after="0" w:line="45"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u w:val="single" w:color="auto"/>
          <w:color w:val="auto"/>
        </w:rPr>
        <w:t>Representations, Warranties and Covenants of Borrowers</w:t>
      </w:r>
    </w:p>
    <w:p>
      <w:pPr>
        <w:spacing w:after="0" w:line="83"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Each Borrower hereby represents and warrants to and covenants with the Agent and the Lenders that:</w:t>
      </w:r>
    </w:p>
    <w:p>
      <w:pPr>
        <w:spacing w:after="0" w:line="81" w:lineRule="exact"/>
        <w:rPr>
          <w:sz w:val="20"/>
          <w:szCs w:val="20"/>
          <w:color w:val="auto"/>
        </w:rPr>
      </w:pPr>
    </w:p>
    <w:p>
      <w:pPr>
        <w:jc w:val="both"/>
        <w:ind w:left="9" w:hanging="9"/>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reaffirms all representations and warranties made to Agent and Lenders under the Loan Agreement and all of the Other Documents (as described and defined in the Loan Agreement) and confirms that after giving effect to this Amendment all are true and correct in all material respects as of the date hereof (except to the extent any such representations and warranties specifically relate to a specific date, in which case such representations and warranties were true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11" w:name="page212"/>
    <w:bookmarkEnd w:id="211"/>
    <w:p>
      <w:pPr>
        <w:ind w:left="9"/>
        <w:spacing w:after="0"/>
        <w:rPr>
          <w:sz w:val="20"/>
          <w:szCs w:val="20"/>
          <w:color w:val="auto"/>
        </w:rPr>
      </w:pPr>
      <w:r>
        <w:rPr>
          <w:rFonts w:ascii="Times New Roman" w:cs="Times New Roman" w:eastAsia="Times New Roman" w:hAnsi="Times New Roman"/>
          <w:sz w:val="18"/>
          <w:szCs w:val="18"/>
          <w:color w:val="auto"/>
        </w:rPr>
        <w:t>and correct in all material respects on and as of such other specific date);</w:t>
      </w:r>
    </w:p>
    <w:p>
      <w:pPr>
        <w:spacing w:after="0" w:line="80" w:lineRule="exact"/>
        <w:rPr>
          <w:sz w:val="20"/>
          <w:szCs w:val="20"/>
          <w:color w:val="auto"/>
        </w:rPr>
      </w:pPr>
    </w:p>
    <w:p>
      <w:pPr>
        <w:jc w:val="both"/>
        <w:ind w:left="9" w:hanging="9"/>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reaffirms all of the covenants contained in the Loan Agreement (as amended hereby) (including without limitation, all covenants to pay fees, costs and expenses contained therein), covenants to abide thereby until all Advances, Obligations and other liabilities of Borrowers to Agent and Lenders under the Loan Agreement of whatever nature and whenever incurred, are satisfied and/or released by Agent and Lenders (other than contingent indemnification obligations which survive termination of the Loan Agreement);</w:t>
      </w:r>
    </w:p>
    <w:p>
      <w:pPr>
        <w:spacing w:after="0" w:line="56" w:lineRule="exact"/>
        <w:rPr>
          <w:rFonts w:ascii="Times New Roman" w:cs="Times New Roman" w:eastAsia="Times New Roman" w:hAnsi="Times New Roman"/>
          <w:sz w:val="18"/>
          <w:szCs w:val="18"/>
          <w:color w:val="auto"/>
        </w:rPr>
      </w:pPr>
    </w:p>
    <w:p>
      <w:pPr>
        <w:ind w:left="9" w:right="20" w:hanging="9"/>
        <w:spacing w:after="0" w:line="259"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Section 1 hereof, no Default or Event of Default has occurred and is continuing under the Loan Agreement or the Other Documents (as described and defined in the Loan Agreement);</w:t>
      </w:r>
    </w:p>
    <w:p>
      <w:pPr>
        <w:spacing w:after="0" w:line="39" w:lineRule="exact"/>
        <w:rPr>
          <w:rFonts w:ascii="Times New Roman" w:cs="Times New Roman" w:eastAsia="Times New Roman" w:hAnsi="Times New Roman"/>
          <w:sz w:val="18"/>
          <w:szCs w:val="18"/>
          <w:color w:val="auto"/>
        </w:rPr>
      </w:pPr>
    </w:p>
    <w:p>
      <w:pPr>
        <w:jc w:val="both"/>
        <w:ind w:left="9" w:hanging="9"/>
        <w:spacing w:after="0" w:line="238"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has the authority and legal right to execute, deliver and carry out the terms of this Amendment, that such actions were duly authorized by all necessary limited liability company or corporate action, as applicable, and that the officer executing this Amendment on its behalf was similarly authorized and empowered, and that this Amendment does not contravene any provisions of its certificate of incorporation or formation, operating agreement, bylaws, or other formation documents, as applicable, or of any material contract or agreement to which it is a party or by which any of its properties are bound; and</w:t>
      </w:r>
    </w:p>
    <w:p>
      <w:pPr>
        <w:spacing w:after="0" w:line="57" w:lineRule="exact"/>
        <w:rPr>
          <w:rFonts w:ascii="Times New Roman" w:cs="Times New Roman" w:eastAsia="Times New Roman" w:hAnsi="Times New Roman"/>
          <w:sz w:val="18"/>
          <w:szCs w:val="18"/>
          <w:color w:val="auto"/>
        </w:rPr>
      </w:pPr>
    </w:p>
    <w:p>
      <w:pPr>
        <w:jc w:val="both"/>
        <w:ind w:left="9" w:hanging="9"/>
        <w:spacing w:after="0" w:line="245"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all assignments, instruments, documents, and agreements executed and delivered in connection herewith, are valid, binding and enforceable in accordance with their respective terms, except as such enforceability may be limited by any applicable bankruptcy, insolvency, moratorium or similar laws affecting creditors’ rights generally.</w:t>
      </w:r>
    </w:p>
    <w:p>
      <w:pPr>
        <w:spacing w:after="0" w:line="50"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u w:val="single" w:color="auto"/>
          <w:color w:val="auto"/>
        </w:rPr>
        <w:t>Amendment Fee</w:t>
      </w:r>
    </w:p>
    <w:p>
      <w:pPr>
        <w:spacing w:after="0" w:line="83" w:lineRule="exact"/>
        <w:rPr>
          <w:sz w:val="20"/>
          <w:szCs w:val="20"/>
          <w:color w:val="auto"/>
        </w:rPr>
      </w:pPr>
    </w:p>
    <w:p>
      <w:pPr>
        <w:jc w:val="both"/>
        <w:ind w:left="9" w:firstLine="318"/>
        <w:spacing w:after="0" w:line="266" w:lineRule="auto"/>
        <w:rPr>
          <w:sz w:val="20"/>
          <w:szCs w:val="20"/>
          <w:color w:val="auto"/>
        </w:rPr>
      </w:pPr>
      <w:r>
        <w:rPr>
          <w:rFonts w:ascii="Times New Roman" w:cs="Times New Roman" w:eastAsia="Times New Roman" w:hAnsi="Times New Roman"/>
          <w:sz w:val="17"/>
          <w:szCs w:val="17"/>
          <w:color w:val="auto"/>
        </w:rPr>
        <w:t>As consideration of the agreements of Agent and Lenders provided for herein, Borrowers shall pay to Agent, for the ratable benefit of the Lenders, an amendment fee of $75,000 (the “</w:t>
      </w:r>
      <w:r>
        <w:rPr>
          <w:rFonts w:ascii="Times New Roman" w:cs="Times New Roman" w:eastAsia="Times New Roman" w:hAnsi="Times New Roman"/>
          <w:sz w:val="17"/>
          <w:szCs w:val="17"/>
          <w:u w:val="single" w:color="auto"/>
          <w:color w:val="auto"/>
        </w:rPr>
        <w:t>16</w:t>
      </w:r>
      <w:r>
        <w:rPr>
          <w:rFonts w:ascii="Times New Roman" w:cs="Times New Roman" w:eastAsia="Times New Roman" w:hAnsi="Times New Roman"/>
          <w:sz w:val="12"/>
          <w:szCs w:val="12"/>
          <w:u w:val="single" w:color="auto"/>
          <w:color w:val="auto"/>
        </w:rPr>
        <w:t>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Amendment Fee</w:t>
      </w:r>
      <w:r>
        <w:rPr>
          <w:rFonts w:ascii="Times New Roman" w:cs="Times New Roman" w:eastAsia="Times New Roman" w:hAnsi="Times New Roman"/>
          <w:sz w:val="17"/>
          <w:szCs w:val="17"/>
          <w:color w:val="auto"/>
        </w:rPr>
        <w:t>”), which such fee shall be fully-earned and non-refundable (under any circumstances) and due and payable in full immediately upon the execution and delivery of this Amendment by the parties hereto.</w:t>
      </w:r>
    </w:p>
    <w:p>
      <w:pPr>
        <w:spacing w:after="0" w:line="144"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u w:val="single" w:color="auto"/>
          <w:color w:val="auto"/>
        </w:rPr>
        <w:t>Conditions Precedent/Effectiveness Conditions</w:t>
      </w:r>
    </w:p>
    <w:p>
      <w:pPr>
        <w:spacing w:after="0" w:line="83"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7"/>
          <w:szCs w:val="17"/>
          <w:color w:val="auto"/>
        </w:rPr>
        <w:t>This Amendment shall be effective upon the date of satisfaction of all of the following conditions precedent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ind w:left="529" w:hanging="529"/>
        <w:spacing w:after="0"/>
        <w:tabs>
          <w:tab w:leader="none" w:pos="52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this Amendment fully executed by the Borrowers;</w:t>
      </w:r>
    </w:p>
    <w:p>
      <w:pPr>
        <w:spacing w:after="0" w:line="80" w:lineRule="exact"/>
        <w:rPr>
          <w:rFonts w:ascii="Times New Roman" w:cs="Times New Roman" w:eastAsia="Times New Roman" w:hAnsi="Times New Roman"/>
          <w:sz w:val="18"/>
          <w:szCs w:val="18"/>
          <w:color w:val="auto"/>
        </w:rPr>
      </w:pPr>
    </w:p>
    <w:p>
      <w:pPr>
        <w:ind w:left="529" w:hanging="529"/>
        <w:spacing w:after="0"/>
        <w:tabs>
          <w:tab w:leader="none" w:pos="52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under the Loan Agreement;</w:t>
      </w:r>
    </w:p>
    <w:p>
      <w:pPr>
        <w:spacing w:after="0" w:line="80" w:lineRule="exact"/>
        <w:rPr>
          <w:rFonts w:ascii="Times New Roman" w:cs="Times New Roman" w:eastAsia="Times New Roman" w:hAnsi="Times New Roman"/>
          <w:sz w:val="18"/>
          <w:szCs w:val="18"/>
          <w:color w:val="auto"/>
        </w:rPr>
      </w:pPr>
    </w:p>
    <w:p>
      <w:pPr>
        <w:ind w:left="529" w:hanging="529"/>
        <w:spacing w:after="0"/>
        <w:tabs>
          <w:tab w:leader="none" w:pos="52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and delivery by all Borrowers of Sixth Amended and Restated Revolving Credit Note; and</w:t>
      </w:r>
    </w:p>
    <w:p>
      <w:pPr>
        <w:spacing w:after="0" w:line="80" w:lineRule="exact"/>
        <w:rPr>
          <w:rFonts w:ascii="Times New Roman" w:cs="Times New Roman" w:eastAsia="Times New Roman" w:hAnsi="Times New Roman"/>
          <w:sz w:val="18"/>
          <w:szCs w:val="18"/>
          <w:color w:val="auto"/>
        </w:rPr>
      </w:pPr>
    </w:p>
    <w:p>
      <w:pPr>
        <w:jc w:val="both"/>
        <w:ind w:left="9" w:hanging="9"/>
        <w:spacing w:after="0"/>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Agent of a certificate of the Secretary or Assistant Secretary (or other equivalent officer, partner, member or manager) of the Loan Parties in form and substance reasonably satisfactory to Agent dated as of the date hereof which shall certify (i) copies of resolutions in form and substance reasonably satisfactory to Agent, of the board of directors (or other equivalent governing body, member, or manager) of each Borrower authorizing the execution, delivery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12" w:name="page213"/>
    <w:bookmarkEnd w:id="212"/>
    <w:p>
      <w:pPr>
        <w:jc w:val="both"/>
        <w:ind w:left="9"/>
        <w:spacing w:after="0" w:line="236" w:lineRule="auto"/>
        <w:rPr>
          <w:sz w:val="20"/>
          <w:szCs w:val="20"/>
          <w:color w:val="auto"/>
        </w:rPr>
      </w:pPr>
      <w:r>
        <w:rPr>
          <w:rFonts w:ascii="Times New Roman" w:cs="Times New Roman" w:eastAsia="Times New Roman" w:hAnsi="Times New Roman"/>
          <w:sz w:val="18"/>
          <w:szCs w:val="18"/>
          <w:color w:val="auto"/>
        </w:rPr>
        <w:t>performance of this Amendment and all other agreements, instruments or other documents required hereby (collectively,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(ii) the incumbency and signature of the officers (or other equivalent partners, managers or members of each Borrower authorized to execute the Amendment Documents, (iii) copies of the Organizational Documents of each Borrower as in effect on such date, complete with all amendments thereto, and (iv) the good standing (or equivalent status) of each Borrower in its jurisdiction of organization, as evidenced by a good standing certificate (or the equivalent thereof issued by any applicable jurisdiction) dated not more than thirty (30) days prior to the date hereof, issued by the Secretary of State or other appropriate official of such jurisdiction.</w:t>
      </w:r>
    </w:p>
    <w:p>
      <w:pPr>
        <w:spacing w:after="0" w:line="61" w:lineRule="exact"/>
        <w:rPr>
          <w:sz w:val="20"/>
          <w:szCs w:val="20"/>
          <w:color w:val="auto"/>
        </w:rPr>
      </w:pPr>
    </w:p>
    <w:p>
      <w:pPr>
        <w:jc w:val="both"/>
        <w:ind w:left="9" w:hanging="9"/>
        <w:spacing w:after="0" w:line="256" w:lineRule="auto"/>
        <w:tabs>
          <w:tab w:leader="none" w:pos="584"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by Borrowers of (x) the 16</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Amendment Fee, and (y) all fees, costs and expenses (including without limitation any and all legal fees and expenses) incurred by Agent in the negotiation, preparation and execution of this Amendment (all collectively under clauses</w:t>
      </w:r>
    </w:p>
    <w:p>
      <w:pPr>
        <w:spacing w:after="0" w:line="1" w:lineRule="exact"/>
        <w:rPr>
          <w:rFonts w:ascii="Times New Roman" w:cs="Times New Roman" w:eastAsia="Times New Roman" w:hAnsi="Times New Roman"/>
          <w:sz w:val="17"/>
          <w:szCs w:val="17"/>
          <w:color w:val="auto"/>
        </w:rPr>
      </w:pPr>
    </w:p>
    <w:p>
      <w:pPr>
        <w:jc w:val="both"/>
        <w:ind w:left="9" w:hanging="9"/>
        <w:spacing w:after="0" w:line="234" w:lineRule="auto"/>
        <w:tabs>
          <w:tab w:leader="none" w:pos="27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 the “</w:t>
      </w:r>
      <w:r>
        <w:rPr>
          <w:rFonts w:ascii="Times New Roman" w:cs="Times New Roman" w:eastAsia="Times New Roman" w:hAnsi="Times New Roman"/>
          <w:sz w:val="18"/>
          <w:szCs w:val="18"/>
          <w:u w:val="single" w:color="auto"/>
          <w:color w:val="auto"/>
        </w:rPr>
        <w:t>Amendment Fees and Costs</w:t>
      </w:r>
      <w:r>
        <w:rPr>
          <w:rFonts w:ascii="Times New Roman" w:cs="Times New Roman" w:eastAsia="Times New Roman" w:hAnsi="Times New Roman"/>
          <w:sz w:val="18"/>
          <w:szCs w:val="18"/>
          <w:color w:val="auto"/>
        </w:rPr>
        <w:t>”). Borrowers hereby authorize Agent to charge Borrowers’ Account with the amount of all Amendment Fees and Costs in satisfaction thereof, and requests that Lenders make one or more Revolving Advance(s) consisting of Domestic Rate Loan(s) on or after the date hereof in an aggregate amount equal to the total amount of all such Amendment Fees and Costs, and that Agent disburse the proceeds of such Revolving Advance(s) in satisfaction thereof.</w:t>
      </w:r>
    </w:p>
    <w:p>
      <w:pPr>
        <w:spacing w:after="0" w:line="56"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u w:val="single" w:color="auto"/>
          <w:color w:val="auto"/>
        </w:rPr>
        <w:t>Further Assurances</w:t>
      </w:r>
    </w:p>
    <w:p>
      <w:pPr>
        <w:spacing w:after="0" w:line="83" w:lineRule="exact"/>
        <w:rPr>
          <w:sz w:val="20"/>
          <w:szCs w:val="20"/>
          <w:color w:val="auto"/>
        </w:rPr>
      </w:pPr>
    </w:p>
    <w:p>
      <w:pPr>
        <w:jc w:val="both"/>
        <w:ind w:left="9" w:firstLine="531"/>
        <w:spacing w:after="0" w:line="245" w:lineRule="auto"/>
        <w:rPr>
          <w:sz w:val="20"/>
          <w:szCs w:val="20"/>
          <w:color w:val="auto"/>
        </w:rPr>
      </w:pPr>
      <w:r>
        <w:rPr>
          <w:rFonts w:ascii="Times New Roman" w:cs="Times New Roman" w:eastAsia="Times New Roman" w:hAnsi="Times New Roman"/>
          <w:sz w:val="18"/>
          <w:szCs w:val="18"/>
          <w:color w:val="auto"/>
        </w:rPr>
        <w:t>Each Borrower hereby agrees to take all such actions and to execute and/or deliver to Agent and Lenders all such documents, assignments, financing statements and other documents, as Agent and Lenders may reasonably require from time to time, to effectuate and implement the purposes of this Amendment.</w:t>
      </w:r>
    </w:p>
    <w:p>
      <w:pPr>
        <w:spacing w:after="0" w:line="50"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u w:val="single" w:color="auto"/>
          <w:color w:val="auto"/>
        </w:rPr>
        <w:t>Payment of Expenses</w:t>
      </w:r>
    </w:p>
    <w:p>
      <w:pPr>
        <w:spacing w:after="0" w:line="83" w:lineRule="exact"/>
        <w:rPr>
          <w:sz w:val="20"/>
          <w:szCs w:val="20"/>
          <w:color w:val="auto"/>
        </w:rPr>
      </w:pPr>
    </w:p>
    <w:p>
      <w:pPr>
        <w:jc w:val="both"/>
        <w:ind w:left="9" w:firstLine="531"/>
        <w:spacing w:after="0" w:line="259" w:lineRule="auto"/>
        <w:rPr>
          <w:sz w:val="20"/>
          <w:szCs w:val="20"/>
          <w:color w:val="auto"/>
        </w:rPr>
      </w:pPr>
      <w:r>
        <w:rPr>
          <w:rFonts w:ascii="Times New Roman" w:cs="Times New Roman" w:eastAsia="Times New Roman" w:hAnsi="Times New Roman"/>
          <w:sz w:val="18"/>
          <w:szCs w:val="18"/>
          <w:color w:val="auto"/>
        </w:rPr>
        <w:t>Borrowers shall pay or reimburse Agent and Lenders for their reasonable fees of external counsel and other expenses in connection with the preparation, negotiation and execution of this Amendment and the documents provided for herein or related hereto.</w:t>
      </w:r>
    </w:p>
    <w:p>
      <w:pPr>
        <w:spacing w:after="0" w:line="38"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u w:val="single" w:color="auto"/>
          <w:color w:val="auto"/>
        </w:rPr>
        <w:t>Reaffirmation of Loan Agreement</w:t>
      </w:r>
    </w:p>
    <w:p>
      <w:pPr>
        <w:spacing w:after="0" w:line="83" w:lineRule="exact"/>
        <w:rPr>
          <w:sz w:val="20"/>
          <w:szCs w:val="20"/>
          <w:color w:val="auto"/>
        </w:rPr>
      </w:pPr>
    </w:p>
    <w:p>
      <w:pPr>
        <w:jc w:val="both"/>
        <w:ind w:left="9" w:firstLine="531"/>
        <w:spacing w:after="0" w:line="259" w:lineRule="auto"/>
        <w:rPr>
          <w:sz w:val="20"/>
          <w:szCs w:val="20"/>
          <w:color w:val="auto"/>
        </w:rPr>
      </w:pPr>
      <w:r>
        <w:rPr>
          <w:rFonts w:ascii="Times New Roman" w:cs="Times New Roman" w:eastAsia="Times New Roman" w:hAnsi="Times New Roman"/>
          <w:sz w:val="18"/>
          <w:szCs w:val="18"/>
          <w:color w:val="auto"/>
        </w:rPr>
        <w:t>Except as modified by the terms hereof, all of the terms and conditions of the Loan Agreement, as amended, are hereby reaffirmed and shall continue in full force and effect as therein written.</w:t>
      </w:r>
    </w:p>
    <w:p>
      <w:pPr>
        <w:spacing w:after="0" w:line="38" w:lineRule="exact"/>
        <w:rPr>
          <w:sz w:val="20"/>
          <w:szCs w:val="20"/>
          <w:color w:val="auto"/>
        </w:rPr>
      </w:pPr>
    </w:p>
    <w:p>
      <w:pPr>
        <w:ind w:left="9"/>
        <w:spacing w:after="0"/>
        <w:tabs>
          <w:tab w:leader="none" w:pos="1048"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u w:val="single" w:color="auto"/>
          <w:color w:val="auto"/>
        </w:rPr>
        <w:t>Miscellaneous</w:t>
      </w:r>
    </w:p>
    <w:p>
      <w:pPr>
        <w:spacing w:after="0" w:line="83" w:lineRule="exact"/>
        <w:rPr>
          <w:sz w:val="20"/>
          <w:szCs w:val="20"/>
          <w:color w:val="auto"/>
        </w:rPr>
      </w:pPr>
    </w:p>
    <w:p>
      <w:pPr>
        <w:ind w:left="9" w:right="20" w:hanging="9"/>
        <w:spacing w:after="0" w:line="259"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Rights</w:t>
      </w:r>
      <w:r>
        <w:rPr>
          <w:rFonts w:ascii="Times New Roman" w:cs="Times New Roman" w:eastAsia="Times New Roman" w:hAnsi="Times New Roman"/>
          <w:sz w:val="18"/>
          <w:szCs w:val="18"/>
          <w:color w:val="auto"/>
        </w:rPr>
        <w:t>. No rights are intended to be created hereunder for the benefit of any third party donee, creditor, or incidental beneficiary.</w:t>
      </w:r>
    </w:p>
    <w:p>
      <w:pPr>
        <w:spacing w:after="0" w:line="39" w:lineRule="exact"/>
        <w:rPr>
          <w:rFonts w:ascii="Times New Roman" w:cs="Times New Roman" w:eastAsia="Times New Roman" w:hAnsi="Times New Roman"/>
          <w:sz w:val="18"/>
          <w:szCs w:val="18"/>
          <w:color w:val="auto"/>
        </w:rPr>
      </w:pPr>
    </w:p>
    <w:p>
      <w:pPr>
        <w:ind w:left="9" w:right="20" w:hanging="9"/>
        <w:spacing w:after="0" w:line="259"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any paragraph of this Amendment are for convenience only and shall not be used to interpret any provision hereof.</w:t>
      </w:r>
    </w:p>
    <w:p>
      <w:pPr>
        <w:spacing w:after="0" w:line="39" w:lineRule="exact"/>
        <w:rPr>
          <w:rFonts w:ascii="Times New Roman" w:cs="Times New Roman" w:eastAsia="Times New Roman" w:hAnsi="Times New Roman"/>
          <w:sz w:val="18"/>
          <w:szCs w:val="18"/>
          <w:color w:val="auto"/>
        </w:rPr>
      </w:pPr>
    </w:p>
    <w:p>
      <w:pPr>
        <w:ind w:left="9" w:hanging="9"/>
        <w:spacing w:after="0" w:line="259"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w:t>
      </w:r>
      <w:r>
        <w:rPr>
          <w:rFonts w:ascii="Times New Roman" w:cs="Times New Roman" w:eastAsia="Times New Roman" w:hAnsi="Times New Roman"/>
          <w:sz w:val="18"/>
          <w:szCs w:val="18"/>
          <w:color w:val="auto"/>
        </w:rPr>
        <w:t>. No modification hereof or any agreement referred to herein shall be binding or enforceable unless in writing and signed on behalf of the party against whom enforcement is sought.</w:t>
      </w:r>
    </w:p>
    <w:p>
      <w:pPr>
        <w:spacing w:after="0" w:line="39" w:lineRule="exact"/>
        <w:rPr>
          <w:rFonts w:ascii="Times New Roman" w:cs="Times New Roman" w:eastAsia="Times New Roman" w:hAnsi="Times New Roman"/>
          <w:sz w:val="18"/>
          <w:szCs w:val="18"/>
          <w:color w:val="auto"/>
        </w:rPr>
      </w:pPr>
    </w:p>
    <w:p>
      <w:pPr>
        <w:ind w:left="9" w:hanging="9"/>
        <w:spacing w:after="0" w:line="259"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each Other Document (unless and except to the extent expressly provided otherwise in any such Other Document), and all matters relating hereto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13" w:name="page214"/>
    <w:bookmarkEnd w:id="213"/>
    <w:p>
      <w:pPr>
        <w:jc w:val="both"/>
        <w:ind w:left="9"/>
        <w:spacing w:after="0" w:line="232" w:lineRule="auto"/>
        <w:rPr>
          <w:sz w:val="20"/>
          <w:szCs w:val="20"/>
          <w:color w:val="auto"/>
        </w:rPr>
      </w:pPr>
      <w:r>
        <w:rPr>
          <w:rFonts w:ascii="Times New Roman" w:cs="Times New Roman" w:eastAsia="Times New Roman" w:hAnsi="Times New Roman"/>
          <w:sz w:val="18"/>
          <w:szCs w:val="18"/>
          <w:color w:val="auto"/>
        </w:rPr>
        <w:t>or thereto or arising herefrom or therefrom (whether arising under contract law, tort law or otherwise) shall, in accordance with Section 5-1401 of the General Obligations Law of the State of New York, be governed by and construed in accordance with the laws of the State of New York. Any judicial proceeding brought by or against any Borrower with respect to any of the Obligations, this Amendment, the Other Documents or any related agreement may be brought in any court of competent jurisdiction in the State of New York, United States of America, and, by execution and delivery of this Amendment, each Borrower accepts for itself and in connection with its properties, generally and unconditionally, the non-exclusive jurisdiction of the aforesaid courts, and irrevocably agrees to be bound by any judgment rendered thereby in connection with this Amendment. Each Borrower hereby waives personal service of any and all process upon it and consents that all such service of process may be made by certified or registered mail (return receipt requested) directed to Borrowing Agent at its address set forth in Section 16.6 of the Loan Agreement and service so made shall be deemed completed five (5) days after the same shall have been so deposited in the mails of the United States of America, or, at Agent’s option, by service upon Borrowing Agent which each Borrower irrevocably appoints as such Borrower’s Agent for the purpose of accepting service within the State of New York. Nothing herein shall affect the right to serve process in any manner permitted by law or shall limit the right of Agent or any Lender to bring proceedings against any Borrower in the courts of any other jurisdiction. Each Borrower waives any objection to jurisdiction and venue of any action instituted hereunder and shall not assert any defense based on lack of jurisdiction or venue or based upon forum non conveniens. Each Borrower waives the right to remove any judicial proceeding brought against such Borrower in any state court to any federal court. Any judicial proceeding by any Borrower against Agent or any Lender involving, directly or indirectly, any matter or claim in any way arising out of, related to or connected with this Amendment or any related agreement, shall be brought only in a federal or state court located in the County of New York, State of New York.</w:t>
      </w:r>
    </w:p>
    <w:p>
      <w:pPr>
        <w:spacing w:after="0" w:line="70" w:lineRule="exact"/>
        <w:rPr>
          <w:sz w:val="20"/>
          <w:szCs w:val="20"/>
          <w:color w:val="auto"/>
        </w:rPr>
      </w:pPr>
    </w:p>
    <w:p>
      <w:pPr>
        <w:jc w:val="both"/>
        <w:ind w:left="9" w:hanging="9"/>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Amendment may be executed in any number of and by different parties hereto on separate counterparts, all of which, when so executed, shall be deemed an original, but all such counterparts shall constitute one and the same agreement. Any signature delivered by a party by facsimile or electronic transmission (including email transmission of a PDF image) shall be deemed to be an original signature hereto.</w:t>
      </w:r>
    </w:p>
    <w:p>
      <w:pPr>
        <w:spacing w:after="0" w:line="145" w:lineRule="exact"/>
        <w:rPr>
          <w:rFonts w:ascii="Times New Roman" w:cs="Times New Roman" w:eastAsia="Times New Roman" w:hAnsi="Times New Roman"/>
          <w:sz w:val="18"/>
          <w:szCs w:val="18"/>
          <w:color w:val="auto"/>
        </w:rPr>
      </w:pPr>
    </w:p>
    <w:p>
      <w:pPr>
        <w:jc w:val="both"/>
        <w:ind w:left="9" w:hanging="9"/>
        <w:spacing w:after="0" w:line="235"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and Release</w:t>
      </w:r>
      <w:r>
        <w:rPr>
          <w:rFonts w:ascii="Times New Roman" w:cs="Times New Roman" w:eastAsia="Times New Roman" w:hAnsi="Times New Roman"/>
          <w:sz w:val="18"/>
          <w:szCs w:val="18"/>
          <w:color w:val="auto"/>
        </w:rPr>
        <w:t>. Each Borrower hereby acknowledges and confirms that all Obligations (whether representing outstanding principal, accrued and unpaid interest, accrued and unpaid fees or any other Obligations of any kind or nature) currently owing by Borrowers under the Loan Agreement and the Other Documents, as reflected in the books and records of Agent and Lenders as of the date hereof, are unconditionally owing from and payable by Borrowers, and Borrowers are jointly and severally indebted to Agent, Issuer, Lenders and the other Secured Parties with respect thereto, all without any set-off, deduction, counterclaim or defense. Each Borrower acknowledges and agrees that it has no actual or potential claim or cause of action against Agent, Issuer or any Lender or other Secured Party relating to the Loan Agreement or any Other Document and/or the Obligations arising thereunder or related thereto, in any such case arising on or before the date hereof.</w:t>
      </w:r>
    </w:p>
    <w:p>
      <w:pPr>
        <w:spacing w:after="0" w:line="17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3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14" w:name="page215"/>
    <w:bookmarkEnd w:id="214"/>
    <w:p>
      <w:pPr>
        <w:ind w:firstLine="531"/>
        <w:spacing w:after="0" w:line="258"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executed and delivered by their duly authorized officers as of the date first above written.</w:t>
      </w:r>
    </w:p>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3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IBEX GLOBAL SOLUIONS, INC. f/k/a</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TRG CUSTOMER SOLUTIONS, INC.</w:t>
      </w:r>
    </w:p>
    <w:p>
      <w:pPr>
        <w:ind w:left="80"/>
        <w:spacing w:after="0"/>
        <w:rPr>
          <w:sz w:val="20"/>
          <w:szCs w:val="20"/>
          <w:color w:val="auto"/>
        </w:rPr>
      </w:pPr>
      <w:r>
        <w:rPr>
          <w:rFonts w:ascii="Times New Roman" w:cs="Times New Roman" w:eastAsia="Times New Roman" w:hAnsi="Times New Roman"/>
          <w:sz w:val="18"/>
          <w:szCs w:val="18"/>
          <w:b w:val="1"/>
          <w:bCs w:val="1"/>
          <w:color w:val="auto"/>
        </w:rPr>
        <w:t>d/b/a IBEX Global Solutions</w:t>
      </w:r>
    </w:p>
    <w:p>
      <w:pPr>
        <w:sectPr>
          <w:pgSz w:w="11900" w:h="16838" w:orient="portrait"/>
          <w:cols w:equalWidth="0" w:num="1">
            <w:col w:w="9940"/>
          </w:cols>
          <w:pgMar w:left="980" w:top="118" w:right="979" w:bottom="1440" w:gutter="0" w:footer="0" w:header="0"/>
        </w:sectPr>
      </w:pP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/s/Robert T. Dechant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T. Dechant</w:t>
      </w: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ectPr>
          <w:pgSz w:w="11900" w:h="16838" w:orient="portrait"/>
          <w:cols w:equalWidth="0" w:num="2">
            <w:col w:w="320" w:space="660"/>
            <w:col w:w="8960"/>
          </w:cols>
          <w:pgMar w:left="980" w:top="118" w:right="979" w:bottom="1440" w:gutter="0" w:footer="0" w:header="0"/>
          <w:type w:val="continuous"/>
        </w:sectPr>
      </w:pP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DIGITAL GLOBE SERVICES, LLC</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f/k/a DIGITAL GLOBE SERVICES INC.</w:t>
      </w:r>
    </w:p>
    <w:p>
      <w:pPr>
        <w:sectPr>
          <w:pgSz w:w="11900" w:h="16838" w:orient="portrait"/>
          <w:cols w:equalWidth="0" w:num="1">
            <w:col w:w="9940"/>
          </w:cols>
          <w:pgMar w:left="980" w:top="118" w:right="979" w:bottom="1440" w:gutter="0" w:footer="0" w:header="0"/>
          <w:type w:val="continuous"/>
        </w:sectPr>
      </w:pP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Jeffrey Cox</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Cox</w:t>
      </w: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ectPr>
          <w:pgSz w:w="11900" w:h="16838" w:orient="portrait"/>
          <w:cols w:equalWidth="0" w:num="2">
            <w:col w:w="320" w:space="660"/>
            <w:col w:w="8960"/>
          </w:cols>
          <w:pgMar w:left="980" w:top="118" w:right="979" w:bottom="1440" w:gutter="0" w:footer="0" w:header="0"/>
          <w:type w:val="continuous"/>
        </w:sectPr>
      </w:pP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TELSATONLINE, LLC</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f/k/a TELSATONLINE INC.</w:t>
      </w:r>
    </w:p>
    <w:p>
      <w:pPr>
        <w:sectPr>
          <w:pgSz w:w="11900" w:h="16838" w:orient="portrait"/>
          <w:cols w:equalWidth="0" w:num="1">
            <w:col w:w="9940"/>
          </w:cols>
          <w:pgMar w:left="980" w:top="118" w:right="979" w:bottom="1440" w:gutter="0" w:footer="0" w:header="0"/>
          <w:type w:val="continuous"/>
        </w:sectPr>
      </w:pP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Jeffrey Cox</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Cox</w:t>
      </w: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ectPr>
          <w:pgSz w:w="11900" w:h="16838" w:orient="portrait"/>
          <w:cols w:equalWidth="0" w:num="2">
            <w:col w:w="320" w:space="660"/>
            <w:col w:w="8960"/>
          </w:cols>
          <w:pgMar w:left="980" w:top="118" w:right="979" w:bottom="1440" w:gutter="0" w:footer="0" w:header="0"/>
          <w:type w:val="continuous"/>
        </w:sectPr>
      </w:pP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7 DEGREES, LLC</w:t>
      </w:r>
    </w:p>
    <w:p>
      <w:pPr>
        <w:sectPr>
          <w:pgSz w:w="11900" w:h="16838" w:orient="portrait"/>
          <w:cols w:equalWidth="0" w:num="1">
            <w:col w:w="9940"/>
          </w:cols>
          <w:pgMar w:left="980" w:top="118" w:right="979" w:bottom="1440" w:gutter="0" w:footer="0" w:header="0"/>
          <w:type w:val="continuous"/>
        </w:sectPr>
      </w:pP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Christy O’Connor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Christy O’Connor</w:t>
      </w: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ectPr>
          <w:pgSz w:w="11900" w:h="16838" w:orient="portrait"/>
          <w:cols w:equalWidth="0" w:num="2">
            <w:col w:w="320" w:space="660"/>
            <w:col w:w="8960"/>
          </w:cols>
          <w:pgMar w:left="980" w:top="118" w:right="979" w:bottom="1440" w:gutter="0" w:footer="0" w:header="0"/>
          <w:type w:val="continuous"/>
        </w:sectPr>
      </w:pP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iSKY, LLC</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f/k/a iSKY, INC.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 Jeffrey Cox</w:t>
            </w:r>
          </w:p>
        </w:tc>
      </w:tr>
      <w:tr>
        <w:trPr>
          <w:trHeight w:val="199"/>
        </w:trPr>
        <w:tc>
          <w:tcPr>
            <w:tcW w:w="660" w:type="dxa"/>
            <w:vAlign w:val="bottom"/>
          </w:tcPr>
          <w:p>
            <w:pPr>
              <w:spacing w:after="0"/>
              <w:rPr>
                <w:sz w:val="17"/>
                <w:szCs w:val="17"/>
                <w:color w:val="auto"/>
              </w:rPr>
            </w:pPr>
          </w:p>
        </w:tc>
        <w:tc>
          <w:tcPr>
            <w:tcW w:w="9280" w:type="dxa"/>
            <w:vAlign w:val="bottom"/>
          </w:tcPr>
          <w:p>
            <w:pPr>
              <w:ind w:left="320"/>
              <w:spacing w:after="0" w:line="199" w:lineRule="exact"/>
              <w:rPr>
                <w:sz w:val="20"/>
                <w:szCs w:val="20"/>
                <w:color w:val="auto"/>
              </w:rPr>
            </w:pPr>
            <w:r>
              <w:rPr>
                <w:rFonts w:ascii="Times New Roman" w:cs="Times New Roman" w:eastAsia="Times New Roman" w:hAnsi="Times New Roman"/>
                <w:sz w:val="18"/>
                <w:szCs w:val="18"/>
                <w:color w:val="auto"/>
              </w:rPr>
              <w:t>Jeffrey Cox</w:t>
            </w:r>
          </w:p>
        </w:tc>
      </w:tr>
      <w:tr>
        <w:trPr>
          <w:trHeight w:val="232"/>
        </w:trPr>
        <w:tc>
          <w:tcPr>
            <w:tcW w:w="660" w:type="dxa"/>
            <w:vAlign w:val="bottom"/>
          </w:tcPr>
          <w:p>
            <w:pPr>
              <w:spacing w:after="0"/>
              <w:rPr>
                <w:sz w:val="20"/>
                <w:szCs w:val="20"/>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w:t>
            </w:r>
          </w:p>
        </w:tc>
      </w:tr>
      <w:tr>
        <w:trPr>
          <w:trHeight w:val="999"/>
        </w:trPr>
        <w:tc>
          <w:tcPr>
            <w:tcW w:w="6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18" w:right="979" w:bottom="1440" w:gutter="0" w:footer="0" w:header="0"/>
          <w:type w:val="continuous"/>
        </w:sectPr>
      </w:pPr>
    </w:p>
    <w:bookmarkStart w:id="215" w:name="page216"/>
    <w:bookmarkEnd w:id="215"/>
    <w:p>
      <w:pPr>
        <w:ind w:left="8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 Lender and as Agent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 Jacqueline MacKenzie</w:t>
            </w:r>
          </w:p>
        </w:tc>
      </w:tr>
      <w:tr>
        <w:trPr>
          <w:trHeight w:val="199"/>
        </w:trPr>
        <w:tc>
          <w:tcPr>
            <w:tcW w:w="660" w:type="dxa"/>
            <w:vAlign w:val="bottom"/>
          </w:tcPr>
          <w:p>
            <w:pPr>
              <w:spacing w:after="0"/>
              <w:rPr>
                <w:sz w:val="17"/>
                <w:szCs w:val="17"/>
                <w:color w:val="auto"/>
              </w:rPr>
            </w:pPr>
          </w:p>
        </w:tc>
        <w:tc>
          <w:tcPr>
            <w:tcW w:w="9280" w:type="dxa"/>
            <w:vAlign w:val="bottom"/>
          </w:tcPr>
          <w:p>
            <w:pPr>
              <w:ind w:left="320"/>
              <w:spacing w:after="0" w:line="199" w:lineRule="exact"/>
              <w:rPr>
                <w:sz w:val="20"/>
                <w:szCs w:val="20"/>
                <w:color w:val="auto"/>
              </w:rPr>
            </w:pPr>
            <w:r>
              <w:rPr>
                <w:rFonts w:ascii="Times New Roman" w:cs="Times New Roman" w:eastAsia="Times New Roman" w:hAnsi="Times New Roman"/>
                <w:sz w:val="18"/>
                <w:szCs w:val="18"/>
                <w:color w:val="auto"/>
              </w:rPr>
              <w:t>Jacqueline MacKenzie</w:t>
            </w:r>
          </w:p>
        </w:tc>
      </w:tr>
      <w:tr>
        <w:trPr>
          <w:trHeight w:val="232"/>
        </w:trPr>
        <w:tc>
          <w:tcPr>
            <w:tcW w:w="660" w:type="dxa"/>
            <w:vAlign w:val="bottom"/>
          </w:tcPr>
          <w:p>
            <w:pPr>
              <w:spacing w:after="0"/>
              <w:rPr>
                <w:sz w:val="20"/>
                <w:szCs w:val="20"/>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999"/>
        </w:trPr>
        <w:tc>
          <w:tcPr>
            <w:tcW w:w="6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314" w:right="979" w:bottom="1440" w:gutter="0" w:footer="0" w:header="0"/>
        </w:sectPr>
      </w:pPr>
    </w:p>
    <w:bookmarkStart w:id="216" w:name="page217"/>
    <w:bookmarkEnd w:id="216"/>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(Intercompany Assignments)</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[Detailed tables for intercompany entries have been redacted from Exhibit A; a summary of this information is included in the Background paragraph of the Sixteenth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629920</wp:posOffset>
            </wp:positionV>
            <wp:extent cx="631444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840"/>
          </w:cols>
          <w:pgMar w:left="980" w:top="314" w:right="107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Credit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528955</wp:posOffset>
            </wp:positionV>
            <wp:extent cx="631444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218" w:name="page219"/>
    <w:bookmarkEnd w:id="218"/>
    <w:p>
      <w:pPr>
        <w:ind w:left="3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645160</wp:posOffset>
            </wp:positionH>
            <wp:positionV relativeFrom="page">
              <wp:posOffset>285750</wp:posOffset>
            </wp:positionV>
            <wp:extent cx="6257925" cy="140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6257925" cy="140335"/>
                    </a:xfrm>
                    <a:prstGeom prst="rect">
                      <a:avLst/>
                    </a:prstGeom>
                    <a:noFill/>
                  </pic:spPr>
                </pic:pic>
              </a:graphicData>
            </a:graphic>
          </wp:anchor>
        </w:drawing>
        <w:t>REVOLVING CREDIT AND</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179705</wp:posOffset>
            </wp:positionV>
            <wp:extent cx="6257925" cy="140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257925" cy="14033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LENDER AND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179705</wp:posOffset>
            </wp:positionV>
            <wp:extent cx="6257925" cy="140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6257925" cy="14033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193675</wp:posOffset>
            </wp:positionV>
            <wp:extent cx="6257925" cy="140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6257925" cy="1403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TRG CUSTOMER SOLUTIONS, INC. d/b/a IBEX Global Solutions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EACH PERSON JOINED HERETO AS A BORROWER FROM TIME TO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193675</wp:posOffset>
            </wp:positionV>
            <wp:extent cx="6257925" cy="140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6257925" cy="14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1120775</wp:posOffset>
            </wp:positionV>
            <wp:extent cx="631444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6314440" cy="209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193675</wp:posOffset>
            </wp:positionV>
            <wp:extent cx="6257925" cy="140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257925" cy="140335"/>
                    </a:xfrm>
                    <a:prstGeom prst="rect">
                      <a:avLst/>
                    </a:prstGeom>
                    <a:noFill/>
                  </pic:spPr>
                </pic:pic>
              </a:graphicData>
            </a:graphic>
          </wp:anchor>
        </w:drawing>
      </w:r>
    </w:p>
    <w:p>
      <w:pPr>
        <w:sectPr>
          <w:pgSz w:w="11900" w:h="16838" w:orient="portrait"/>
          <w:cols w:equalWidth="0" w:num="1">
            <w:col w:w="9019"/>
          </w:cols>
          <w:pgMar w:left="1440" w:top="734" w:right="1440"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5"/>
        </w:trPr>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2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40"/>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5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Page</w:t>
            </w:r>
          </w:p>
        </w:tc>
      </w:tr>
      <w:tr>
        <w:trPr>
          <w:trHeight w:val="191"/>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I.</w:t>
            </w:r>
          </w:p>
        </w:tc>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340"/>
        </w:trPr>
        <w:tc>
          <w:tcPr>
            <w:tcW w:w="28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1.1.</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Accounting Terms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1.2.</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General Terms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1.3.</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Uniform Commercial Code Terms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1.4.</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Certain Matters of Construction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1.5.</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Term SOFR Notification. Section 3.12 of this Agreement provides a mechanism for determining an alternate rate of interest in the event</w:t>
            </w:r>
          </w:p>
        </w:tc>
        <w:tc>
          <w:tcPr>
            <w:tcW w:w="5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9"/>
              </w:rPr>
              <w:t>that the Term SOFR Rate is no longer available or in certain other circumstances. The Agent does not warrant or accept any responsibility</w:t>
            </w:r>
          </w:p>
        </w:tc>
        <w:tc>
          <w:tcPr>
            <w:tcW w:w="5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 and shall not have any liability with respect to, the administration, submission or any other matter related to the Term SOFR Rate or</w:t>
            </w:r>
          </w:p>
        </w:tc>
        <w:tc>
          <w:tcPr>
            <w:tcW w:w="5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with respect to any alternative or successor rate thereto, or replacement rate therefor.</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1.6.</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Conforming Changes Relating to Term SOFR Rate. With respect to the Term SOFR Rate, the Agent will have the right to make</w:t>
            </w:r>
          </w:p>
        </w:tc>
        <w:tc>
          <w:tcPr>
            <w:tcW w:w="5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Conforming Changes from time to time and, notwithstanding anything to the contrary herein or in any other Loan Document, any</w:t>
            </w:r>
          </w:p>
        </w:tc>
        <w:tc>
          <w:tcPr>
            <w:tcW w:w="5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amendments implementing such Conforming Changes will become effective without any further action or consent of any other party to</w:t>
            </w:r>
          </w:p>
        </w:tc>
        <w:tc>
          <w:tcPr>
            <w:tcW w:w="5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this Agreement or any Other Documents; provided that, with respect to any such amendment effected, the Agent shall provide notice to</w:t>
            </w:r>
          </w:p>
        </w:tc>
        <w:tc>
          <w:tcPr>
            <w:tcW w:w="56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the Borrowers and the Lenders of each such amendment implementing such Conforming Changes reasonably promptly after such</w:t>
            </w:r>
          </w:p>
        </w:tc>
        <w:tc>
          <w:tcPr>
            <w:tcW w:w="560" w:type="dxa"/>
            <w:vAlign w:val="bottom"/>
          </w:tcPr>
          <w:p>
            <w:pPr>
              <w:spacing w:after="0"/>
              <w:rPr>
                <w:sz w:val="15"/>
                <w:szCs w:val="15"/>
                <w:color w:val="auto"/>
              </w:rPr>
            </w:pPr>
          </w:p>
        </w:tc>
      </w:tr>
      <w:tr>
        <w:trPr>
          <w:trHeight w:val="191"/>
        </w:trPr>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amendment becomes effective.</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354"/>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II.</w:t>
            </w:r>
          </w:p>
        </w:tc>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ADVANCES, 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340"/>
        </w:trPr>
        <w:tc>
          <w:tcPr>
            <w:tcW w:w="28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2.1.</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Revolving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2.2.</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Procedures for Requesting Revolving Advances; Procedures for Selection of Applicable Interest Rates for All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2.3.</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Equipment Loans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2.4.</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Swing Loans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2.5.</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Disbursement of Advance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2.6.</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Making and Settlement of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2.7.</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Maximum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2.8.</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Manner and Repayment of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2.9.</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Repayment of Excess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2.10.</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Statement of Account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2.11.</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Letters of Credit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2.12.</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Issuance of Letters of Credit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2.13.</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Requirements For Issuance of Letters of Credit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2.14.</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Disbursements, Reimbursement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77"/>
        </w:trPr>
        <w:tc>
          <w:tcPr>
            <w:tcW w:w="2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2.15.</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Repayment of Participation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91"/>
        </w:trPr>
        <w:tc>
          <w:tcPr>
            <w:tcW w:w="28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2.16.</w:t>
            </w:r>
          </w:p>
        </w:tc>
        <w:tc>
          <w:tcPr>
            <w:tcW w:w="8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Documentation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293370</wp:posOffset>
            </wp:positionV>
            <wp:extent cx="631444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880"/>
          </w:cols>
          <w:pgMar w:left="1040" w:top="114" w:right="97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2.17.</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Determination to Honor Drawing Request</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2.18.</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Nature of Participation and Reimbursement Obligations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2.19.</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Liability for Acts and Omissions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2.20.</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Mandatory Prepayments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2.21.</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Use of Proceeds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2.22.</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Defaulting Lender</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2.23.</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 of Obligations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91"/>
        </w:trPr>
        <w:tc>
          <w:tcPr>
            <w:tcW w:w="30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2.24.</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Increase in Maximum Revolving Advance Amount.</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354"/>
        </w:trPr>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III.</w:t>
            </w: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INTEREST AND FEES.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340"/>
        </w:trPr>
        <w:tc>
          <w:tcPr>
            <w:tcW w:w="3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3.1.</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3.2.</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Letter of Credit Fees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3.3.</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Closing Fee and Facility Fee</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3.4.</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Collateral Monitoring Fee and Collateral Evaluation Fee</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3.5.</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Computation of Interest and Fees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3.6.</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Maximum Charges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3.7.</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Increased Costs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3.8.</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Basis For Determining Interest Rate Inadequate or Unfair</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3.9.</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Adequacy</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3.10.</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Taxes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3.11.</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Replacement of Lenders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1"/>
        </w:trPr>
        <w:tc>
          <w:tcPr>
            <w:tcW w:w="30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3.12.</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Successor Term SOFR Rate Index.</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354"/>
        </w:trPr>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IV.</w:t>
            </w: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COLLATERAL: GENERAL TERMS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340"/>
        </w:trPr>
        <w:tc>
          <w:tcPr>
            <w:tcW w:w="3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4.1.</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Security Interest in the Collateral</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4.2.</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Perfection of Security Interest</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4.3.</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Preservation of Collateral</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4.4.</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Ownership and Location of Collateral</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4.5.</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Defense of Agent’s and Lenders’ Interests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4.6.</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Inspection of Premises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4.7.</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Reserved</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4.8.</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Receivables; Deposit Accounts and Securities Accounts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4.9.</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Inventory</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4.10.</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Maintenance of Equipment</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4.11.</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Exculpation of Liability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91"/>
        </w:trPr>
        <w:tc>
          <w:tcPr>
            <w:tcW w:w="30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4.12.</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Financing Statements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354"/>
        </w:trPr>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V.</w:t>
            </w: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REPRESENTATIONS AND WARRANTIES.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340"/>
        </w:trPr>
        <w:tc>
          <w:tcPr>
            <w:tcW w:w="30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5.1.</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Authority</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5.2.</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Formation and Qualification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5.3.</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Survival of Representations and Warranties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5.4.</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Tax Returns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5.5.</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Financial Statements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77"/>
        </w:trPr>
        <w:tc>
          <w:tcPr>
            <w:tcW w:w="3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5.6.</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Entity Names</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91"/>
        </w:trPr>
        <w:tc>
          <w:tcPr>
            <w:tcW w:w="30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5.7.</w:t>
            </w:r>
          </w:p>
        </w:tc>
        <w:tc>
          <w:tcPr>
            <w:tcW w:w="62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O.S.H.A. Environmental Compliance; Flood Insurance</w:t>
            </w:r>
          </w:p>
        </w:tc>
        <w:tc>
          <w:tcPr>
            <w:tcW w:w="2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293370</wp:posOffset>
            </wp:positionV>
            <wp:extent cx="631444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880"/>
          </w:cols>
          <w:pgMar w:left="1040" w:top="324" w:right="97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5.8.</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Solvency; No Litigation, Violation, Indebtedness or Default; ERISA Compliance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5.9.</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Patents, Trademarks, Copyrights and Licenses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5.10.</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Licenses and Permits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5.11.</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Default of Indebtedness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5.12.</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 Default</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5.13.</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 Burdensome Restrictions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5.14.</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 Labor Disputes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5.15.</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Margin Regulations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5.16.</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Investment Company Act</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5.17.</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Disclosure</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5.18.</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Delivery of Royalty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5.19.</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5.20.</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Swaps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5.21.</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Business and Property of Borrowers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5.22.</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Ineligible Securities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5.23.</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Federal Securities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5.24.</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Equity Interests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5.25.</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Commercial Tort Claims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5.26.</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Letter of Credit Rights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91"/>
        </w:trPr>
        <w:tc>
          <w:tcPr>
            <w:tcW w:w="34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5.27.</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Material Contracts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354"/>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VI.</w:t>
            </w:r>
          </w:p>
        </w:tc>
        <w:tc>
          <w:tcPr>
            <w:tcW w:w="74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AFFIRMATIVE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340"/>
        </w:trPr>
        <w:tc>
          <w:tcPr>
            <w:tcW w:w="3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6.1.</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Compliance with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6.2.</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Conduct of Business and Maintenance of Existence and Assets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6.3.</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Books and Records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6.4.</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 of Taxes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6.5.</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Fixed Charge Coverage Ratio</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6.6.</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6.7.</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 of Indebtedness and Leasehold Obligations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6.8.</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Environmental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6.9.</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Standards of Financial Statements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6.10.</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Federal Securities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6.11.</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Execution of Supplemental Instruments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6.12.</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Reserved</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6.13.</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Government Receivables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6.14.</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Keepwell</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91"/>
        </w:trPr>
        <w:tc>
          <w:tcPr>
            <w:tcW w:w="34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6.15.</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Post-Closing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354"/>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VII.</w:t>
            </w:r>
          </w:p>
        </w:tc>
        <w:tc>
          <w:tcPr>
            <w:tcW w:w="74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NEGATIVE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340"/>
        </w:trPr>
        <w:tc>
          <w:tcPr>
            <w:tcW w:w="34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7.1.</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Merger, Consolidation, Acquisition and Sale of Assets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7.2.</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Creation of Liens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7.3.</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Guarantees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77"/>
        </w:trPr>
        <w:tc>
          <w:tcPr>
            <w:tcW w:w="3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7.4.</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Investments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91"/>
        </w:trPr>
        <w:tc>
          <w:tcPr>
            <w:tcW w:w="34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7.5.</w:t>
            </w:r>
          </w:p>
        </w:tc>
        <w:tc>
          <w:tcPr>
            <w:tcW w:w="68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2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bl>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293370</wp:posOffset>
            </wp:positionV>
            <wp:extent cx="631444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880"/>
          </w:cols>
          <w:pgMar w:left="1040" w:top="324" w:right="97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7.6.</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Expenditures. Upon the occurrence of any Springing Covenant Event in any fiscal year, contract for, purchase or make any</w:t>
            </w:r>
          </w:p>
        </w:tc>
        <w:tc>
          <w:tcPr>
            <w:tcW w:w="440" w:type="dxa"/>
            <w:vAlign w:val="bottom"/>
          </w:tcPr>
          <w:p>
            <w:pPr>
              <w:spacing w:after="0"/>
              <w:rPr>
                <w:sz w:val="15"/>
                <w:szCs w:val="15"/>
                <w:color w:val="auto"/>
              </w:rPr>
            </w:pPr>
          </w:p>
        </w:tc>
      </w:tr>
      <w:tr>
        <w:trPr>
          <w:trHeight w:val="177"/>
        </w:trPr>
        <w:tc>
          <w:tcPr>
            <w:tcW w:w="900" w:type="dxa"/>
            <w:vAlign w:val="bottom"/>
          </w:tcPr>
          <w:p>
            <w:pPr>
              <w:spacing w:after="0"/>
              <w:rPr>
                <w:sz w:val="15"/>
                <w:szCs w:val="15"/>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expenditure or commitments for Capital Expenditures, with respect to the fiscal year in which the Springing Covenant Event occurred, in</w:t>
            </w:r>
          </w:p>
        </w:tc>
        <w:tc>
          <w:tcPr>
            <w:tcW w:w="440" w:type="dxa"/>
            <w:vAlign w:val="bottom"/>
          </w:tcPr>
          <w:p>
            <w:pPr>
              <w:spacing w:after="0"/>
              <w:rPr>
                <w:sz w:val="15"/>
                <w:szCs w:val="15"/>
                <w:color w:val="auto"/>
              </w:rPr>
            </w:pPr>
          </w:p>
        </w:tc>
      </w:tr>
      <w:tr>
        <w:trPr>
          <w:trHeight w:val="177"/>
        </w:trPr>
        <w:tc>
          <w:tcPr>
            <w:tcW w:w="900" w:type="dxa"/>
            <w:vAlign w:val="bottom"/>
          </w:tcPr>
          <w:p>
            <w:pPr>
              <w:spacing w:after="0"/>
              <w:rPr>
                <w:sz w:val="15"/>
                <w:szCs w:val="15"/>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an aggregate amount for all Borrowers in excess of $7,500,000 (including the aggregate amount of Capital Expenditures Indebtedness).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7.7.</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Dividends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7.8.</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Indebtedness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7.9.</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Nature of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7.10.</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Transactions with Affiliates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7.11.</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Leases. Enter as lessee into any lease arrangement for real or personal property (unless capitalized and permitted under Section 7.6</w:t>
            </w:r>
          </w:p>
        </w:tc>
        <w:tc>
          <w:tcPr>
            <w:tcW w:w="440" w:type="dxa"/>
            <w:vAlign w:val="bottom"/>
          </w:tcPr>
          <w:p>
            <w:pPr>
              <w:spacing w:after="0"/>
              <w:rPr>
                <w:sz w:val="15"/>
                <w:szCs w:val="15"/>
                <w:color w:val="auto"/>
              </w:rPr>
            </w:pPr>
          </w:p>
        </w:tc>
      </w:tr>
      <w:tr>
        <w:trPr>
          <w:trHeight w:val="177"/>
        </w:trPr>
        <w:tc>
          <w:tcPr>
            <w:tcW w:w="900" w:type="dxa"/>
            <w:vAlign w:val="bottom"/>
          </w:tcPr>
          <w:p>
            <w:pPr>
              <w:spacing w:after="0"/>
              <w:rPr>
                <w:sz w:val="15"/>
                <w:szCs w:val="15"/>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hereof) if after giving effect thereto, aggregate annual rental payments for all leased property would exceed $12,600,000 in the aggregate</w:t>
            </w:r>
          </w:p>
        </w:tc>
        <w:tc>
          <w:tcPr>
            <w:tcW w:w="440" w:type="dxa"/>
            <w:vAlign w:val="bottom"/>
          </w:tcPr>
          <w:p>
            <w:pPr>
              <w:spacing w:after="0"/>
              <w:rPr>
                <w:sz w:val="15"/>
                <w:szCs w:val="15"/>
                <w:color w:val="auto"/>
              </w:rPr>
            </w:pPr>
          </w:p>
        </w:tc>
      </w:tr>
      <w:tr>
        <w:trPr>
          <w:trHeight w:val="177"/>
        </w:trPr>
        <w:tc>
          <w:tcPr>
            <w:tcW w:w="900" w:type="dxa"/>
            <w:vAlign w:val="bottom"/>
          </w:tcPr>
          <w:p>
            <w:pPr>
              <w:spacing w:after="0"/>
              <w:rPr>
                <w:sz w:val="15"/>
                <w:szCs w:val="15"/>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 all Borrowers in any fiscal year.</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7.12.</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Subsidiaries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7.13.</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Fiscal Year and Accounting Changes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7.14.</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Pledge of Credit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7.15.</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Amendment of Organizational Documents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7.16.</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Compliance with ERISA</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7.17.</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Prepayment of Indebtedness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7.18.</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Foreign Subsidiary Subcontractor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7.19.</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Agreements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7.20.</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Membership / Partnership Interests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91"/>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7.21.</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Affiliate Payables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354"/>
        </w:trPr>
        <w:tc>
          <w:tcPr>
            <w:tcW w:w="9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VIII.  CONDITIONS PRECEDENT.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340"/>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8.1.</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Conditions to Initial Advances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91"/>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8.2.</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Conditions to Each Advance</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354"/>
        </w:trPr>
        <w:tc>
          <w:tcPr>
            <w:tcW w:w="9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IX.   INFORMATION AS TO BORROWERS.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340"/>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9.1.</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Disclosure of Material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9.2.</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9.3.</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Environmental Reports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9.4.</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Litigation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9.5.</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Material Occurrences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9.6.</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Government Receivables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9.7.</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Annual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9.8.</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Quarterly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9.9.</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Monthly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9.10.</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Reports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9.11.</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Additional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9.12.</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Projected Operating Budget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9.13.</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Variances From Operating Budget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77"/>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9.14.</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Notice of Suits, Adverse Events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91"/>
        </w:trPr>
        <w:tc>
          <w:tcPr>
            <w:tcW w:w="9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9.15.</w:t>
            </w:r>
          </w:p>
        </w:tc>
        <w:tc>
          <w:tcPr>
            <w:tcW w:w="8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ERISA Notices and Requests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bl>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293370</wp:posOffset>
            </wp:positionV>
            <wp:extent cx="631444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880"/>
          </w:cols>
          <w:pgMar w:left="1040" w:top="324" w:right="97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9.16.</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Additional Documents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9.17.</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Updates to Certain Schedules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9.18.</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Financial Disclosure</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9.19.</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Customer Documents. Notify Agent if any Borrower is or becomes party to any agreement with a Customer pursuant to which such</w:t>
            </w:r>
          </w:p>
        </w:tc>
        <w:tc>
          <w:tcPr>
            <w:tcW w:w="46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Customer may exercise any rights of setoff against such Borrower, whether under such agreement or pursuant to applicable law, and</w:t>
            </w:r>
          </w:p>
        </w:tc>
        <w:tc>
          <w:tcPr>
            <w:tcW w:w="460" w:type="dxa"/>
            <w:vAlign w:val="bottom"/>
          </w:tcPr>
          <w:p>
            <w:pPr>
              <w:spacing w:after="0"/>
              <w:rPr>
                <w:sz w:val="15"/>
                <w:szCs w:val="15"/>
                <w:color w:val="auto"/>
              </w:rPr>
            </w:pPr>
          </w:p>
        </w:tc>
      </w:tr>
      <w:tr>
        <w:trPr>
          <w:trHeight w:val="191"/>
        </w:trPr>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provide to Agent copies of all documents and instruments evidencing any such agreements.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354"/>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X.</w:t>
            </w:r>
          </w:p>
        </w:tc>
        <w:tc>
          <w:tcPr>
            <w:tcW w:w="9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EVENTS OF DEFAULT.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340"/>
        </w:trPr>
        <w:tc>
          <w:tcPr>
            <w:tcW w:w="260" w:type="dxa"/>
            <w:vAlign w:val="bottom"/>
          </w:tcPr>
          <w:p>
            <w:pPr>
              <w:spacing w:after="0"/>
              <w:rPr>
                <w:sz w:val="24"/>
                <w:szCs w:val="2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Nonpayment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10.2.</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Breach of Representation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10.3.</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Financial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10.4.</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Judicial Actions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10.5.</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Noncompliance. Except as otherwise provided for in Sections 10.1, 10.3, 10.5(ii), and 10.18 (i) failure or neglect of any Borrower to</w:t>
            </w:r>
          </w:p>
        </w:tc>
        <w:tc>
          <w:tcPr>
            <w:tcW w:w="46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perform, keep or observe any term, provision, condition, covenant contained in Sections 2.22, 4.3, 4.6, 6.2(a), 6.2(b), 6.5, 6.8, 9.1, 9.15 or</w:t>
            </w:r>
          </w:p>
        </w:tc>
        <w:tc>
          <w:tcPr>
            <w:tcW w:w="46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Article VII, or (ii) failure or neglect of any Borrower or any Guarantor to perform, keep or observe any other term, provision, condition or</w:t>
            </w:r>
          </w:p>
        </w:tc>
        <w:tc>
          <w:tcPr>
            <w:tcW w:w="46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covenant, contained herein or in any Other Document which is not cured within fifteen (15) days from the earlier of (a) knowledge of such</w:t>
            </w:r>
          </w:p>
        </w:tc>
        <w:tc>
          <w:tcPr>
            <w:tcW w:w="46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failure by a Borrower or (b) the date on which Borrowers receive written notice of such failure from the Agent;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10.6.</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Judgments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10.7.</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Bankruptcy</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10.8.</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Reserved</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10.9.</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Lien Priority</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10.10.</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Affiliate Cross Default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10.11.</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Cross Default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10.12.</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Breach of Guaranty or Pledge Agreement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10.13.</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 of Control</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10.14.</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Invalidity</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10.15.</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Seizures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10.16.</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10.17.</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Pension Plans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91"/>
        </w:trPr>
        <w:tc>
          <w:tcPr>
            <w:tcW w:w="2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10.18.</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Anti-Terrorism Laws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354"/>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XI.</w:t>
            </w:r>
          </w:p>
        </w:tc>
        <w:tc>
          <w:tcPr>
            <w:tcW w:w="9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LENDERS’ RIGHTS AND REMEDIES AFTER DEFAULT.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340"/>
        </w:trPr>
        <w:tc>
          <w:tcPr>
            <w:tcW w:w="260" w:type="dxa"/>
            <w:vAlign w:val="bottom"/>
          </w:tcPr>
          <w:p>
            <w:pPr>
              <w:spacing w:after="0"/>
              <w:rPr>
                <w:sz w:val="24"/>
                <w:szCs w:val="2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11.1.</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Rights and Remedies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11.2.</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Agent’s Discretion</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11.3.</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Setoff</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177"/>
        </w:trPr>
        <w:tc>
          <w:tcPr>
            <w:tcW w:w="2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11.4.</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Rights and Remedies not Exclusive</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191"/>
        </w:trPr>
        <w:tc>
          <w:tcPr>
            <w:tcW w:w="2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11.5.</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Allocation of Payments After Event of Default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354"/>
        </w:trPr>
        <w:tc>
          <w:tcPr>
            <w:tcW w:w="94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XII. WAIVERS AND JUDICIAL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354"/>
        </w:trPr>
        <w:tc>
          <w:tcPr>
            <w:tcW w:w="260" w:type="dxa"/>
            <w:vAlign w:val="bottom"/>
          </w:tcPr>
          <w:p>
            <w:pPr>
              <w:spacing w:after="0"/>
              <w:rPr>
                <w:sz w:val="24"/>
                <w:szCs w:val="2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12.1.</w:t>
            </w:r>
          </w:p>
        </w:tc>
        <w:tc>
          <w:tcPr>
            <w:tcW w:w="8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Waiver of Notice</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293370</wp:posOffset>
            </wp:positionV>
            <wp:extent cx="631444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880"/>
          </w:cols>
          <w:pgMar w:left="1040" w:top="136" w:right="97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12.2.</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Delay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191"/>
        </w:trPr>
        <w:tc>
          <w:tcPr>
            <w:tcW w:w="48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12.3.</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Jury 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354"/>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XIII.</w:t>
            </w: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EFFECTIVE DATE AND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340"/>
        </w:trPr>
        <w:tc>
          <w:tcPr>
            <w:tcW w:w="4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13.1.</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Term</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191"/>
        </w:trPr>
        <w:tc>
          <w:tcPr>
            <w:tcW w:w="48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13.2.</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r>
      <w:tr>
        <w:trPr>
          <w:trHeight w:val="354"/>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XIV.</w:t>
            </w: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REGARDING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r>
      <w:tr>
        <w:trPr>
          <w:trHeight w:val="340"/>
        </w:trPr>
        <w:tc>
          <w:tcPr>
            <w:tcW w:w="4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14.1.</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Appointment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14.2.</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Nature of Duties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14.3.</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Lack of Reliance on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14.4.</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Resignation of Agent; Successor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14.5.</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Certain Rights of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14.6.</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Reliance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14.7.</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Notice of Default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14.8.</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14.9.</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Agent in its Individual Capacity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14.10.</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Delivery of Documents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14.11.</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Borrowers’ Undertaking to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14.12.</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 Reliance on Agent’s Customer Identification Program</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91"/>
        </w:trPr>
        <w:tc>
          <w:tcPr>
            <w:tcW w:w="48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14.13.</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354"/>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XV.</w:t>
            </w: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BORROWING AGENCY.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340"/>
        </w:trPr>
        <w:tc>
          <w:tcPr>
            <w:tcW w:w="4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15.1.</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Borrowing Agency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191"/>
        </w:trPr>
        <w:tc>
          <w:tcPr>
            <w:tcW w:w="48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15.2.</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Waiver of Subrogation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354"/>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XVI.</w:t>
            </w:r>
          </w:p>
        </w:tc>
        <w:tc>
          <w:tcPr>
            <w:tcW w:w="69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340"/>
        </w:trPr>
        <w:tc>
          <w:tcPr>
            <w:tcW w:w="4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16.2.</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Entire Understanding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16.3.</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Successors and Assigns; Participations; New Lenders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16.4.</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Application of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16.5.</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Indemnity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16.6.</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16.7.</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Survival</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16.8.</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16.9.</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16.10.</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Injunctive Relief</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16.11.</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Consequential Damages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16.12.</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16.13.</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Counterparts; Facsimile Signatures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16.14.</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Construction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16.15.</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Confidentiality; Sharing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16.16.</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Publicity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177"/>
        </w:trPr>
        <w:tc>
          <w:tcPr>
            <w:tcW w:w="48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16.17.</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Certifications From Banks and Participants; USA PATRIOT Act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191"/>
        </w:trPr>
        <w:tc>
          <w:tcPr>
            <w:tcW w:w="48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16.18.</w:t>
            </w:r>
          </w:p>
        </w:tc>
        <w:tc>
          <w:tcPr>
            <w:tcW w:w="6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Anti-Terrorism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293370</wp:posOffset>
            </wp:positionV>
            <wp:extent cx="631444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840"/>
          </w:cols>
          <w:pgMar w:left="1040" w:top="324" w:right="101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LIST OF EXHIBITS AND SCHEDULES</w:t>
            </w:r>
          </w:p>
        </w:tc>
        <w:tc>
          <w:tcPr>
            <w:tcW w:w="2960" w:type="dxa"/>
            <w:vAlign w:val="bottom"/>
          </w:tcPr>
          <w:p>
            <w:pPr>
              <w:spacing w:after="0"/>
              <w:rPr>
                <w:sz w:val="20"/>
                <w:szCs w:val="20"/>
                <w:color w:val="auto"/>
              </w:rPr>
            </w:pPr>
          </w:p>
        </w:tc>
      </w:tr>
      <w:tr>
        <w:trPr>
          <w:trHeight w:val="333"/>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55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89"/>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1.2</w:t>
            </w: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 Base Certificate</w:t>
            </w:r>
          </w:p>
        </w:tc>
        <w:tc>
          <w:tcPr>
            <w:tcW w:w="2960" w:type="dxa"/>
            <w:vAlign w:val="bottom"/>
          </w:tcPr>
          <w:p>
            <w:pPr>
              <w:spacing w:after="0"/>
              <w:rPr>
                <w:sz w:val="24"/>
                <w:szCs w:val="24"/>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Exhibit 1.2(a)</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Compliance Certificate</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Exhibit 2.1(a)</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Revolving Credit Note</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Exhibit 2.4(a)</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Swing Loan Note</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Exhibit 5.5(b)</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Financial Projections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Exhibit 8.1(d)</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Financial Condition Certificate</w:t>
            </w:r>
          </w:p>
        </w:tc>
        <w:tc>
          <w:tcPr>
            <w:tcW w:w="2960" w:type="dxa"/>
            <w:vAlign w:val="bottom"/>
          </w:tcPr>
          <w:p>
            <w:pPr>
              <w:spacing w:after="0"/>
              <w:rPr>
                <w:sz w:val="17"/>
                <w:szCs w:val="17"/>
                <w:color w:val="auto"/>
              </w:rPr>
            </w:pPr>
          </w:p>
        </w:tc>
      </w:tr>
      <w:tr>
        <w:trPr>
          <w:trHeight w:val="232"/>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16.3</w:t>
            </w: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 Transfer Supplement</w:t>
            </w:r>
          </w:p>
        </w:tc>
        <w:tc>
          <w:tcPr>
            <w:tcW w:w="2960" w:type="dxa"/>
            <w:vAlign w:val="bottom"/>
          </w:tcPr>
          <w:p>
            <w:pPr>
              <w:spacing w:after="0"/>
              <w:rPr>
                <w:sz w:val="20"/>
                <w:szCs w:val="20"/>
                <w:color w:val="auto"/>
              </w:rPr>
            </w:pPr>
          </w:p>
        </w:tc>
      </w:tr>
      <w:tr>
        <w:trPr>
          <w:trHeight w:val="355"/>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55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89"/>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1.2</w:t>
            </w: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Permitted Encumbrances</w:t>
            </w:r>
          </w:p>
        </w:tc>
        <w:tc>
          <w:tcPr>
            <w:tcW w:w="2960" w:type="dxa"/>
            <w:vAlign w:val="bottom"/>
          </w:tcPr>
          <w:p>
            <w:pPr>
              <w:spacing w:after="0"/>
              <w:rPr>
                <w:sz w:val="24"/>
                <w:szCs w:val="24"/>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4.4</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Equipment and Inventory Locations; Place of Business, Chief Executive</w:t>
            </w:r>
          </w:p>
        </w:tc>
        <w:tc>
          <w:tcPr>
            <w:tcW w:w="2960" w:type="dxa"/>
            <w:vAlign w:val="bottom"/>
          </w:tcPr>
          <w:p>
            <w:pPr>
              <w:ind w:left="240"/>
              <w:spacing w:after="0" w:line="199" w:lineRule="exact"/>
              <w:rPr>
                <w:sz w:val="20"/>
                <w:szCs w:val="20"/>
                <w:color w:val="auto"/>
              </w:rPr>
            </w:pPr>
            <w:r>
              <w:rPr>
                <w:rFonts w:ascii="Times New Roman" w:cs="Times New Roman" w:eastAsia="Times New Roman" w:hAnsi="Times New Roman"/>
                <w:sz w:val="18"/>
                <w:szCs w:val="18"/>
                <w:color w:val="auto"/>
              </w:rPr>
              <w:t>Office, Real Property</w:t>
            </w: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4.8(j)</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Deposit and Investment Accounts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5.1</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Consents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5.2(a)</w:t>
            </w:r>
          </w:p>
        </w:tc>
        <w:tc>
          <w:tcPr>
            <w:tcW w:w="552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States of Qualification and Good Standing</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5.2(b)</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Subsidiaries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5.4</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Federal Tax Identification Number</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5.6</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Prior Names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5.7</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Environmental</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5.8(b)(i)</w:t>
            </w:r>
          </w:p>
        </w:tc>
        <w:tc>
          <w:tcPr>
            <w:tcW w:w="552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Litigation</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5.8(b)(ii)</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Indebtedness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5.8(d)</w:t>
            </w:r>
          </w:p>
        </w:tc>
        <w:tc>
          <w:tcPr>
            <w:tcW w:w="5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Plans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5.9</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Intellectual Property, Source Code Escrow Agreements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5.10</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Licenses and Permits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5.14</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Labor Disputes</w:t>
            </w:r>
          </w:p>
        </w:tc>
        <w:tc>
          <w:tcPr>
            <w:tcW w:w="2960" w:type="dxa"/>
            <w:vAlign w:val="bottom"/>
          </w:tcPr>
          <w:p>
            <w:pPr>
              <w:spacing w:after="0"/>
              <w:rPr>
                <w:sz w:val="17"/>
                <w:szCs w:val="17"/>
                <w:color w:val="auto"/>
              </w:rPr>
            </w:pPr>
          </w:p>
        </w:tc>
      </w:tr>
      <w:tr>
        <w:trPr>
          <w:trHeight w:val="199"/>
        </w:trPr>
        <w:tc>
          <w:tcPr>
            <w:tcW w:w="14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Schedule 5.24</w:t>
            </w:r>
          </w:p>
        </w:tc>
        <w:tc>
          <w:tcPr>
            <w:tcW w:w="5520" w:type="dxa"/>
            <w:vAlign w:val="bottom"/>
          </w:tcPr>
          <w:p>
            <w:pPr>
              <w:ind w:left="160"/>
              <w:spacing w:after="0" w:line="199" w:lineRule="exact"/>
              <w:rPr>
                <w:sz w:val="20"/>
                <w:szCs w:val="20"/>
                <w:color w:val="auto"/>
              </w:rPr>
            </w:pPr>
            <w:r>
              <w:rPr>
                <w:rFonts w:ascii="Times New Roman" w:cs="Times New Roman" w:eastAsia="Times New Roman" w:hAnsi="Times New Roman"/>
                <w:sz w:val="18"/>
                <w:szCs w:val="18"/>
                <w:color w:val="auto"/>
              </w:rPr>
              <w:t>Equity Interests</w:t>
            </w:r>
          </w:p>
        </w:tc>
        <w:tc>
          <w:tcPr>
            <w:tcW w:w="2960" w:type="dxa"/>
            <w:vAlign w:val="bottom"/>
          </w:tcPr>
          <w:p>
            <w:pPr>
              <w:spacing w:after="0"/>
              <w:rPr>
                <w:sz w:val="17"/>
                <w:szCs w:val="17"/>
                <w:color w:val="auto"/>
              </w:rPr>
            </w:pPr>
          </w:p>
        </w:tc>
      </w:tr>
      <w:tr>
        <w:trPr>
          <w:trHeight w:val="232"/>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5.27</w:t>
            </w: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 Contracts</w:t>
            </w:r>
          </w:p>
        </w:tc>
        <w:tc>
          <w:tcPr>
            <w:tcW w:w="2960" w:type="dxa"/>
            <w:vAlign w:val="bottom"/>
          </w:tcPr>
          <w:p>
            <w:pPr>
              <w:spacing w:after="0"/>
              <w:rPr>
                <w:sz w:val="20"/>
                <w:szCs w:val="20"/>
                <w:color w:val="auto"/>
              </w:rPr>
            </w:pPr>
          </w:p>
        </w:tc>
      </w:tr>
      <w:tr>
        <w:trPr>
          <w:trHeight w:val="720"/>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2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vii</w:t>
            </w:r>
          </w:p>
        </w:tc>
        <w:tc>
          <w:tcPr>
            <w:tcW w:w="2960" w:type="dxa"/>
            <w:vAlign w:val="bottom"/>
          </w:tcPr>
          <w:p>
            <w:pPr>
              <w:spacing w:after="0"/>
              <w:rPr>
                <w:sz w:val="24"/>
                <w:szCs w:val="24"/>
                <w:color w:val="auto"/>
              </w:rPr>
            </w:pPr>
          </w:p>
        </w:tc>
      </w:tr>
      <w:tr>
        <w:trPr>
          <w:trHeight w:val="456"/>
        </w:trPr>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316" w:right="979" w:bottom="1440" w:gutter="0" w:footer="0" w:header="0"/>
        </w:sectPr>
      </w:pPr>
    </w:p>
    <w:bookmarkStart w:id="226" w:name="page227"/>
    <w:bookmarkEnd w:id="226"/>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REVOLVING CREDIT</w:t>
      </w:r>
    </w:p>
    <w:p>
      <w:pPr>
        <w:spacing w:after="0" w:line="17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6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SECURITY AGREEMENT</w:t>
      </w:r>
    </w:p>
    <w:p>
      <w:pPr>
        <w:spacing w:after="0" w:line="169" w:lineRule="exact"/>
        <w:rPr>
          <w:sz w:val="20"/>
          <w:szCs w:val="20"/>
          <w:color w:val="auto"/>
        </w:rPr>
      </w:pPr>
    </w:p>
    <w:p>
      <w:pPr>
        <w:jc w:val="both"/>
        <w:ind w:left="9" w:firstLine="531"/>
        <w:spacing w:after="0" w:line="238" w:lineRule="auto"/>
        <w:rPr>
          <w:sz w:val="20"/>
          <w:szCs w:val="20"/>
          <w:color w:val="auto"/>
        </w:rPr>
      </w:pPr>
      <w:r>
        <w:rPr>
          <w:rFonts w:ascii="Times New Roman" w:cs="Times New Roman" w:eastAsia="Times New Roman" w:hAnsi="Times New Roman"/>
          <w:sz w:val="18"/>
          <w:szCs w:val="18"/>
          <w:color w:val="auto"/>
        </w:rPr>
        <w:t xml:space="preserve">Revolving Credit and Security Agreement dated as of November 8, 2013 among </w:t>
      </w:r>
      <w:r>
        <w:rPr>
          <w:rFonts w:ascii="Times New Roman" w:cs="Times New Roman" w:eastAsia="Times New Roman" w:hAnsi="Times New Roman"/>
          <w:sz w:val="18"/>
          <w:szCs w:val="18"/>
          <w:b w:val="1"/>
          <w:bCs w:val="1"/>
          <w:color w:val="auto"/>
        </w:rPr>
        <w:t>TRG CUSTOMER SOLUTIONS, INC. D/B/A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IBEX GLOBAL SOLUTIONS</w:t>
      </w:r>
      <w:r>
        <w:rPr>
          <w:rFonts w:ascii="Times New Roman" w:cs="Times New Roman" w:eastAsia="Times New Roman" w:hAnsi="Times New Roman"/>
          <w:sz w:val="18"/>
          <w:szCs w:val="18"/>
          <w:color w:val="auto"/>
        </w:rPr>
        <w:t>, a corporation organized under the laws of the State of Delaware (“</w:t>
      </w:r>
      <w:r>
        <w:rPr>
          <w:rFonts w:ascii="Times New Roman" w:cs="Times New Roman" w:eastAsia="Times New Roman" w:hAnsi="Times New Roman"/>
          <w:sz w:val="18"/>
          <w:szCs w:val="18"/>
          <w:u w:val="single" w:color="auto"/>
          <w:color w:val="auto"/>
        </w:rPr>
        <w:t>IBEX</w:t>
      </w:r>
      <w:r>
        <w:rPr>
          <w:rFonts w:ascii="Times New Roman" w:cs="Times New Roman" w:eastAsia="Times New Roman" w:hAnsi="Times New Roman"/>
          <w:sz w:val="18"/>
          <w:szCs w:val="18"/>
          <w:color w:val="auto"/>
        </w:rPr>
        <w:t>” and together with each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joined hereto as a borrower from time to time,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financial institutions which are now or which hereafter become a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PNC BANK, NATIONAL ASSOCIATION (“</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as agent for Lenders (PNC,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9" w:firstLine="531"/>
        <w:spacing w:after="0" w:line="259" w:lineRule="auto"/>
        <w:rPr>
          <w:sz w:val="20"/>
          <w:szCs w:val="20"/>
          <w:color w:val="auto"/>
        </w:rPr>
      </w:pPr>
      <w:r>
        <w:rPr>
          <w:rFonts w:ascii="Times New Roman" w:cs="Times New Roman" w:eastAsia="Times New Roman" w:hAnsi="Times New Roman"/>
          <w:sz w:val="18"/>
          <w:szCs w:val="18"/>
          <w:color w:val="auto"/>
        </w:rPr>
        <w:t>IN CONSIDERATION of the mutual covenants and undertakings herein contained, Borrowers, Lenders and Agent hereby agree as follows:</w:t>
      </w:r>
    </w:p>
    <w:p>
      <w:pPr>
        <w:spacing w:after="0" w:line="128" w:lineRule="exact"/>
        <w:rPr>
          <w:sz w:val="20"/>
          <w:szCs w:val="20"/>
          <w:color w:val="auto"/>
        </w:rPr>
      </w:pPr>
    </w:p>
    <w:p>
      <w:pPr>
        <w:ind w:left="529" w:hanging="529"/>
        <w:spacing w:after="0"/>
        <w:tabs>
          <w:tab w:leader="none" w:pos="52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169" w:lineRule="exact"/>
        <w:rPr>
          <w:sz w:val="20"/>
          <w:szCs w:val="20"/>
          <w:color w:val="auto"/>
        </w:rPr>
      </w:pPr>
    </w:p>
    <w:p>
      <w:pPr>
        <w:jc w:val="both"/>
        <w:ind w:left="9" w:firstLine="531"/>
        <w:spacing w:after="0" w:line="251"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Accounting Terms</w:t>
      </w:r>
      <w:r>
        <w:rPr>
          <w:rFonts w:ascii="Times New Roman" w:cs="Times New Roman" w:eastAsia="Times New Roman" w:hAnsi="Times New Roman"/>
          <w:sz w:val="17"/>
          <w:szCs w:val="17"/>
          <w:color w:val="auto"/>
        </w:rPr>
        <w:t>. As used in this Agreement, the Other Documents or any certificate, report or other document made or delivered pursuant to this Agreement, accounting terms not defined in Section 1.2 or elsewhere in this Agreement and accounting terms partly defined in Section 1.2 to the extent not defined shall have the respective meanings given to them under IFRS; provided, however that, whenever such accounting terms are used for the purposes of determining compliance with financial covenants in this Agreement, such accounting terms shall be defined in accordance with IFRS as applied in preparation of the audited financial statements of Borrowers for the fiscal year ended June 30, 2013. Borrowers shall, in connection with delivery of any audited financial statements, provide a certified statement to Agent clearly identifying any material differences between IFRS and GAAP as they relate to such financial statements.</w:t>
      </w:r>
    </w:p>
    <w:p>
      <w:pPr>
        <w:spacing w:after="0" w:line="140"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General Terms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169" w:lineRule="exact"/>
        <w:rPr>
          <w:sz w:val="20"/>
          <w:szCs w:val="20"/>
          <w:color w:val="auto"/>
        </w:rPr>
      </w:pPr>
    </w:p>
    <w:p>
      <w:pPr>
        <w:jc w:val="both"/>
        <w:ind w:left="9"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2019 Settlement</w:t>
      </w:r>
      <w:r>
        <w:rPr>
          <w:rFonts w:ascii="Times New Roman" w:cs="Times New Roman" w:eastAsia="Times New Roman" w:hAnsi="Times New Roman"/>
          <w:sz w:val="18"/>
          <w:szCs w:val="18"/>
          <w:color w:val="auto"/>
        </w:rPr>
        <w:t>” shall mean that certain Memorandum of Understanding, and subsequent settlement documents entered into by Borrower related to the arbitration known as Andrews v. TRG Customer Solutions Inc. dated May 7, 2019.</w:t>
      </w:r>
    </w:p>
    <w:p>
      <w:pPr>
        <w:spacing w:after="0" w:line="126"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7 Degrees</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b w:val="1"/>
          <w:bCs w:val="1"/>
          <w:color w:val="auto"/>
        </w:rPr>
        <w:t>7 DEGREES LLC</w:t>
      </w:r>
      <w:r>
        <w:rPr>
          <w:rFonts w:ascii="Times New Roman" w:cs="Times New Roman" w:eastAsia="Times New Roman" w:hAnsi="Times New Roman"/>
          <w:sz w:val="18"/>
          <w:szCs w:val="18"/>
          <w:color w:val="auto"/>
        </w:rPr>
        <w:t>, a Delaware limited liability company.</w:t>
      </w:r>
    </w:p>
    <w:p>
      <w:pPr>
        <w:spacing w:after="0" w:line="193"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shall have the meaning set forth in Section 9.7 hereof.</w:t>
      </w:r>
    </w:p>
    <w:p>
      <w:pPr>
        <w:spacing w:after="0" w:line="169" w:lineRule="exact"/>
        <w:rPr>
          <w:sz w:val="20"/>
          <w:szCs w:val="20"/>
          <w:color w:val="auto"/>
        </w:rPr>
      </w:pPr>
    </w:p>
    <w:p>
      <w:pPr>
        <w:jc w:val="both"/>
        <w:ind w:left="9"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shall mean EBITDA, calculated without recognizing obligations under any right-of-use leases, notwithstanding the requirements of IFRS 16.</w:t>
      </w:r>
    </w:p>
    <w:p>
      <w:pPr>
        <w:spacing w:after="0" w:line="128"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Rates</w:t>
      </w:r>
      <w:r>
        <w:rPr>
          <w:rFonts w:ascii="Times New Roman" w:cs="Times New Roman" w:eastAsia="Times New Roman" w:hAnsi="Times New Roman"/>
          <w:sz w:val="18"/>
          <w:szCs w:val="18"/>
          <w:color w:val="auto"/>
        </w:rPr>
        <w:t>” shall have the meaning set forth in Section 2.1(a)(y)(ii)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866140</wp:posOffset>
            </wp:positionV>
            <wp:extent cx="631444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4" w:right="979" w:bottom="1440" w:gutter="0" w:footer="0" w:header="0"/>
        </w:sectPr>
      </w:pPr>
    </w:p>
    <w:bookmarkStart w:id="227" w:name="page228"/>
    <w:bookmarkEnd w:id="227"/>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Advances</w:t>
      </w:r>
      <w:r>
        <w:rPr>
          <w:rFonts w:ascii="Times New Roman" w:cs="Times New Roman" w:eastAsia="Times New Roman" w:hAnsi="Times New Roman"/>
          <w:sz w:val="18"/>
          <w:szCs w:val="18"/>
          <w:color w:val="auto"/>
        </w:rPr>
        <w:t>” shall mean and include the Revolving Advances, Letters of Credit and the Swing Loans.</w:t>
      </w:r>
    </w:p>
    <w:p>
      <w:pPr>
        <w:spacing w:after="0" w:line="168"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shall have the meaning set forth in Section 3.11 hereof.</w:t>
      </w:r>
    </w:p>
    <w:p>
      <w:pPr>
        <w:spacing w:after="0" w:line="169" w:lineRule="exact"/>
        <w:rPr>
          <w:sz w:val="20"/>
          <w:szCs w:val="20"/>
          <w:color w:val="auto"/>
        </w:rPr>
      </w:pPr>
    </w:p>
    <w:p>
      <w:pPr>
        <w:ind w:left="9" w:firstLine="531"/>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shall mean (a) any Person which, directly or indirectly, is in control of, is controlled by, or is under common control with such Person, or (b) any Person who is a director, manager, member, managing member, general partner or officer</w:t>
      </w:r>
    </w:p>
    <w:p>
      <w:pPr>
        <w:spacing w:after="0" w:line="1" w:lineRule="exact"/>
        <w:rPr>
          <w:sz w:val="20"/>
          <w:szCs w:val="20"/>
          <w:color w:val="auto"/>
        </w:rPr>
      </w:pPr>
    </w:p>
    <w:p>
      <w:pPr>
        <w:jc w:val="both"/>
        <w:ind w:left="9" w:hanging="9"/>
        <w:spacing w:after="0" w:line="251" w:lineRule="auto"/>
        <w:tabs>
          <w:tab w:leader="none" w:pos="22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such Person, (ii) of any Subsidiary of such Person or (iii) of any Person described in clause (a) above. For purposes of this definition, control of a Person shall mean the power, direct or indirect, (x) to vote 5% or more of the Equity Interests having ordinary voting power for the election of directors of such Person or other Persons performing similar functions for any such Person, or (y) to direct or cause the direction of the management and policies of such Person whether by ownership of Equity Interests, contract or otherwise.</w:t>
      </w:r>
    </w:p>
    <w:p>
      <w:pPr>
        <w:spacing w:after="0" w:line="136"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have the meaning set forth in the preamble to this Agreement and shall include its successors and assigns.</w:t>
      </w:r>
    </w:p>
    <w:p>
      <w:pPr>
        <w:spacing w:after="0" w:line="169" w:lineRule="exact"/>
        <w:rPr>
          <w:sz w:val="20"/>
          <w:szCs w:val="20"/>
          <w:color w:val="auto"/>
        </w:rPr>
      </w:pPr>
    </w:p>
    <w:p>
      <w:pPr>
        <w:jc w:val="both"/>
        <w:ind w:left="9"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this Revolving Credit and Security Agreement, as the same may be amended, restated, supplemented or otherwise modified from time to time.</w:t>
      </w:r>
    </w:p>
    <w:p>
      <w:pPr>
        <w:spacing w:after="0" w:line="128" w:lineRule="exact"/>
        <w:rPr>
          <w:sz w:val="20"/>
          <w:szCs w:val="20"/>
          <w:color w:val="auto"/>
        </w:rPr>
      </w:pPr>
    </w:p>
    <w:p>
      <w:pPr>
        <w:jc w:val="both"/>
        <w:ind w:left="9"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shall mean, for any day, a rate per annum equal to the highest of (a) the Base Rate in effect on such day, (b) the sum of the Overnight Bank Funding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half of one percent (0.5%), and (c) the sum of Daily Simple SOFR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percent (1.0%), so long as Daily Simple SOFR is offered, ascertainable and not unlawful; provided, however, if the Alternate Base Rate as determined above would be less than zero, then such rate shall be deemed to be zero. Any change in the Alternate Base Rate (or any component thereof) shall take effect at the opening of business on the day such change occurs.</w:t>
      </w:r>
    </w:p>
    <w:p>
      <w:pPr>
        <w:spacing w:after="0" w:line="146"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Source</w:t>
      </w:r>
      <w:r>
        <w:rPr>
          <w:rFonts w:ascii="Times New Roman" w:cs="Times New Roman" w:eastAsia="Times New Roman" w:hAnsi="Times New Roman"/>
          <w:sz w:val="18"/>
          <w:szCs w:val="18"/>
          <w:color w:val="auto"/>
        </w:rPr>
        <w:t>” shall have the meaning set forth in the definition of Overnight Bank Funding Rate.</w:t>
      </w:r>
    </w:p>
    <w:p>
      <w:pPr>
        <w:spacing w:after="0" w:line="169" w:lineRule="exact"/>
        <w:rPr>
          <w:sz w:val="20"/>
          <w:szCs w:val="20"/>
          <w:color w:val="auto"/>
        </w:rPr>
      </w:pPr>
    </w:p>
    <w:p>
      <w:pPr>
        <w:jc w:val="both"/>
        <w:ind w:left="9"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shall mean any Laws relating to terrorism, trade sanctions programs and embargoes, import/export licensing, money laundering or bribery, and any regulation, order, or directive promulgated, issued or enforced pursuant to such Laws, all as amended, supplemented or replaced from time to time.</w:t>
      </w:r>
    </w:p>
    <w:p>
      <w:pPr>
        <w:spacing w:after="0" w:line="140" w:lineRule="exact"/>
        <w:rPr>
          <w:sz w:val="20"/>
          <w:szCs w:val="20"/>
          <w:color w:val="auto"/>
        </w:rPr>
      </w:pPr>
    </w:p>
    <w:p>
      <w:pPr>
        <w:jc w:val="both"/>
        <w:ind w:left="9"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all laws, rules and regulations applicable to the Person, conduct, transaction, covenant, Other Document or contract in question, including all applicable common law and equitable principles, all provisions of all applicable state, federal and foreign constitutions, statutes, rules, regulations, treaties, directives and orders of any Governmental Body, and all orders, judgments and decrees of all courts and arbitrators.</w:t>
      </w:r>
    </w:p>
    <w:p>
      <w:pPr>
        <w:spacing w:after="0" w:line="145"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shall mean:</w:t>
      </w:r>
    </w:p>
    <w:p>
      <w:pPr>
        <w:spacing w:after="0" w:line="169" w:lineRule="exact"/>
        <w:rPr>
          <w:sz w:val="20"/>
          <w:szCs w:val="20"/>
          <w:color w:val="auto"/>
        </w:rPr>
      </w:pPr>
    </w:p>
    <w:p>
      <w:pPr>
        <w:ind w:left="9" w:right="20" w:firstLine="522"/>
        <w:spacing w:after="0" w:line="259" w:lineRule="auto"/>
        <w:tabs>
          <w:tab w:leader="none" w:pos="79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negative one half of one percent (-0.50%) for (i) Revolving Advances consisting of Domestic Rate Loans, and (ii) Swing Loans; 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28" w:name="page229"/>
    <w:bookmarkEnd w:id="228"/>
    <w:p>
      <w:pPr>
        <w:ind w:left="520"/>
        <w:spacing w:after="0"/>
        <w:rPr>
          <w:sz w:val="20"/>
          <w:szCs w:val="20"/>
          <w:color w:val="auto"/>
        </w:rPr>
      </w:pPr>
      <w:r>
        <w:rPr>
          <w:rFonts w:ascii="Times New Roman" w:cs="Times New Roman" w:eastAsia="Times New Roman" w:hAnsi="Times New Roman"/>
          <w:sz w:val="18"/>
          <w:szCs w:val="18"/>
          <w:color w:val="auto"/>
        </w:rPr>
        <w:t>(b) an amount equal to one and three-quarters of one percent (1.75%) for Revolving Advances consisting of Term SOFR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Notwithstanding the foregoing, the Applicable Margin for all Revolving Advances that are outstanding as LIBOR Rate Loans as of the Sixteenth Amendment Date, shall be the Applicable Margin specified above for Term SOFR Rate Loans at all times through and including the earlier of the expiration of the then current Interest Period with respect to each such Term SOFR Rate Loan or the prepayment in full of such Term SOFR Rate Loan (and which LIBOR Rate Loans shall not be continued as LIBOR Rate Loans upon expiration of such Interest Period and shall be converted to either Domestic Rate Loans or Term SOFR Rate Loans in accordance with this Agreement).</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 Date</w:t>
      </w:r>
      <w:r>
        <w:rPr>
          <w:rFonts w:ascii="Times New Roman" w:cs="Times New Roman" w:eastAsia="Times New Roman" w:hAnsi="Times New Roman"/>
          <w:sz w:val="18"/>
          <w:szCs w:val="18"/>
          <w:color w:val="auto"/>
        </w:rPr>
        <w:t>” shall have the meaning set forth in Section 2.8(b)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shall have the meaning set forth in Section 5.7(b) hereof.</w:t>
      </w:r>
    </w:p>
    <w:p>
      <w:pPr>
        <w:spacing w:after="0" w:line="169"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Communication</w:t>
      </w:r>
      <w:r>
        <w:rPr>
          <w:rFonts w:ascii="Times New Roman" w:cs="Times New Roman" w:eastAsia="Times New Roman" w:hAnsi="Times New Roman"/>
          <w:sz w:val="18"/>
          <w:szCs w:val="18"/>
          <w:color w:val="auto"/>
        </w:rPr>
        <w:t xml:space="preserve">” shall mean each notice, demand, communication, information, document and other material transmitted, posted or otherwise made or communicated by e-mail, E-Fax, the StuckyNet System©, or any other equivalent electronic service agreed to by Agent, whether owned, operated or hosted by Agent, any Lender, any of their Affiliates or any other Person, that any party is obligated to, or otherwise chooses to, provide to Agent pursuant to this Agreement or any Other Document, including any financial statement, financial and other report, notice, request, certificate and other information material;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Approved Electronic Communications shall not include any notice, demand, communication, information, document or other material that Agent specifically instructs a Person to deliver in physical form.</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AT&amp;T</w:t>
      </w:r>
      <w:r>
        <w:rPr>
          <w:rFonts w:ascii="Times New Roman" w:cs="Times New Roman" w:eastAsia="Times New Roman" w:hAnsi="Times New Roman"/>
          <w:sz w:val="18"/>
          <w:szCs w:val="18"/>
          <w:color w:val="auto"/>
        </w:rPr>
        <w:t>” shall mean AT&amp;T Services Inc. and any of its various subsidiaries and affiliates.</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AT&amp;T/Citibank Agreement</w:t>
      </w:r>
      <w:r>
        <w:rPr>
          <w:rFonts w:ascii="Times New Roman" w:cs="Times New Roman" w:eastAsia="Times New Roman" w:hAnsi="Times New Roman"/>
          <w:sz w:val="18"/>
          <w:szCs w:val="18"/>
          <w:color w:val="auto"/>
        </w:rPr>
        <w:t>” shall mean that certain Lien Release and Acknowledgment Agreement by and among Agent, IBEX, and Citibank.</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AT&amp;T Receivables</w:t>
      </w:r>
      <w:r>
        <w:rPr>
          <w:rFonts w:ascii="Times New Roman" w:cs="Times New Roman" w:eastAsia="Times New Roman" w:hAnsi="Times New Roman"/>
          <w:sz w:val="18"/>
          <w:szCs w:val="18"/>
          <w:color w:val="auto"/>
        </w:rPr>
        <w:t>” shall mean Receivables of any Borrower for which AT&amp;T is the Customer.</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Undrawn Availability</w:t>
      </w:r>
      <w:r>
        <w:rPr>
          <w:rFonts w:ascii="Times New Roman" w:cs="Times New Roman" w:eastAsia="Times New Roman" w:hAnsi="Times New Roman"/>
          <w:sz w:val="18"/>
          <w:szCs w:val="18"/>
          <w:color w:val="auto"/>
        </w:rPr>
        <w:t>” shall mean, for any date of determination, the quotient obtained by dividing (a) the sum of Undrawn Availability for each day during the 30-day period ending on the date immediately preceding such date of determination by (b) thirty (30).</w:t>
      </w:r>
    </w:p>
    <w:p>
      <w:pPr>
        <w:spacing w:after="0" w:line="140"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shall mean the base commercial lending rate of PNC as publicly announced to be in effect from time to time, such rate to be adjusted automatically, without notice, on the effective date of any change in such rate. This rate of interest is determined from time to time by PNC as a means of pricing some loans to its customers and is neither tied to any external rate of interest or index nor does it necessarily reflect the lowest rate of interest actually charged by PNC to any particular class or category of customers of PNC.</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shall have the meaning set forth in Section 3.12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shall have the meaning set forth in Section 2.6(e) hereof.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29" w:name="page230"/>
    <w:bookmarkEnd w:id="229"/>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Account Bank</w:t>
      </w:r>
      <w:r>
        <w:rPr>
          <w:rFonts w:ascii="Times New Roman" w:cs="Times New Roman" w:eastAsia="Times New Roman" w:hAnsi="Times New Roman"/>
          <w:sz w:val="18"/>
          <w:szCs w:val="18"/>
          <w:color w:val="auto"/>
        </w:rPr>
        <w:t>” shall have the meaning set forth in Section 4.8(h) hereof.</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Accounts</w:t>
      </w:r>
      <w:r>
        <w:rPr>
          <w:rFonts w:ascii="Times New Roman" w:cs="Times New Roman" w:eastAsia="Times New Roman" w:hAnsi="Times New Roman"/>
          <w:sz w:val="18"/>
          <w:szCs w:val="18"/>
          <w:color w:val="auto"/>
        </w:rPr>
        <w:t>” shall have the meaning set forth in Section 4.8(h) hereof.</w:t>
      </w:r>
    </w:p>
    <w:p>
      <w:pPr>
        <w:spacing w:after="0" w:line="169"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shall have the meaning set forth in the preamble to this Agreement and shall extend to all permitted successors and assigns of such Persons.</w:t>
      </w:r>
    </w:p>
    <w:p>
      <w:pPr>
        <w:spacing w:after="0" w:line="128"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 on a Consolidated Basis</w:t>
      </w:r>
      <w:r>
        <w:rPr>
          <w:rFonts w:ascii="Times New Roman" w:cs="Times New Roman" w:eastAsia="Times New Roman" w:hAnsi="Times New Roman"/>
          <w:sz w:val="18"/>
          <w:szCs w:val="18"/>
          <w:color w:val="auto"/>
        </w:rPr>
        <w:t>” shall mean the consolidation in accordance with IFRS of the accounts or other items of Borrowers and their respective Subsidiaries.</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 Account</w:t>
      </w:r>
      <w:r>
        <w:rPr>
          <w:rFonts w:ascii="Times New Roman" w:cs="Times New Roman" w:eastAsia="Times New Roman" w:hAnsi="Times New Roman"/>
          <w:sz w:val="18"/>
          <w:szCs w:val="18"/>
          <w:color w:val="auto"/>
        </w:rPr>
        <w:t>” shall have the meaning set forth in Section 2.10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Agent</w:t>
      </w:r>
      <w:r>
        <w:rPr>
          <w:rFonts w:ascii="Times New Roman" w:cs="Times New Roman" w:eastAsia="Times New Roman" w:hAnsi="Times New Roman"/>
          <w:sz w:val="18"/>
          <w:szCs w:val="18"/>
          <w:color w:val="auto"/>
        </w:rPr>
        <w:t>” shall mean IBEX.</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shall mean a certificate in substantially the form of Exhibit 1.2 hereto duly executed by the President, Chief Financial Officer or Controller of the Borrowing Agent and delivered to the Agent, appropriately completed, by which such officer shall certify to Agent the Formula Amount and calculation thereof as of the date of such certificate.</w:t>
      </w:r>
    </w:p>
    <w:p>
      <w:pPr>
        <w:spacing w:after="0" w:line="140"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Saturday or Sunday or a legal holiday on which commercial banks are authorized or required by law to be closed for business in East Brunswick, New Jersey; provided that when used in connection with an amount that bears interest at a rate based on SOFR or any direct or indirect calculation or determination of SOFR, the term “Business Day” means any such day that is also a U.S. Government Securities Business Day.</w:t>
      </w:r>
    </w:p>
    <w:p>
      <w:pPr>
        <w:spacing w:after="0" w:line="145"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shall mean expenditures made or liabilities incurred for the acquisition of any fixed assets or improvements (or of any replacements or substitutions thereof or additions thereto) which have a useful life of more than one year and which, in accordance with IFRS, would be classified as capital expenditures. Capital Expenditures shall include the total principal portion of Capitalized Lease Obligations.</w:t>
      </w:r>
    </w:p>
    <w:p>
      <w:pPr>
        <w:spacing w:after="0" w:line="145"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 Indebtedness</w:t>
      </w:r>
      <w:r>
        <w:rPr>
          <w:rFonts w:ascii="Times New Roman" w:cs="Times New Roman" w:eastAsia="Times New Roman" w:hAnsi="Times New Roman"/>
          <w:sz w:val="18"/>
          <w:szCs w:val="18"/>
          <w:color w:val="auto"/>
        </w:rPr>
        <w:t>” shall mean an amount not to exceed $7,500,000 during each fiscal year of Borrowers to finance Capital Expenditures.</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shall mean any Indebtedness of any Borrower represented by obligations under a lease that is required to be capitalized for financial reporting purposes in accordance with IFRS.</w:t>
      </w:r>
    </w:p>
    <w:p>
      <w:pPr>
        <w:spacing w:after="0" w:line="128"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Products and Services</w:t>
      </w:r>
      <w:r>
        <w:rPr>
          <w:rFonts w:ascii="Times New Roman" w:cs="Times New Roman" w:eastAsia="Times New Roman" w:hAnsi="Times New Roman"/>
          <w:sz w:val="18"/>
          <w:szCs w:val="18"/>
          <w:color w:val="auto"/>
        </w:rPr>
        <w:t>” shall mean agreements or other arrangements under which Agent or any Lender or any Affiliate of Agent or a Lender provides any of the following products or services to any Borrower: (a) credit cards; (b) credit card processing services; (c) debit cards and stored value cards; (d) commercial cards; (e) ACH transactions; and (f) cash management and treasury management services and products, including without limitation controlled disbursement accounts or services, lockboxes, automated clearinghouse transactions, overdrafts, interstate depository network services. The indebtedness, obligations and liabilities of any Borrower to the provider of any Cash Management Products and Services (including all obligations and liabilities owing to such provider in respect of any returned items deposited with such provider) (the “Cash Management Liabilities”) shall be “Obligations” hereunder, guaranteed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30" w:name="page231"/>
    <w:bookmarkEnd w:id="230"/>
    <w:p>
      <w:pPr>
        <w:jc w:val="both"/>
        <w:spacing w:after="0"/>
        <w:rPr>
          <w:sz w:val="20"/>
          <w:szCs w:val="20"/>
          <w:color w:val="auto"/>
        </w:rPr>
      </w:pPr>
      <w:r>
        <w:rPr>
          <w:rFonts w:ascii="Times New Roman" w:cs="Times New Roman" w:eastAsia="Times New Roman" w:hAnsi="Times New Roman"/>
          <w:sz w:val="18"/>
          <w:szCs w:val="18"/>
          <w:color w:val="auto"/>
        </w:rPr>
        <w:t xml:space="preserve">obligations under the Guaranty and secured obligations under any Guarantor Security Agreement, as applicable, and otherwise treated as Obligations for purposes of each of the Other Documents. The Liens securing the Cash Management Products and Services shall be </w:t>
      </w:r>
      <w:r>
        <w:rPr>
          <w:rFonts w:ascii="Times New Roman" w:cs="Times New Roman" w:eastAsia="Times New Roman" w:hAnsi="Times New Roman"/>
          <w:sz w:val="18"/>
          <w:szCs w:val="18"/>
          <w:u w:val="single" w:color="auto"/>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passu</w:t>
      </w:r>
      <w:r>
        <w:rPr>
          <w:rFonts w:ascii="Times New Roman" w:cs="Times New Roman" w:eastAsia="Times New Roman" w:hAnsi="Times New Roman"/>
          <w:sz w:val="18"/>
          <w:szCs w:val="18"/>
          <w:color w:val="auto"/>
        </w:rPr>
        <w:t xml:space="preserve"> with the Liens securing all other Obligations under this Agreement and the Other Documents, subject to the express provisions of Section 11.5.</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Liabilities</w:t>
      </w:r>
      <w:r>
        <w:rPr>
          <w:rFonts w:ascii="Times New Roman" w:cs="Times New Roman" w:eastAsia="Times New Roman" w:hAnsi="Times New Roman"/>
          <w:sz w:val="18"/>
          <w:szCs w:val="18"/>
          <w:color w:val="auto"/>
        </w:rPr>
        <w:t>” shall have the meaning provided in the definition of “Cash Management Products and Services.”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CEA</w:t>
      </w:r>
      <w:r>
        <w:rPr>
          <w:rFonts w:ascii="Times New Roman" w:cs="Times New Roman" w:eastAsia="Times New Roman" w:hAnsi="Times New Roman"/>
          <w:sz w:val="18"/>
          <w:szCs w:val="18"/>
          <w:color w:val="auto"/>
        </w:rPr>
        <w:t>” shall mean the Commodity Exchange Act (7 U.S.C.§1 et seq.), as amended from time to time, and any successor statute.</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shall mean the Commodity Futures Trading Commission.</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shall mean the Comprehensive Environmental Response, Compensation and Liability Act of 1980, as amended, 42 U.S.C. §§9601 et seq.</w:t>
      </w:r>
    </w:p>
    <w:p>
      <w:pPr>
        <w:spacing w:after="0" w:line="128" w:lineRule="exact"/>
        <w:rPr>
          <w:sz w:val="20"/>
          <w:szCs w:val="20"/>
          <w:color w:val="auto"/>
        </w:rPr>
      </w:pPr>
    </w:p>
    <w:p>
      <w:pPr>
        <w:jc w:val="both"/>
        <w:ind w:firstLine="53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xml:space="preserve">” shall mean the occurrence, after the Closing Date, of any of the following: (a) the adoption or taking effect of any Applicable Law; (b) any change in any Applicable Law or in the administration, implementation, interpretation or application thereof by any Governmental Body; or (c) the making or issuance of any request, rule, guideline or directive (whether or not having the force of law) by any Governmental Body;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44"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(a) the occurrence of any event (whether in one or more transactions) which results in Holdings failing to own ninety nine percent (99%) of the Equity Interests (on a fully diluted basis) of IBEX Philippines Inc., IBEX Global Solutions Nicaragua S.A., IBEX Global St. Lucia Limited or any other Subsidiary providing services that are material to any Borrower’s operations or business, (b) the occurrence of any event (whether in one or more transactions) which results in IBEX Global St. Lucia Limited failing to own one hundred percent (100%) of the Equity Interests (on a fully diluted basis) of IBEX Global Jamaica Limited or (c) the occurrence of any event (whether in one or more transactions) which results in Holdings failing to own one hundred percent (100%) of the Equity Interests (on a fully diluted basis) of any Borrower.</w:t>
      </w:r>
    </w:p>
    <w:p>
      <w:pPr>
        <w:spacing w:after="0" w:line="168"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mean all taxes, charges, fees, imposts, levies or other assessments, including all net income, gross income, gross receipts, sales, use, ad valorem, value added, transfer, franchise, profits, inventory, capital stock, license, withholding, payroll, employment, social security, unemployment, excise, severance, stamp, occupation and property taxes, custom duties,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31" w:name="page232"/>
    <w:bookmarkEnd w:id="231"/>
    <w:p>
      <w:pPr>
        <w:jc w:val="both"/>
        <w:spacing w:after="0" w:line="244" w:lineRule="auto"/>
        <w:rPr>
          <w:sz w:val="20"/>
          <w:szCs w:val="20"/>
          <w:color w:val="auto"/>
        </w:rPr>
      </w:pPr>
      <w:r>
        <w:rPr>
          <w:rFonts w:ascii="Times New Roman" w:cs="Times New Roman" w:eastAsia="Times New Roman" w:hAnsi="Times New Roman"/>
          <w:sz w:val="18"/>
          <w:szCs w:val="18"/>
          <w:color w:val="auto"/>
        </w:rPr>
        <w:t>fees, assessments, liens, claims and charges of any kind whatsoever, together with any interest and any penalties, additions to tax or additional amounts, imposed by any taxing or other authority, domestic or foreign (including the Pension Benefit Guaranty Corporation or any environmental agency or superfund), upon the Collateral, any Borrower or any of its Affiliates.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CIP Regulations</w:t>
      </w:r>
      <w:r>
        <w:rPr>
          <w:rFonts w:ascii="Times New Roman" w:cs="Times New Roman" w:eastAsia="Times New Roman" w:hAnsi="Times New Roman"/>
          <w:sz w:val="18"/>
          <w:szCs w:val="18"/>
          <w:color w:val="auto"/>
        </w:rPr>
        <w:t>” shall have the meaning set forth in Section 14.12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shall mean Citibank, N.A. and its branches and subsidiaries and affiliates.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mean the closing of the transactions described herein.</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November 8, 2013 or such other date as may be agreed to in writing by the parties hereto.</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the same may be amended or supplemented from time to time, and any successor statute of similar import, and the rules and regulations thereunder, as from time to time in effect.</w:t>
      </w:r>
    </w:p>
    <w:p>
      <w:pPr>
        <w:spacing w:after="0" w:line="128"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shall mean and include all right, title and interest of each Borrower in all of the following property and assets of such Borrower, in each case whether now existing or hereafter arising or created and whether now owned or hereafter acquired and wherever located:</w:t>
      </w:r>
    </w:p>
    <w:p>
      <w:pPr>
        <w:spacing w:after="0" w:line="140" w:lineRule="exact"/>
        <w:rPr>
          <w:sz w:val="20"/>
          <w:szCs w:val="20"/>
          <w:color w:val="auto"/>
        </w:rPr>
      </w:pPr>
    </w:p>
    <w:p>
      <w:pPr>
        <w:ind w:left="1580" w:hanging="527"/>
        <w:spacing w:after="0"/>
        <w:tabs>
          <w:tab w:leader="none" w:pos="15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Receivables and all supporting obligations relating thereto;</w:t>
      </w:r>
    </w:p>
    <w:p>
      <w:pPr>
        <w:spacing w:after="0" w:line="169"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and fixtures;</w:t>
      </w:r>
    </w:p>
    <w:p>
      <w:pPr>
        <w:spacing w:after="0" w:line="169"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(including all payment intangibles and all software) and all supporting obligations related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149" w:lineRule="exact"/>
        <w:rPr>
          <w:sz w:val="20"/>
          <w:szCs w:val="20"/>
          <w:color w:val="auto"/>
        </w:rPr>
      </w:pPr>
    </w:p>
    <w:p>
      <w:pPr>
        <w:ind w:left="1580" w:hanging="527"/>
        <w:spacing w:after="0"/>
        <w:tabs>
          <w:tab w:leader="none" w:pos="15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169"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Subsidiary Stock, securities, investment property, and financial assets;</w:t>
      </w:r>
    </w:p>
    <w:p>
      <w:pPr>
        <w:spacing w:after="0" w:line="169" w:lineRule="exact"/>
        <w:rPr>
          <w:rFonts w:ascii="Times New Roman" w:cs="Times New Roman" w:eastAsia="Times New Roman" w:hAnsi="Times New Roman"/>
          <w:sz w:val="18"/>
          <w:szCs w:val="18"/>
          <w:color w:val="auto"/>
        </w:rPr>
      </w:pPr>
    </w:p>
    <w:p>
      <w:pPr>
        <w:jc w:val="both"/>
        <w:ind w:firstLine="1053"/>
        <w:spacing w:after="0" w:line="237" w:lineRule="auto"/>
        <w:tabs>
          <w:tab w:leader="none" w:pos="15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 rights, rights of payment which have been earned under a contract rights, chattel paper (including electronic chattel paper and tangible chattel paper), commercial tort claims (whether now existing or hereafter arising); documents (including all warehouse receipts and bills of lading), deposit accounts, goods, instruments (including promissory notes), letters of credit (whether or not the respective letter of credit is evidenced by a writing) and letter-of-credit rights, cash, certificates of deposit, insurance proceeds (including hazard, flood and credit insurance), security agreements, eminent domain proceeds, condemnation proceeds, tort claim proceeds and all supporting obligations;</w:t>
      </w:r>
    </w:p>
    <w:p>
      <w:pPr>
        <w:spacing w:after="0" w:line="145"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ledger sheets, ledger cards, files, correspondence, records, books of account, business papers, computers, computer software (owned by any Borrower or in which it has an interest), computer programs, tapes, disks and documents, including all of such property relating to the property described in clauses (a) through and including (f) of this definition;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32" w:name="page233"/>
    <w:bookmarkEnd w:id="232"/>
    <w:p>
      <w:pPr>
        <w:jc w:val="both"/>
        <w:ind w:firstLine="1053"/>
        <w:spacing w:after="0" w:line="234" w:lineRule="auto"/>
        <w:tabs>
          <w:tab w:leader="none" w:pos="159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and products of the property described in clauses (a) through and including (g) of this definition, in whatever form. It is the intention of the parties that if Agent shall fail to have a perfected Lien in any particular property or assets of any Borrower for any reason whatsoever, but the provisions of this Agreement and/or of the Other Documents, together with all financing statements and other public filings relating to Liens filed or recorded by Agent against Borrowers, would be sufficient to create a perfected Lien in any property or assets that such Borrower may receive upon the sale, lease, license, exchange, transfer or disposition of such particular property or assets, then all such “proceeds” of such particular property or assets shall be included in the Collateral as original collateral that is the subject of a direct and original grant of a security interest as provided for herein and in the Other Documents (and not merely as proceeds (as defined in Article 9 of the Uniform Commercial Code) in which a security interest is created or arises solely pursuant to Section 9-315 of the Uniform Commercial Code).</w:t>
      </w:r>
    </w:p>
    <w:p>
      <w:pPr>
        <w:spacing w:after="0" w:line="152"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Notwithstanding the foregoing, the Lien of Agent shall not extend to and Collateral (or any asset or property comprising the Collateral) shall not include the Excluded Assets.</w:t>
      </w:r>
    </w:p>
    <w:p>
      <w:pPr>
        <w:spacing w:after="0" w:line="151"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Percentage</w:t>
      </w:r>
      <w:r>
        <w:rPr>
          <w:rFonts w:ascii="Times New Roman" w:cs="Times New Roman" w:eastAsia="Times New Roman" w:hAnsi="Times New Roman"/>
          <w:sz w:val="18"/>
          <w:szCs w:val="18"/>
          <w:color w:val="auto"/>
        </w:rPr>
        <w:t>” shall mean for any Lender party to this Agreement, the percentage set forth below such Lender’s name with respect to each type of Advance on the signature page hereof as same may be adjusted upon any assignment by a Lender pursuant to Section 16.3(c) or (d) hereof, and for any Lender that becomes a party to this Agreement pursuant to a Commitment Transfer Supplement or a Modified Commitment Transfer Supplement, the percentage set forth in Schedule 1 to such Commitment Transfer Supplement or Modified Commitment Transfer Supplement, as applicable.</w:t>
      </w:r>
    </w:p>
    <w:p>
      <w:pPr>
        <w:spacing w:after="0" w:line="168"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Transfer Supplement</w:t>
      </w:r>
      <w:r>
        <w:rPr>
          <w:rFonts w:ascii="Times New Roman" w:cs="Times New Roman" w:eastAsia="Times New Roman" w:hAnsi="Times New Roman"/>
          <w:sz w:val="18"/>
          <w:szCs w:val="18"/>
          <w:color w:val="auto"/>
        </w:rPr>
        <w:t>” shall mean a document in the form of Exhibit 16.3 hereto, properly completed and otherwise in form and substance satisfactory to Agent by which the Purchasing Lender purchases and assumes a portion of the obligation of Lenders to make Advances under this Agreement.</w:t>
      </w:r>
    </w:p>
    <w:p>
      <w:pPr>
        <w:spacing w:after="0" w:line="140"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shall mean a compliance certificate substantially in the form of Exhibit 1.2(a) hereto to be signed by the Chief Financial Officer or Controller of Borrowing Agent.</w:t>
      </w:r>
    </w:p>
    <w:p>
      <w:pPr>
        <w:spacing w:after="0" w:line="128"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shall mean, with respect to the Term SOFR Rate or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decides may be appropriate to reflect the adoption and implementation of the Term SOFR Rate or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the Term SOFR Rate or the Benchmark Replacement exists, in such other manner of administration as the Agent decides is reasonably necessary in connection with the administration of this Agreement and the Other Documents).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33" w:name="page234"/>
    <w:bookmarkEnd w:id="233"/>
    <w:p>
      <w:pPr>
        <w:jc w:val="both"/>
        <w:ind w:left="9"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shall mean all filings and all licenses, permits, consents, approvals, authorizations, qualifications and orders of Governmental Bodies and other third parties, domestic or foreign, necessary to carry on any Borrower’s business or necessary (including to avoid a conflict or breach under any agreement, instrument, other document, license, permit or other authorization) for the execution, delivery or performance of this Agreement or the Other Documents, including any Consents required under all applicable federal, state or other Applicable Law.</w:t>
      </w:r>
    </w:p>
    <w:p>
      <w:pPr>
        <w:spacing w:after="0" w:line="145" w:lineRule="exact"/>
        <w:rPr>
          <w:sz w:val="20"/>
          <w:szCs w:val="20"/>
          <w:color w:val="auto"/>
        </w:rPr>
      </w:pPr>
    </w:p>
    <w:p>
      <w:pPr>
        <w:jc w:val="both"/>
        <w:ind w:left="9"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Consigned Inventory</w:t>
      </w:r>
      <w:r>
        <w:rPr>
          <w:rFonts w:ascii="Times New Roman" w:cs="Times New Roman" w:eastAsia="Times New Roman" w:hAnsi="Times New Roman"/>
          <w:sz w:val="18"/>
          <w:szCs w:val="18"/>
          <w:color w:val="auto"/>
        </w:rPr>
        <w:t>” shall mean Inventory of any Borrower that is in the possession of another Person on a consignment, sale or return, or other basis that does not constitute a final sale and acceptance of such Inventory.</w:t>
      </w:r>
    </w:p>
    <w:p>
      <w:pPr>
        <w:spacing w:after="0" w:line="128"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Rate</w:t>
      </w:r>
      <w:r>
        <w:rPr>
          <w:rFonts w:ascii="Times New Roman" w:cs="Times New Roman" w:eastAsia="Times New Roman" w:hAnsi="Times New Roman"/>
          <w:sz w:val="18"/>
          <w:szCs w:val="18"/>
          <w:color w:val="auto"/>
        </w:rPr>
        <w:t>” shall have the meaning set forth in Section 3.1 hereof.</w:t>
      </w:r>
    </w:p>
    <w:p>
      <w:pPr>
        <w:spacing w:after="0" w:line="169" w:lineRule="exact"/>
        <w:rPr>
          <w:sz w:val="20"/>
          <w:szCs w:val="20"/>
          <w:color w:val="auto"/>
        </w:rPr>
      </w:pPr>
    </w:p>
    <w:p>
      <w:pPr>
        <w:jc w:val="both"/>
        <w:ind w:left="9" w:right="20"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w:t>
      </w:r>
      <w:r>
        <w:rPr>
          <w:rFonts w:ascii="Times New Roman" w:cs="Times New Roman" w:eastAsia="Times New Roman" w:hAnsi="Times New Roman"/>
          <w:sz w:val="18"/>
          <w:szCs w:val="18"/>
          <w:color w:val="auto"/>
        </w:rPr>
        <w:t>” shall mean, at any time, each Borrower and all members of a controlled group of corporations and all trades or businesses (whether or not incorporated) under common control and all other entities which, together with any Borrower, are treated as a single employer under Section 414 of the Code.</w:t>
      </w:r>
    </w:p>
    <w:p>
      <w:pPr>
        <w:spacing w:after="0" w:line="140"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 each Borrower, each of Borrower’s Subsidiaries, all Guarantors and all pledgors of Collateral and</w:t>
      </w:r>
    </w:p>
    <w:p>
      <w:pPr>
        <w:spacing w:after="0" w:line="12" w:lineRule="exact"/>
        <w:rPr>
          <w:sz w:val="20"/>
          <w:szCs w:val="20"/>
          <w:color w:val="auto"/>
        </w:rPr>
      </w:pPr>
    </w:p>
    <w:p>
      <w:pPr>
        <w:jc w:val="both"/>
        <w:ind w:left="9" w:hanging="9"/>
        <w:spacing w:after="0" w:line="244" w:lineRule="auto"/>
        <w:tabs>
          <w:tab w:leader="none" w:pos="26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w:t>
      </w:r>
    </w:p>
    <w:p>
      <w:pPr>
        <w:spacing w:after="0" w:line="1" w:lineRule="exact"/>
        <w:rPr>
          <w:rFonts w:ascii="Times New Roman" w:cs="Times New Roman" w:eastAsia="Times New Roman" w:hAnsi="Times New Roman"/>
          <w:sz w:val="17"/>
          <w:szCs w:val="17"/>
          <w:color w:val="auto"/>
        </w:rPr>
      </w:pPr>
    </w:p>
    <w:p>
      <w:pPr>
        <w:ind w:left="9" w:hanging="9"/>
        <w:spacing w:after="0" w:line="238" w:lineRule="auto"/>
        <w:tabs>
          <w:tab w:leader="none" w:pos="26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direct or cause the direction of the management and policies of such Person whether by ownership of equity interests, contract or otherwise.</w:t>
      </w:r>
    </w:p>
    <w:p>
      <w:pPr>
        <w:spacing w:after="0" w:line="145" w:lineRule="exact"/>
        <w:rPr>
          <w:sz w:val="20"/>
          <w:szCs w:val="20"/>
          <w:color w:val="auto"/>
        </w:rPr>
      </w:pPr>
    </w:p>
    <w:p>
      <w:pPr>
        <w:jc w:val="both"/>
        <w:ind w:left="9"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w:t>
      </w:r>
      <w:r>
        <w:rPr>
          <w:rFonts w:ascii="Times New Roman" w:cs="Times New Roman" w:eastAsia="Times New Roman" w:hAnsi="Times New Roman"/>
          <w:sz w:val="18"/>
          <w:szCs w:val="18"/>
          <w:color w:val="auto"/>
        </w:rPr>
        <w:t>r” shall mean and include the account debtor with respect to any Receivable and/or the prospective purchaser of goods, services or both with respect to any contract or contract right, and/or any party who enters into or proposes to enter into any contract or other arrangement with any Borrower, pursuant to which such Borrower is to deliver any personal property or perform any services.</w:t>
      </w:r>
    </w:p>
    <w:p>
      <w:pPr>
        <w:spacing w:after="0" w:line="140"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Customs</w:t>
      </w:r>
      <w:r>
        <w:rPr>
          <w:rFonts w:ascii="Times New Roman" w:cs="Times New Roman" w:eastAsia="Times New Roman" w:hAnsi="Times New Roman"/>
          <w:sz w:val="18"/>
          <w:szCs w:val="18"/>
          <w:color w:val="auto"/>
        </w:rPr>
        <w:t>” shall have the meaning set forth in Section 2.13(b) hereof.</w:t>
      </w:r>
    </w:p>
    <w:p>
      <w:pPr>
        <w:spacing w:after="0" w:line="169" w:lineRule="exact"/>
        <w:rPr>
          <w:sz w:val="20"/>
          <w:szCs w:val="20"/>
          <w:color w:val="auto"/>
        </w:rPr>
      </w:pPr>
    </w:p>
    <w:p>
      <w:pPr>
        <w:jc w:val="both"/>
        <w:ind w:left="9" w:firstLine="531"/>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the interest rate per annum determined by the Agent by dividing (the resulting quotient rounded upwards, at the Agent’s discretion, to the nearest 1/100th of 1%) (A) SOFR for the day (the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two (2) Business Days prior to (i) such SOFR Rate Day if such SOFR Rate Day is a Business Day or (ii) the Business Day immediately preceding such SOFR Rate Day if such SOFR Rate Day is not a Business Day, by (B) a number equal to 1.00 minus the SOFR Reserve Percentage.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w:t>
      </w:r>
    </w:p>
    <w:p>
      <w:pPr>
        <w:spacing w:after="0" w:line="200" w:lineRule="exact"/>
        <w:rPr>
          <w:sz w:val="20"/>
          <w:szCs w:val="20"/>
          <w:color w:val="auto"/>
        </w:rPr>
      </w:pPr>
    </w:p>
    <w:p>
      <w:pPr>
        <w:spacing w:after="0" w:line="3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34" w:name="page235"/>
    <w:bookmarkEnd w:id="234"/>
    <w:p>
      <w:pPr>
        <w:jc w:val="both"/>
        <w:ind w:left="9"/>
        <w:spacing w:after="0"/>
        <w:rPr>
          <w:sz w:val="20"/>
          <w:szCs w:val="20"/>
          <w:color w:val="auto"/>
        </w:rPr>
      </w:pPr>
      <w:r>
        <w:rPr>
          <w:rFonts w:ascii="Times New Roman" w:cs="Times New Roman" w:eastAsia="Times New Roman" w:hAnsi="Times New Roman"/>
          <w:sz w:val="18"/>
          <w:szCs w:val="18"/>
          <w:color w:val="auto"/>
        </w:rPr>
        <w:t>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Borrowers, effective on the date of any such change.</w:t>
      </w:r>
    </w:p>
    <w:p>
      <w:pPr>
        <w:spacing w:after="0" w:line="167" w:lineRule="exact"/>
        <w:rPr>
          <w:sz w:val="20"/>
          <w:szCs w:val="20"/>
          <w:color w:val="auto"/>
        </w:rPr>
      </w:pPr>
    </w:p>
    <w:p>
      <w:pPr>
        <w:jc w:val="both"/>
        <w:ind w:left="9"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Payments</w:t>
      </w:r>
      <w:r>
        <w:rPr>
          <w:rFonts w:ascii="Times New Roman" w:cs="Times New Roman" w:eastAsia="Times New Roman" w:hAnsi="Times New Roman"/>
          <w:sz w:val="18"/>
          <w:szCs w:val="18"/>
          <w:color w:val="auto"/>
        </w:rPr>
        <w:t>” shall mean for any period, in each case, all cash actually expended by any Borrower to make: (a) interest payments on any Advances hereunder, plus (b) payments on Capitalized Lease Obligations (for the avoidance of doubt, such obligations will include obligations under any right-of-use leases as defined under IFRS 16), plus (c) payments with respect to any other Indebtedness for borrowed money.</w:t>
      </w:r>
    </w:p>
    <w:p>
      <w:pPr>
        <w:spacing w:after="0" w:line="145" w:lineRule="exact"/>
        <w:rPr>
          <w:sz w:val="20"/>
          <w:szCs w:val="20"/>
          <w:color w:val="auto"/>
        </w:rPr>
      </w:pPr>
    </w:p>
    <w:p>
      <w:pPr>
        <w:jc w:val="both"/>
        <w:ind w:left="9" w:firstLine="5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mean an event, circumstance or condition which, with the giving of notice or passage of time or both, would constitute an Event of Default.</w:t>
      </w:r>
    </w:p>
    <w:p>
      <w:pPr>
        <w:spacing w:after="0" w:line="128"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shall have the meaning set forth in Section 3.1 hereof.</w:t>
      </w:r>
    </w:p>
    <w:p>
      <w:pPr>
        <w:spacing w:after="0" w:line="169" w:lineRule="exact"/>
        <w:rPr>
          <w:sz w:val="20"/>
          <w:szCs w:val="20"/>
          <w:color w:val="auto"/>
        </w:rPr>
      </w:pPr>
    </w:p>
    <w:p>
      <w:pPr>
        <w:jc w:val="both"/>
        <w:ind w:left="9" w:firstLine="531"/>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shall mean any Lender that: (a) has failed, within two (2) Business Days of the date required to be funded or paid, to (i) fund any portion of its Revolving Commitment Percentage of Advances, (ii) if applicable, fund any portion of its Participation Commitment in Letters of Credit or Swing Loans or (iii) pay over to Agent, Issuer, Swing Loan Lender or any Lender any other amount required to be paid by it hereunder, unless, in the case of clause (i) above, such Lender notifies Agent in writing that such failure is the result of such Lender’s good faith determination that a condition precedent to funding (specifically identified and including a particular Default or Event of Default, if any) has not been satisfied; (b) has notified Borrowers or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a particular Default or Event of Default, if any) to funding a loan under this Agreement cannot be satisfied) or generally under other agreements in which it commits to extend credit; (c) has failed, within two (2) Business Days after request by Agent, acting in good faith, to provide a certification in writing from an authorized officer of such Lender that it will comply with its obligations (and is financially able to meet such obligations) to fund prospective Advances and, if applicable, participations in then outstanding Letters of Credit and Swing Loans under this Agreement, provided that such Lender shall cease to be a Defaulting Lender pursuant to this clause</w:t>
      </w:r>
    </w:p>
    <w:p>
      <w:pPr>
        <w:spacing w:after="0" w:line="3" w:lineRule="exact"/>
        <w:rPr>
          <w:sz w:val="20"/>
          <w:szCs w:val="20"/>
          <w:color w:val="auto"/>
        </w:rPr>
      </w:pPr>
    </w:p>
    <w:p>
      <w:pPr>
        <w:jc w:val="both"/>
        <w:ind w:left="9" w:hanging="9"/>
        <w:spacing w:after="0" w:line="234" w:lineRule="auto"/>
        <w:tabs>
          <w:tab w:leader="none" w:pos="25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Agent’s receipt of such certification in form and substance satisfactory to the Agent; (d) has become the subject of an Insolvency Event; or (e) has failed at any time to comply with the provisions of Section 2.6(e) with respect to purchasing participations from the other Lenders, whereby such Lender’s share of any payment received, whether by setoff or otherwise, is in excess of its pro rata share of such payments due and payable to all of the Lenders.</w:t>
      </w:r>
    </w:p>
    <w:p>
      <w:pPr>
        <w:spacing w:after="0" w:line="146"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Depository Accounts</w:t>
      </w:r>
      <w:r>
        <w:rPr>
          <w:rFonts w:ascii="Times New Roman" w:cs="Times New Roman" w:eastAsia="Times New Roman" w:hAnsi="Times New Roman"/>
          <w:sz w:val="18"/>
          <w:szCs w:val="18"/>
          <w:color w:val="auto"/>
        </w:rPr>
        <w:t>” shall have the meaning set forth in Section 4.8(h) hereof.</w:t>
      </w:r>
    </w:p>
    <w:p>
      <w:pPr>
        <w:spacing w:after="0" w:line="169"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shall have the meaning set forth in Section 16.2(d) hereof.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35" w:name="page236"/>
    <w:bookmarkEnd w:id="235"/>
    <w:p>
      <w:pPr>
        <w:jc w:val="both"/>
        <w:ind w:right="20" w:firstLine="5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DGS</w:t>
      </w:r>
      <w:r>
        <w:rPr>
          <w:rFonts w:ascii="Times New Roman" w:cs="Times New Roman" w:eastAsia="Times New Roman" w:hAnsi="Times New Roman"/>
          <w:sz w:val="18"/>
          <w:szCs w:val="18"/>
          <w:color w:val="auto"/>
        </w:rPr>
        <w:t>” shall mean DIGITAL GLOBE SERVICES, LLC, a Delaware limited liability company and the successor by conversion to Digital Globe Services Inc., a Delaware corporation.</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shall have the meaning given to the term “document” in the Uniform Commercial Code.</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mean lawful money of the United States of America.</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Rate Loan</w:t>
      </w:r>
      <w:r>
        <w:rPr>
          <w:rFonts w:ascii="Times New Roman" w:cs="Times New Roman" w:eastAsia="Times New Roman" w:hAnsi="Times New Roman"/>
          <w:sz w:val="18"/>
          <w:szCs w:val="18"/>
          <w:color w:val="auto"/>
        </w:rPr>
        <w:t>” shall mean any Advance that bears interest based upon the Alternate Base Rate.</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shall mean any Subsidiary of Borrower which is not a Foreign Subsidiary.</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Drawing Date</w:t>
      </w:r>
      <w:r>
        <w:rPr>
          <w:rFonts w:ascii="Times New Roman" w:cs="Times New Roman" w:eastAsia="Times New Roman" w:hAnsi="Times New Roman"/>
          <w:sz w:val="18"/>
          <w:szCs w:val="18"/>
          <w:color w:val="auto"/>
        </w:rPr>
        <w:t>” shall have the meaning set forth in Section 2.14(b)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Date</w:t>
      </w:r>
      <w:r>
        <w:rPr>
          <w:rFonts w:ascii="Times New Roman" w:cs="Times New Roman" w:eastAsia="Times New Roman" w:hAnsi="Times New Roman"/>
          <w:sz w:val="18"/>
          <w:szCs w:val="18"/>
          <w:color w:val="auto"/>
        </w:rPr>
        <w:t>” shall have the meaning set forth in Section 13.1 hereof.</w:t>
      </w:r>
    </w:p>
    <w:p>
      <w:pPr>
        <w:spacing w:after="0" w:line="169"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shall mean for any period with respect to Borrowers on a Consolidated Basis, the sum of (a) net income (or loss) for such period (excluding extraordinary gains and losses),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interest expense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all charges against income for such period for (1) federal, state and local taxes, (2) expenses on account of the Royalty Agreements and (3) subcontractor expenses due and payable for such period (whether paid in cash by Borrowers during such period or accrued by Borrowers during such period, but subject to the limitations of Section 7.18(b) hereof) by any Borrower to Ibex Global Bermuda Limited in excess of five percent (5%) of Ibex Global Bermuda Limited’s cost to provide such subcontractor services to any Borrower for such period, to the extent deducted in determining net income,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depreciation expenses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amortization expenses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one-time non-recurring expenses or charges incurred in connection with the Closing (which shall include without limitation all such expenses or charges due to Lenders and to CapitalSource Bank in connection with the Closing), to the extent paid within ninety (90) days of the Closing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(g) one-time non-recurring expenses or charges in an amount not to exceed $100,000 incurred in connection with financing sought but not ultimately obtained from Fifth Third Bank, to the extent paid in cash within ninety (90) days of the Closing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(h) non-cash expenses related to any Borrower’s share based payments,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losses from any sale of fixed assets,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(j) one-time non-recurring expenses or charges in an amount not to exceed $4,000,000 in the aggregate paid in connection with the 2019 Settlement,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(k) gains from any sale of fixed assets.</w:t>
      </w:r>
    </w:p>
    <w:p>
      <w:pPr>
        <w:spacing w:after="0" w:line="1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Notwithstanding anything to the contrary provided in the foregoing or otherwise in this Agreement, (x) EBITDA of the Borrowers for each fiscal measurement period including any of the fiscal quarters set forth below shall include the amount set forth opposite such fiscal quarter below representing the EBITDA for such period of DGS, 7 Degrees, and TelSatOnline as agreed-upon by the parties hereto: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36" w:name="page237"/>
    <w:bookmarkEnd w:id="236"/>
    <w:tbl>
      <w:tblPr>
        <w:tblLayout w:type="fixed"/>
        <w:tblInd w:w="270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Quarter:</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Agreed-Upon</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8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b w:val="1"/>
                <w:bCs w:val="1"/>
                <w:color w:val="auto"/>
                <w:w w:val="84"/>
              </w:rPr>
              <w:t>EBITDA Amount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September 30, 2019</w:t>
            </w:r>
          </w:p>
        </w:tc>
        <w:tc>
          <w:tcPr>
            <w:tcW w:w="500" w:type="dxa"/>
            <w:vAlign w:val="bottom"/>
          </w:tcPr>
          <w:p>
            <w:pPr>
              <w:spacing w:after="0"/>
              <w:rPr>
                <w:sz w:val="16"/>
                <w:szCs w:val="16"/>
                <w:color w:val="auto"/>
              </w:rPr>
            </w:pPr>
          </w:p>
        </w:tc>
        <w:tc>
          <w:tcPr>
            <w:tcW w:w="1680" w:type="dxa"/>
            <w:vAlign w:val="bottom"/>
            <w:gridSpan w:val="3"/>
          </w:tcPr>
          <w:p>
            <w:pPr>
              <w:jc w:val="center"/>
              <w:ind w:left="592"/>
              <w:spacing w:after="0" w:line="189" w:lineRule="exact"/>
              <w:rPr>
                <w:sz w:val="20"/>
                <w:szCs w:val="20"/>
                <w:color w:val="auto"/>
              </w:rPr>
            </w:pPr>
            <w:r>
              <w:rPr>
                <w:rFonts w:ascii="Times New Roman" w:cs="Times New Roman" w:eastAsia="Times New Roman" w:hAnsi="Times New Roman"/>
                <w:sz w:val="18"/>
                <w:szCs w:val="18"/>
                <w:color w:val="auto"/>
                <w:w w:val="98"/>
              </w:rPr>
              <w:t>$2,800,000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8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December 31, 2019</w:t>
            </w:r>
          </w:p>
        </w:tc>
        <w:tc>
          <w:tcPr>
            <w:tcW w:w="1680" w:type="dxa"/>
            <w:vAlign w:val="bottom"/>
            <w:gridSpan w:val="3"/>
          </w:tcPr>
          <w:p>
            <w:pPr>
              <w:jc w:val="center"/>
              <w:ind w:left="592"/>
              <w:spacing w:after="0" w:line="199" w:lineRule="exact"/>
              <w:rPr>
                <w:sz w:val="20"/>
                <w:szCs w:val="20"/>
                <w:color w:val="auto"/>
              </w:rPr>
            </w:pPr>
            <w:r>
              <w:rPr>
                <w:rFonts w:ascii="Times New Roman" w:cs="Times New Roman" w:eastAsia="Times New Roman" w:hAnsi="Times New Roman"/>
                <w:sz w:val="18"/>
                <w:szCs w:val="18"/>
                <w:color w:val="auto"/>
                <w:w w:val="98"/>
              </w:rPr>
              <w:t>$2,400,000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8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March 31, 2020</w:t>
            </w:r>
          </w:p>
        </w:tc>
        <w:tc>
          <w:tcPr>
            <w:tcW w:w="1680" w:type="dxa"/>
            <w:vAlign w:val="bottom"/>
            <w:gridSpan w:val="3"/>
          </w:tcPr>
          <w:p>
            <w:pPr>
              <w:jc w:val="center"/>
              <w:ind w:left="592"/>
              <w:spacing w:after="0" w:line="199" w:lineRule="exact"/>
              <w:rPr>
                <w:sz w:val="20"/>
                <w:szCs w:val="20"/>
                <w:color w:val="auto"/>
              </w:rPr>
            </w:pPr>
            <w:r>
              <w:rPr>
                <w:rFonts w:ascii="Times New Roman" w:cs="Times New Roman" w:eastAsia="Times New Roman" w:hAnsi="Times New Roman"/>
                <w:sz w:val="18"/>
                <w:szCs w:val="18"/>
                <w:color w:val="auto"/>
                <w:w w:val="98"/>
              </w:rPr>
              <w:t>$2,000,000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8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June 30, 2020</w:t>
            </w:r>
          </w:p>
        </w:tc>
        <w:tc>
          <w:tcPr>
            <w:tcW w:w="1680" w:type="dxa"/>
            <w:vAlign w:val="bottom"/>
            <w:gridSpan w:val="3"/>
          </w:tcPr>
          <w:p>
            <w:pPr>
              <w:jc w:val="center"/>
              <w:ind w:left="592"/>
              <w:spacing w:after="0" w:line="199" w:lineRule="exact"/>
              <w:rPr>
                <w:sz w:val="20"/>
                <w:szCs w:val="20"/>
                <w:color w:val="auto"/>
              </w:rPr>
            </w:pPr>
            <w:r>
              <w:rPr>
                <w:rFonts w:ascii="Times New Roman" w:cs="Times New Roman" w:eastAsia="Times New Roman" w:hAnsi="Times New Roman"/>
                <w:sz w:val="18"/>
                <w:szCs w:val="18"/>
                <w:color w:val="auto"/>
                <w:w w:val="98"/>
              </w:rPr>
              <w:t>$2,800,000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8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September 30, 2020</w:t>
            </w:r>
          </w:p>
        </w:tc>
        <w:tc>
          <w:tcPr>
            <w:tcW w:w="1680" w:type="dxa"/>
            <w:vAlign w:val="bottom"/>
            <w:gridSpan w:val="3"/>
          </w:tcPr>
          <w:p>
            <w:pPr>
              <w:jc w:val="center"/>
              <w:ind w:left="592"/>
              <w:spacing w:after="0" w:line="199" w:lineRule="exact"/>
              <w:rPr>
                <w:sz w:val="20"/>
                <w:szCs w:val="20"/>
                <w:color w:val="auto"/>
              </w:rPr>
            </w:pPr>
            <w:r>
              <w:rPr>
                <w:rFonts w:ascii="Times New Roman" w:cs="Times New Roman" w:eastAsia="Times New Roman" w:hAnsi="Times New Roman"/>
                <w:sz w:val="18"/>
                <w:szCs w:val="18"/>
                <w:color w:val="auto"/>
                <w:w w:val="98"/>
              </w:rPr>
              <w:t>$4,500,000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680" w:type="dxa"/>
            <w:vAlign w:val="bottom"/>
            <w:gridSpan w:val="3"/>
          </w:tcPr>
          <w:p>
            <w:pPr>
              <w:jc w:val="center"/>
              <w:ind w:left="592"/>
              <w:spacing w:after="0"/>
              <w:rPr>
                <w:sz w:val="20"/>
                <w:szCs w:val="20"/>
                <w:color w:val="auto"/>
              </w:rPr>
            </w:pPr>
            <w:r>
              <w:rPr>
                <w:rFonts w:ascii="Times New Roman" w:cs="Times New Roman" w:eastAsia="Times New Roman" w:hAnsi="Times New Roman"/>
                <w:sz w:val="18"/>
                <w:szCs w:val="18"/>
                <w:color w:val="auto"/>
                <w:w w:val="98"/>
              </w:rPr>
              <w:t>$3,400,000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spacing w:after="0" w:line="235" w:lineRule="auto"/>
        <w:rPr>
          <w:sz w:val="20"/>
          <w:szCs w:val="20"/>
          <w:color w:val="auto"/>
        </w:rPr>
      </w:pPr>
      <w:r>
        <w:rPr>
          <w:rFonts w:ascii="Times New Roman" w:cs="Times New Roman" w:eastAsia="Times New Roman" w:hAnsi="Times New Roman"/>
          <w:sz w:val="18"/>
          <w:szCs w:val="18"/>
          <w:color w:val="auto"/>
        </w:rPr>
        <w:t>and (y) EBITDA of the Borrowers for each fiscal measurement period including the fiscal quarter ending March 31, 2021 shall include an amount to be reasonably agreed-upon by Borrowers and Agent representing the EBITDA of DGS, 7 Degrees, and TelSatOnline for the period from January 1, 2021 through February 28, 2021.</w:t>
      </w:r>
    </w:p>
    <w:p>
      <w:pPr>
        <w:spacing w:after="0" w:line="146"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Federal Funds Rate</w:t>
      </w:r>
      <w:r>
        <w:rPr>
          <w:rFonts w:ascii="Times New Roman" w:cs="Times New Roman" w:eastAsia="Times New Roman" w:hAnsi="Times New Roman"/>
          <w:sz w:val="18"/>
          <w:szCs w:val="18"/>
          <w:color w:val="auto"/>
        </w:rPr>
        <w:t xml:space="preserve">” shall mean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spacing w:after="0" w:line="145"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Eighth Amendment</w:t>
      </w:r>
      <w:r>
        <w:rPr>
          <w:rFonts w:ascii="Times New Roman" w:cs="Times New Roman" w:eastAsia="Times New Roman" w:hAnsi="Times New Roman"/>
          <w:sz w:val="18"/>
          <w:szCs w:val="18"/>
          <w:color w:val="auto"/>
        </w:rPr>
        <w:t>” shall mean that certain Eighth Amendment to Revolving Credit and Security Agreement, dated as of the Eighth Amendment Date, by and among Borrowers, Lenders and Agent.</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Eighth Amendment Date</w:t>
      </w:r>
      <w:r>
        <w:rPr>
          <w:rFonts w:ascii="Times New Roman" w:cs="Times New Roman" w:eastAsia="Times New Roman" w:hAnsi="Times New Roman"/>
          <w:sz w:val="18"/>
          <w:szCs w:val="18"/>
          <w:color w:val="auto"/>
        </w:rPr>
        <w:t>” shall mean November 18, 2016.</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Eleventh Amendment</w:t>
      </w:r>
      <w:r>
        <w:rPr>
          <w:rFonts w:ascii="Times New Roman" w:cs="Times New Roman" w:eastAsia="Times New Roman" w:hAnsi="Times New Roman"/>
          <w:sz w:val="18"/>
          <w:szCs w:val="18"/>
          <w:color w:val="auto"/>
        </w:rPr>
        <w:t>” shall mean that certain Eleventh Amendment to Revolving Credit and Security Agreement, dated as of the Eleventh Amendment Date, by and among Borrowers, Lenders and Agent.</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Eleventh Amendment Date</w:t>
      </w:r>
      <w:r>
        <w:rPr>
          <w:rFonts w:ascii="Times New Roman" w:cs="Times New Roman" w:eastAsia="Times New Roman" w:hAnsi="Times New Roman"/>
          <w:sz w:val="18"/>
          <w:szCs w:val="18"/>
          <w:color w:val="auto"/>
        </w:rPr>
        <w:t>” shall mean April 25, 2019.</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shall mean an “eligible contract participant” as defined in the CEA and regulations thereunder.</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Eligibility Date</w:t>
      </w:r>
      <w:r>
        <w:rPr>
          <w:rFonts w:ascii="Times New Roman" w:cs="Times New Roman" w:eastAsia="Times New Roman" w:hAnsi="Times New Roman"/>
          <w:sz w:val="18"/>
          <w:szCs w:val="18"/>
          <w:color w:val="auto"/>
        </w:rPr>
        <w:t>” shall mean, with respect to each Borrower and Guarantor and each Swap, the date on which this Agreement or any Other Document becomes effective with respect to such</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98" w:right="979" w:bottom="1440" w:gutter="0" w:footer="0" w:header="0"/>
        </w:sectPr>
      </w:pPr>
    </w:p>
    <w:bookmarkStart w:id="237" w:name="page238"/>
    <w:bookmarkEnd w:id="237"/>
    <w:p>
      <w:pPr>
        <w:jc w:val="both"/>
        <w:spacing w:after="0" w:line="244" w:lineRule="auto"/>
        <w:rPr>
          <w:sz w:val="20"/>
          <w:szCs w:val="20"/>
          <w:color w:val="auto"/>
        </w:rPr>
      </w:pPr>
      <w:r>
        <w:rPr>
          <w:rFonts w:ascii="Times New Roman" w:cs="Times New Roman" w:eastAsia="Times New Roman" w:hAnsi="Times New Roman"/>
          <w:sz w:val="18"/>
          <w:szCs w:val="18"/>
          <w:color w:val="auto"/>
        </w:rPr>
        <w:t>Swap (for the avoidance of doubt, the Eligibility Date shall be the Effective Date of such Swap if this Agreement or any Other Document is then in effect with respect to such Borrower or Guarantor, and otherwise it shall be the Effective Date of this Agreement and/or such Other Document(s) to which such Borrower or Guarantor is a party).</w:t>
      </w:r>
    </w:p>
    <w:p>
      <w:pPr>
        <w:spacing w:after="0" w:line="142"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Insured Foreign Receivable or Receivables</w:t>
      </w:r>
      <w:r>
        <w:rPr>
          <w:rFonts w:ascii="Times New Roman" w:cs="Times New Roman" w:eastAsia="Times New Roman" w:hAnsi="Times New Roman"/>
          <w:sz w:val="18"/>
          <w:szCs w:val="18"/>
          <w:color w:val="auto"/>
        </w:rPr>
        <w:t>” shall mean Receivables that meet the requirements of Eligible Receivables, except clause (f) of such definition, provided that such Receivable is credit insured (the insurance carrier, amount and terms of such insurance shall be reasonably acceptable to Agent and shall name Agent as beneficiary or loss payee, as applicable).</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Pre-Approved Foreign Receivable or Receivables</w:t>
      </w:r>
      <w:r>
        <w:rPr>
          <w:rFonts w:ascii="Times New Roman" w:cs="Times New Roman" w:eastAsia="Times New Roman" w:hAnsi="Times New Roman"/>
          <w:sz w:val="18"/>
          <w:szCs w:val="18"/>
          <w:color w:val="auto"/>
        </w:rPr>
        <w:t>” shall mean Receivables that meet the requirements of Eligible Receivables, except clause (f) of such definition, provided that such Receivables (i) are Receivables due from Apple, Express Gifts Ltd. or William Hill Group, or (ii) have been approved by Agent.</w:t>
      </w:r>
    </w:p>
    <w:p>
      <w:pPr>
        <w:spacing w:after="0" w:line="140"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shall mean and include, each Receivable of a Borrower arising in the Ordinary Course of Business and which Agent, in its Permitted Discretion, shall deem to be an Eligible Receivable, based on such considerations as Agent may from time to time deem appropriate. A Receivable shall not be deemed eligible unless such Receivable is subject to Agent’s first priority perfected security interest and no other Lien (other than Permitted Encumbrances), and is evidenced by an invoice or other documentary evidence satisfactory to Agent. In addition, no Receivable shall be an Eligible Receivable if:</w:t>
      </w:r>
    </w:p>
    <w:p>
      <w:pPr>
        <w:spacing w:after="0" w:line="146" w:lineRule="exact"/>
        <w:rPr>
          <w:sz w:val="20"/>
          <w:szCs w:val="20"/>
          <w:color w:val="auto"/>
        </w:rPr>
      </w:pPr>
    </w:p>
    <w:p>
      <w:pPr>
        <w:ind w:left="1580" w:hanging="527"/>
        <w:spacing w:after="0"/>
        <w:tabs>
          <w:tab w:leader="none" w:pos="15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arises out of a sale made by any Borrower to an Affiliate of any Borrower or to a Person controlled by an Affiliate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any Borrower;</w:t>
      </w:r>
    </w:p>
    <w:p>
      <w:pPr>
        <w:spacing w:after="0" w:line="149" w:lineRule="exact"/>
        <w:rPr>
          <w:rFonts w:ascii="Times New Roman" w:cs="Times New Roman" w:eastAsia="Times New Roman" w:hAnsi="Times New Roman"/>
          <w:sz w:val="17"/>
          <w:szCs w:val="17"/>
          <w:color w:val="auto"/>
        </w:rPr>
      </w:pPr>
    </w:p>
    <w:p>
      <w:pPr>
        <w:ind w:left="1580" w:hanging="527"/>
        <w:spacing w:after="0"/>
        <w:tabs>
          <w:tab w:leader="none" w:pos="1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due or unpaid more than ninety (90) days after the original invoice date or sixty (60) days after the original due</w:t>
      </w:r>
    </w:p>
    <w:p>
      <w:pPr>
        <w:spacing w:after="0" w:line="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149" w:lineRule="exact"/>
        <w:rPr>
          <w:rFonts w:ascii="Times New Roman" w:cs="Times New Roman" w:eastAsia="Times New Roman" w:hAnsi="Times New Roman"/>
          <w:sz w:val="18"/>
          <w:szCs w:val="18"/>
          <w:color w:val="auto"/>
        </w:rPr>
      </w:pPr>
    </w:p>
    <w:p>
      <w:pPr>
        <w:ind w:right="20" w:firstLine="1053"/>
        <w:spacing w:after="0" w:line="259" w:lineRule="auto"/>
        <w:tabs>
          <w:tab w:leader="none" w:pos="159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or more of the Receivables from such Customer are not deemed Eligible Receivables under subclause (b) hereof;</w:t>
      </w:r>
    </w:p>
    <w:p>
      <w:pPr>
        <w:spacing w:after="0" w:line="128"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covenant, representation or warranty contained in this Agreement with respect to such Receivable has</w:t>
      </w:r>
    </w:p>
    <w:p>
      <w:pPr>
        <w:spacing w:after="0" w:line="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breached;</w:t>
      </w:r>
    </w:p>
    <w:p>
      <w:pPr>
        <w:spacing w:after="0" w:line="149"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shall have occurred with respect to such Customer;</w:t>
      </w:r>
    </w:p>
    <w:p>
      <w:pPr>
        <w:spacing w:after="0" w:line="169"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is to a Customer, which Customer is outside the continental United States of America or a province of Canada that has not adopted the Personal Property Security Act of Canada, unless the sale is on letter of credit, guaranty or acceptance terms, in each case acceptable to Agent in its Permitted Discretion or such Receivable constitutes an Eligible Insured Foreign Receivable;</w:t>
      </w:r>
    </w:p>
    <w:p>
      <w:pPr>
        <w:spacing w:after="0" w:line="140" w:lineRule="exact"/>
        <w:rPr>
          <w:rFonts w:ascii="Times New Roman" w:cs="Times New Roman" w:eastAsia="Times New Roman" w:hAnsi="Times New Roman"/>
          <w:sz w:val="18"/>
          <w:szCs w:val="18"/>
          <w:color w:val="auto"/>
        </w:rPr>
      </w:pPr>
    </w:p>
    <w:p>
      <w:pPr>
        <w:ind w:firstLine="1053"/>
        <w:spacing w:after="0" w:line="259" w:lineRule="auto"/>
        <w:tabs>
          <w:tab w:leader="none" w:pos="159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to the Customer is on a bill-and-hold, guaranteed sale, sale-and-return, sale on approval, consignment or any other repurchase or return basis or is evidenced by chattel paper;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38" w:name="page239"/>
    <w:bookmarkEnd w:id="238"/>
    <w:p>
      <w:pPr>
        <w:jc w:val="both"/>
        <w:ind w:left="9" w:firstLine="1053"/>
        <w:spacing w:after="0"/>
        <w:tabs>
          <w:tab w:leader="none" w:pos="160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the United States of America, any state or any department, agency or instrumentality of any of them, unless the applicable Borrower assigns its right to payment of such Receivable to Agent pursuant to the Assignment of Claims Act of 1940, as amended (31 U.S.C. Sub-Section 3727 et seq. and 41 U.S.C. Sub-Section 15 et seq.) or has otherwise complied with other applicable statutes or ordinances;</w:t>
      </w:r>
    </w:p>
    <w:p>
      <w:pPr>
        <w:spacing w:after="0" w:line="144" w:lineRule="exact"/>
        <w:rPr>
          <w:rFonts w:ascii="Times New Roman" w:cs="Times New Roman" w:eastAsia="Times New Roman" w:hAnsi="Times New Roman"/>
          <w:sz w:val="18"/>
          <w:szCs w:val="18"/>
          <w:color w:val="auto"/>
        </w:rPr>
      </w:pPr>
    </w:p>
    <w:p>
      <w:pPr>
        <w:jc w:val="both"/>
        <w:ind w:left="9" w:firstLine="1053"/>
        <w:spacing w:after="0" w:line="245" w:lineRule="auto"/>
        <w:tabs>
          <w:tab w:leader="none" w:pos="160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giving rise to such Receivable have not been delivered to and accepted by the Customer or the services giving rise to such Receivable have not been performed by the applicable Borrower and accepted by the Customer or the Receivable otherwise does not represent a final sale;</w:t>
      </w:r>
    </w:p>
    <w:p>
      <w:pPr>
        <w:spacing w:after="0" w:line="140" w:lineRule="exact"/>
        <w:rPr>
          <w:rFonts w:ascii="Times New Roman" w:cs="Times New Roman" w:eastAsia="Times New Roman" w:hAnsi="Times New Roman"/>
          <w:sz w:val="18"/>
          <w:szCs w:val="18"/>
          <w:color w:val="auto"/>
        </w:rPr>
      </w:pPr>
    </w:p>
    <w:p>
      <w:pPr>
        <w:ind w:left="1589" w:hanging="527"/>
        <w:spacing w:after="0"/>
        <w:tabs>
          <w:tab w:leader="none" w:pos="1589"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Receivable due from any Customer other than (i) AT&amp;T, (ii) Apple, (iii) DirecTV (iv) Frontier, or</w:t>
      </w:r>
    </w:p>
    <w:p>
      <w:pPr>
        <w:spacing w:after="0" w:line="23" w:lineRule="exact"/>
        <w:rPr>
          <w:rFonts w:ascii="Times New Roman" w:cs="Times New Roman" w:eastAsia="Times New Roman" w:hAnsi="Times New Roman"/>
          <w:sz w:val="17"/>
          <w:szCs w:val="17"/>
          <w:color w:val="auto"/>
        </w:rPr>
      </w:pPr>
    </w:p>
    <w:p>
      <w:pPr>
        <w:ind w:left="9" w:hanging="9"/>
        <w:spacing w:after="0" w:line="238" w:lineRule="auto"/>
        <w:tabs>
          <w:tab w:leader="none" w:pos="27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Amazon, such Receivable, together with all other Receivables due from such Customer, exceeds 25% of all outstanding Receivables, unless such Receivable has been approved by Agent (which approval shall not be unreasonably withheld);</w:t>
      </w:r>
    </w:p>
    <w:p>
      <w:pPr>
        <w:spacing w:after="0" w:line="144" w:lineRule="exact"/>
        <w:rPr>
          <w:rFonts w:ascii="Times New Roman" w:cs="Times New Roman" w:eastAsia="Times New Roman" w:hAnsi="Times New Roman"/>
          <w:sz w:val="18"/>
          <w:szCs w:val="18"/>
          <w:color w:val="auto"/>
        </w:rPr>
      </w:pPr>
    </w:p>
    <w:p>
      <w:pPr>
        <w:jc w:val="both"/>
        <w:ind w:left="9" w:firstLine="1053"/>
        <w:spacing w:after="0" w:line="245" w:lineRule="auto"/>
        <w:tabs>
          <w:tab w:leader="none" w:pos="160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 is subject to any offset, deduction, defense, dispute, credits or counterclaim (but such Receivable shall only be ineligible to the extent of such offset, deduction, defense or counterclaim), or the Receivable is contingent in any respect or for any reason;</w:t>
      </w:r>
    </w:p>
    <w:p>
      <w:pPr>
        <w:spacing w:after="0" w:line="140" w:lineRule="exact"/>
        <w:rPr>
          <w:rFonts w:ascii="Times New Roman" w:cs="Times New Roman" w:eastAsia="Times New Roman" w:hAnsi="Times New Roman"/>
          <w:sz w:val="18"/>
          <w:szCs w:val="18"/>
          <w:color w:val="auto"/>
        </w:rPr>
      </w:pPr>
    </w:p>
    <w:p>
      <w:pPr>
        <w:jc w:val="both"/>
        <w:ind w:left="9" w:firstLine="1053"/>
        <w:spacing w:after="0" w:line="245" w:lineRule="auto"/>
        <w:tabs>
          <w:tab w:leader="none" w:pos="160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has made any agreement with any Customer for any deduction therefrom, except for discounts or allowances made in the Ordinary Course of Business, all of which discounts or allowances are reflected in the calculation of the face value of each respective invoice related thereto;</w:t>
      </w:r>
    </w:p>
    <w:p>
      <w:pPr>
        <w:spacing w:after="0" w:line="140" w:lineRule="exact"/>
        <w:rPr>
          <w:rFonts w:ascii="Times New Roman" w:cs="Times New Roman" w:eastAsia="Times New Roman" w:hAnsi="Times New Roman"/>
          <w:sz w:val="18"/>
          <w:szCs w:val="18"/>
          <w:color w:val="auto"/>
        </w:rPr>
      </w:pPr>
    </w:p>
    <w:p>
      <w:pPr>
        <w:ind w:left="1589" w:hanging="527"/>
        <w:spacing w:after="0"/>
        <w:tabs>
          <w:tab w:leader="none" w:pos="158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return, rejection or repossession of the merchandise has occurred or the rendition of services has been disputed;</w:t>
      </w:r>
    </w:p>
    <w:p>
      <w:pPr>
        <w:spacing w:after="0" w:line="169" w:lineRule="exact"/>
        <w:rPr>
          <w:rFonts w:ascii="Times New Roman" w:cs="Times New Roman" w:eastAsia="Times New Roman" w:hAnsi="Times New Roman"/>
          <w:sz w:val="18"/>
          <w:szCs w:val="18"/>
          <w:color w:val="auto"/>
        </w:rPr>
      </w:pPr>
    </w:p>
    <w:p>
      <w:pPr>
        <w:ind w:left="9" w:firstLine="1053"/>
        <w:spacing w:after="0" w:line="259" w:lineRule="auto"/>
        <w:tabs>
          <w:tab w:leader="none" w:pos="160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such Receivable is not payable to a Borrower or (2) such Receivable is sold pursuant to the Factoring Agreement and the proceeds thereof are remitted to a Depository Account;</w:t>
      </w:r>
    </w:p>
    <w:p>
      <w:pPr>
        <w:spacing w:after="0" w:line="128" w:lineRule="exact"/>
        <w:rPr>
          <w:rFonts w:ascii="Times New Roman" w:cs="Times New Roman" w:eastAsia="Times New Roman" w:hAnsi="Times New Roman"/>
          <w:sz w:val="18"/>
          <w:szCs w:val="18"/>
          <w:color w:val="auto"/>
        </w:rPr>
      </w:pPr>
    </w:p>
    <w:p>
      <w:pPr>
        <w:ind w:left="9" w:firstLine="1053"/>
        <w:spacing w:after="0" w:line="259" w:lineRule="auto"/>
        <w:tabs>
          <w:tab w:leader="none" w:pos="160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Receivable does not arise out of a contract between a Borrower and a Customer, or a contract under which such Borrower has rights as an assignee, unless such Receivable shall be permitted by Agent; or</w:t>
      </w:r>
    </w:p>
    <w:p>
      <w:pPr>
        <w:spacing w:after="0" w:line="128" w:lineRule="exact"/>
        <w:rPr>
          <w:rFonts w:ascii="Times New Roman" w:cs="Times New Roman" w:eastAsia="Times New Roman" w:hAnsi="Times New Roman"/>
          <w:sz w:val="18"/>
          <w:szCs w:val="18"/>
          <w:color w:val="auto"/>
        </w:rPr>
      </w:pPr>
    </w:p>
    <w:p>
      <w:pPr>
        <w:ind w:left="1589" w:hanging="527"/>
        <w:spacing w:after="0"/>
        <w:tabs>
          <w:tab w:leader="none" w:pos="158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Receivable is not otherwise satisfactory to Agent as determined in the exercise of its Permitted Discretion.</w:t>
      </w:r>
    </w:p>
    <w:p>
      <w:pPr>
        <w:spacing w:after="0" w:line="169" w:lineRule="exact"/>
        <w:rPr>
          <w:sz w:val="20"/>
          <w:szCs w:val="20"/>
          <w:color w:val="auto"/>
        </w:rPr>
      </w:pPr>
    </w:p>
    <w:p>
      <w:pPr>
        <w:jc w:val="both"/>
        <w:ind w:left="9" w:firstLine="531"/>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Unbilled Receivables</w:t>
      </w:r>
      <w:r>
        <w:rPr>
          <w:rFonts w:ascii="Times New Roman" w:cs="Times New Roman" w:eastAsia="Times New Roman" w:hAnsi="Times New Roman"/>
          <w:sz w:val="18"/>
          <w:szCs w:val="18"/>
          <w:color w:val="auto"/>
        </w:rPr>
        <w:t xml:space="preserve">” shall mean Receivables that constitute Eligible Receivables except that such Receivables are not evidenced by an invoice and have not been billed to the applicable Customer;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Receivables shall be evidenced by documentary evidence reasonably satisfactory to Agent (which documentary evidence shall be provided to Agent upon request). Any Receivable that is an Eligible Unbilled Receivable pursuant to the preceding sentence shall cease to be an Eligible Unbilled Receivable if an invoice is not issued with respect to such Receivable within the sixty (60) day period following the date the services were performed and/or the goods were delivered.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39" w:name="page240"/>
    <w:bookmarkEnd w:id="239"/>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Complaint</w:t>
      </w:r>
      <w:r>
        <w:rPr>
          <w:rFonts w:ascii="Times New Roman" w:cs="Times New Roman" w:eastAsia="Times New Roman" w:hAnsi="Times New Roman"/>
          <w:sz w:val="18"/>
          <w:szCs w:val="18"/>
          <w:color w:val="auto"/>
        </w:rPr>
        <w:t>” shall have the meaning set forth in Section 9.3(b) hereof.</w:t>
      </w:r>
    </w:p>
    <w:p>
      <w:pPr>
        <w:spacing w:after="0" w:line="168"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federal, state and local environmental, land use, zoning, health, chemical use, safety and sanitation laws, statutes, ordinances and codes as well as common laws, relating to the protection of the environment, human health and/or governing the use, storage, treatment, generation, transportation, processing, handling, production or disposal of Hazardous Materials and the rules, regulations, policies, guidelines, interpretations, decisions, orders and directives of federal, state, international and local governmental agencies and authorities with respect thereto.</w:t>
      </w:r>
    </w:p>
    <w:p>
      <w:pPr>
        <w:spacing w:after="0" w:line="146" w:lineRule="exact"/>
        <w:rPr>
          <w:sz w:val="20"/>
          <w:szCs w:val="20"/>
          <w:color w:val="auto"/>
        </w:rPr>
      </w:pPr>
    </w:p>
    <w:p>
      <w:pPr>
        <w:jc w:val="both"/>
        <w:ind w:firstLine="531"/>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shall mean, with respect to any Person, any and all shares, rights to purchase, options, warrants, general, limited or limited liability partnership interests, member interests, participation or other equivalents of or interest in (regardless of how designated) equity of such Person, whether voting or nonvoting, including common stock, preferred stock, convertible securities or any other “equity security” (as such term is defined in Rule 3a11-1 of the General Rules and Regulations promulgated by the SEC under the Exchange Act), including in each case all of the following rights relating to such Equity Interests, whether arising under the Organizational Documents of the Person issuing such Equity Interests (the “issuer”) or under the applicable laws of such issuer’s jurisdiction of organization relating to the formation, existence and governance of corporations, limited liability companies or partnerships or business trusts or other legal entities, as the case may be: (i) all economic rights (including all rights to receive dividends and distributions) relating to such Equity Interests; (ii) all voting rights and rights to consent to any particular action(s) by the applicable issuer; (iii) all management rights with respect to such issuer; (iv) in the case of any Equity Interests consisting of a general partner interest in a partnership, all powers and rights as a general partner with respect to the management, operations and control of the business and affairs of the applicable issuer; (v) in the case of any Equity Interests consisting of the membership/limited liability company interests of a managing member in a limited liability company, all powers and rights as a managing member with respect to the management, operations and control of the business and affairs of the applicable issuer; (vi) all rights to designate or appoint or vote for or remove any officers, directors, manager(s), general partner(s) or managing member(s) of such issuer and/or any members of any board of members/managers/partners/directors that may at any time have any rights to manage and direct the business and affairs of the applicable issuer under its Organizational Documents as in effect from time to time or under Applicable Law; (vii) all rights to amend the Organizational Documents of such issuer, (viii) in the case of any Equity Interests in a partnership or limited liability company, the status of the holder of such Equity Interests as a “partner”, general or limited, or “member” (as applicable) under the applicable Organizational Documents and/or Applicable Law; and (ix) all certificates evidencing such Equity Interests.</w:t>
      </w:r>
    </w:p>
    <w:p>
      <w:pPr>
        <w:spacing w:after="0" w:line="157"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the same may be amended or supplemented from time to time and the rules and regulations promulgated thereunder.</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have the meaning set forth in Article X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40" w:name="page241"/>
    <w:bookmarkEnd w:id="240"/>
    <w:p>
      <w:pPr>
        <w:jc w:val="both"/>
        <w:ind w:left="9" w:firstLine="531"/>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shall mean any (i) payroll accounts, (ii) withholding tax accounts, (iii) fiduciary accounts, (iv) accounts used to make tax, trust, pension or other similar employee benefit payments, (v) accounts that contain, at all times, less than $100,000 for all such accounts in the aggregate, and (vi) local cash deposit accounts maintained in the ordinary course of business by a Borrower in proximity to its operations, provided that the total amount on deposit at any one time not so perfected shall not (A) exceed such amounts, if any, that are required to comply with requirements of jurisdictions other than the United States of America or any state thereof or the District of Columbia, or (B) exceed $150,000 in the aggregate for all such accounts (collectively, the “</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shall mean:</w:t>
      </w:r>
    </w:p>
    <w:p>
      <w:pPr>
        <w:spacing w:after="0" w:line="169" w:lineRule="exact"/>
        <w:rPr>
          <w:sz w:val="20"/>
          <w:szCs w:val="20"/>
          <w:color w:val="auto"/>
        </w:rPr>
      </w:pPr>
    </w:p>
    <w:p>
      <w:pPr>
        <w:jc w:val="both"/>
        <w:ind w:left="9" w:firstLine="522"/>
        <w:spacing w:after="0" w:line="247" w:lineRule="auto"/>
        <w:tabs>
          <w:tab w:leader="none" w:pos="764"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Accounts, any lease, license, permit or agreement to which Borrower is a party to the extent, but only to the extent, that such a grant would, under the terms of such lease, license, permit or agreement, result in a breach of the terms of, invalidate, or constitute a default under, such lease, license, permit or agreement or to the extent any requirement of law prohibits the grant of a Lien thereon; (ii) any property of Borrower that is the subject of a Lien securing any purchase money Indebtedness or Capitalized Lease Obligation permitted under this Agreement pursuant to an agreement the terms of which prohibit Borrower from granting any other Liens on such property (with respect to clauses (i) and (ii), other than to the extent that any such term or prohibition would be rendered ineffective pursuant to the UCC or other applicable law); provided, that with respect to any such limitation described in the foregoing clauses (i) or (ii)</w:t>
      </w:r>
    </w:p>
    <w:p>
      <w:pPr>
        <w:spacing w:after="0" w:line="5" w:lineRule="exact"/>
        <w:rPr>
          <w:rFonts w:ascii="Times New Roman" w:cs="Times New Roman" w:eastAsia="Times New Roman" w:hAnsi="Times New Roman"/>
          <w:sz w:val="17"/>
          <w:szCs w:val="17"/>
          <w:color w:val="auto"/>
        </w:rPr>
      </w:pPr>
    </w:p>
    <w:p>
      <w:pPr>
        <w:jc w:val="both"/>
        <w:ind w:left="9" w:hanging="9"/>
        <w:spacing w:after="0" w:line="231" w:lineRule="auto"/>
        <w:tabs>
          <w:tab w:leader="none" w:pos="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Agent, such Borrower shall in good faith use commercially reasonable efforts to obtain any requisite consent for the creation of such Lien in favor of the Agent on such property, (B) immediately upon the ineffectiveness, lapse or termination of any such restriction, the Collateral shall include, and Borrower shall be deemed to have granted a Lien on such property hereunder or under the applicable Other Documents, as applicable, as if such restriction had never been in effect; and (C) notwithstanding any such restriction, the Collateral shall, to the extent such restriction does not by its terms apply thereto and such rights and proceeds do not otherwise constitute Excluded Assets, include all rights incident or appurtenant to any such property, and the right to receive all proceeds (as defined in the UCC) derived from, or in connection with the sale, assignment or transfer of, such property; (iii) more than 66% of the total of the issued and outstanding Equity Interests entitled to vote (within the meaning of Treas. Reg. Section 1.956-2(c)(2)) in each Foreign Subsidiary directly owned by Borrower or any Domestic Subsidiary or any assets of any Foreign Subsidiary of Borrower if in any such case Agent’s Lien on such property would create a significant risk of a material adverse tax consequence to Borrower; (iv) any “intent to use” applications for Trademarks for which a statement of use has not been filed and accepted with the United States Patent and Trademark Office; (v) vehicles subject to certificate of title laws; or (vi) those assets as to which Agent determines the cost of obtaining a Lien therein in favor of Agent or the perfection thereof are excessive in relation to the benefit to the Lenders afforded by such Lien. Furthermore, the Lien of Agent need not be perfected in the Excluded Accounts.</w:t>
      </w:r>
    </w:p>
    <w:p>
      <w:pPr>
        <w:spacing w:after="0" w:line="177" w:lineRule="exact"/>
        <w:rPr>
          <w:sz w:val="20"/>
          <w:szCs w:val="20"/>
          <w:color w:val="auto"/>
        </w:rPr>
      </w:pPr>
    </w:p>
    <w:p>
      <w:pPr>
        <w:jc w:val="both"/>
        <w:ind w:left="9"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Hedge Liability or Liabilities</w:t>
      </w:r>
      <w:r>
        <w:rPr>
          <w:rFonts w:ascii="Times New Roman" w:cs="Times New Roman" w:eastAsia="Times New Roman" w:hAnsi="Times New Roman"/>
          <w:sz w:val="18"/>
          <w:szCs w:val="18"/>
          <w:color w:val="auto"/>
        </w:rPr>
        <w:t>” shall mean, with respect to each Borrower and Guarantor, each of its Swap Obligations if, and only to the extent that, all or any portion of this Agreement or any Other Document that relates to such Swap Obligation is or becomes illegal under the CEA, or any rule, regulation or order of the CFTC, solely by virtue of such Borrower’s and/or Guarantor’s failure to qualify as an Eligible Contract Participant on the Eligibility Date for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41" w:name="page242"/>
    <w:bookmarkEnd w:id="241"/>
    <w:p>
      <w:pPr>
        <w:jc w:val="both"/>
        <w:spacing w:after="0" w:line="233" w:lineRule="auto"/>
        <w:rPr>
          <w:sz w:val="20"/>
          <w:szCs w:val="20"/>
          <w:color w:val="auto"/>
        </w:rPr>
      </w:pPr>
      <w:r>
        <w:rPr>
          <w:rFonts w:ascii="Times New Roman" w:cs="Times New Roman" w:eastAsia="Times New Roman" w:hAnsi="Times New Roman"/>
          <w:sz w:val="18"/>
          <w:szCs w:val="18"/>
          <w:color w:val="auto"/>
        </w:rPr>
        <w:t>such Swap. Notwithstanding anything to the contrary contained in the foregoing or in any other provision of this Agreement or any Other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Borrower or Guarantor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Borrower or Guarantor executing this Agreement or the Other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54"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shall mean, with respect to Agent, any Lender, Participant, Swing Loan Lender, Issuer or any other recipient of any payment to be made by or on account of any Obligations,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or applicable lending office is located or, in the case of any Lender, Participant, Swing Loan Lender or Issuer, in which its applicable lending office is located, (b) any branch profits taxes imposed by the United States of America or any similar tax imposed by any other jurisdiction in which any Borrower is located, (c) in the case of a Foreign Lender, any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Section 3.10(e), except to the extent that such Foreign Lender or Participant (or its assignor or seller of a participation, if any) was entitled, at the time of designation of a new lending office (or assignment or sale of a participation), to receive additional amounts from Borrowers with respect to such withholding tax pursuant to Section 3.10(a), or (d) any Taxes imposed on any “withholding payment” payable to such recipient as a result of the failure of such recipient to satisfy the requirements set forth in the FATCA after December 31, 2012.</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shall have the meaning set forth in Section 3.3(b) hereof.</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Factoring Agreement</w:t>
      </w:r>
      <w:r>
        <w:rPr>
          <w:rFonts w:ascii="Times New Roman" w:cs="Times New Roman" w:eastAsia="Times New Roman" w:hAnsi="Times New Roman"/>
          <w:sz w:val="18"/>
          <w:szCs w:val="18"/>
          <w:color w:val="auto"/>
        </w:rPr>
        <w:t>” shall mean that certain Supplier Agreement by and between IBEX and Citibank pursuant to which Citibank shall purchase AT&amp;T Receivables from Borrowers.</w:t>
      </w:r>
    </w:p>
    <w:p>
      <w:pPr>
        <w:spacing w:after="0" w:line="128"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and any current or future regulations thereunder or official interpretations thereof.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42" w:name="page243"/>
    <w:bookmarkEnd w:id="242"/>
    <w:p>
      <w:pPr>
        <w:jc w:val="both"/>
        <w:ind w:firstLine="5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Fifteenth Amendment</w:t>
      </w:r>
      <w:r>
        <w:rPr>
          <w:rFonts w:ascii="Times New Roman" w:cs="Times New Roman" w:eastAsia="Times New Roman" w:hAnsi="Times New Roman"/>
          <w:sz w:val="18"/>
          <w:szCs w:val="18"/>
          <w:color w:val="auto"/>
        </w:rPr>
        <w:t>” shall mean that certain Fifteenth Amendment to Revolving Credit and Security Agreement, dated as of the Fifteenth Amendment Date, by and among Borrowers, Lenders and Agent.</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Fifteenth Amendment Date</w:t>
      </w:r>
      <w:r>
        <w:rPr>
          <w:rFonts w:ascii="Times New Roman" w:cs="Times New Roman" w:eastAsia="Times New Roman" w:hAnsi="Times New Roman"/>
          <w:sz w:val="18"/>
          <w:szCs w:val="18"/>
          <w:color w:val="auto"/>
        </w:rPr>
        <w:t>” shall mean September 30, 2021, effective as of July 31, 2021.</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Fifth Amendment Date</w:t>
      </w:r>
      <w:r>
        <w:rPr>
          <w:rFonts w:ascii="Times New Roman" w:cs="Times New Roman" w:eastAsia="Times New Roman" w:hAnsi="Times New Roman"/>
          <w:sz w:val="18"/>
          <w:szCs w:val="18"/>
          <w:color w:val="auto"/>
        </w:rPr>
        <w:t>” shall mean June 26, 2015.</w:t>
      </w:r>
    </w:p>
    <w:p>
      <w:pPr>
        <w:spacing w:after="0" w:line="169" w:lineRule="exact"/>
        <w:rPr>
          <w:sz w:val="20"/>
          <w:szCs w:val="20"/>
          <w:color w:val="auto"/>
        </w:rPr>
      </w:pPr>
    </w:p>
    <w:p>
      <w:pPr>
        <w:jc w:val="both"/>
        <w:ind w:firstLine="53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Fixed Charge Coverage Ratio</w:t>
      </w:r>
      <w:r>
        <w:rPr>
          <w:rFonts w:ascii="Times New Roman" w:cs="Times New Roman" w:eastAsia="Times New Roman" w:hAnsi="Times New Roman"/>
          <w:sz w:val="17"/>
          <w:szCs w:val="17"/>
          <w:color w:val="auto"/>
        </w:rPr>
        <w:t>” shall mean, with respect to any fiscal period, the ratio of (a) EBITDA, minus Unfunded Capital Expenditures made by any Borrower during such period, minus distributions (including tax distributions), dividends and cash Royalty Payments made by any Borrower during such period, minus cash taxes paid by any Borrower during such period, minus the aggregate amount of all cash payments made by any Borrower during such fiscal period representing obligations of Borrowers owing to Ibex Global Bermuda Limited (for any applicable period) for subcontractor expenses in excess of the sum of Ibex Global Bermuda Limited’s cost of providing such subcontractor services (for the same applicable period) to any Borrower plus five percent (5.00%) (including, for the avoidance of doubt, any cash payments made during the fiscal period for which the Fixed Charge Coverage Ratio is being measured in respect of amounts accrued by Borrowers in a prior fiscal measurement period in respect of any such obligations otherwise due from Borrowers to Ibex Global Bermuda Limited during such prior period) to (b) all Debt Payments made by any Borrower during such period.</w:t>
      </w:r>
    </w:p>
    <w:p>
      <w:pPr>
        <w:spacing w:after="0" w:line="144"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shall mean all Applicable Laws relating to policies and procedures that address requirements placed on federally regulated lenders under the National Flood Insurance Reform Act of 1994 and other Applicable Laws related thereto.</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Currency Hedge</w:t>
      </w:r>
      <w:r>
        <w:rPr>
          <w:rFonts w:ascii="Times New Roman" w:cs="Times New Roman" w:eastAsia="Times New Roman" w:hAnsi="Times New Roman"/>
          <w:sz w:val="17"/>
          <w:szCs w:val="17"/>
          <w:color w:val="auto"/>
        </w:rPr>
        <w:t>” shall mean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 entered into by any Borrower, Guarantor and/or any of their respective Subsidiaries.</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Hedge Liabilities</w:t>
      </w:r>
      <w:r>
        <w:rPr>
          <w:rFonts w:ascii="Times New Roman" w:cs="Times New Roman" w:eastAsia="Times New Roman" w:hAnsi="Times New Roman"/>
          <w:sz w:val="18"/>
          <w:szCs w:val="18"/>
          <w:color w:val="auto"/>
        </w:rPr>
        <w:t>” shall have the meaning assigned in the definition of Lender-Provided Foreign Currency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w:t>
      </w:r>
    </w:p>
    <w:p>
      <w:pPr>
        <w:spacing w:after="0" w:line="14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shall mean any Lender that is organized under the laws of a jurisdiction other than that in which Borrowers are resident for tax purposes. For purposes of this definition, the United States of America, each State thereof and the District of Columbia shall be deemed to constitute a single jurisdiction.</w:t>
      </w:r>
    </w:p>
    <w:p>
      <w:pPr>
        <w:spacing w:after="0" w:line="140"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shall mean any Subsidiary of any Person that is not organized or incorporated in the United States, any State or territory thereof or the District of Columbia.</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Subcontractors</w:t>
      </w:r>
      <w:r>
        <w:rPr>
          <w:rFonts w:ascii="Times New Roman" w:cs="Times New Roman" w:eastAsia="Times New Roman" w:hAnsi="Times New Roman"/>
          <w:sz w:val="18"/>
          <w:szCs w:val="18"/>
          <w:color w:val="auto"/>
        </w:rPr>
        <w:t>” shall mean, collectively, Ibex Global Bermuda Limited, Ibex Philippines, Inc., Ibex Global Jamaica Limited, Ibex Global Solutions Nicaragua S.A., Ibex</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43" w:name="page244"/>
    <w:bookmarkEnd w:id="243"/>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Honduras S.A. de C.V., Ibex Global Solutions (Private) Limited and any other Foreign Subsidiary engaged by a Borrower as a subcontractor.</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Formula Amount</w:t>
      </w:r>
      <w:r>
        <w:rPr>
          <w:rFonts w:ascii="Times New Roman" w:cs="Times New Roman" w:eastAsia="Times New Roman" w:hAnsi="Times New Roman"/>
          <w:sz w:val="18"/>
          <w:szCs w:val="18"/>
          <w:color w:val="auto"/>
        </w:rPr>
        <w:t>” shall have the meaning set forth in Section 2.1(a)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generally accepted accounting principles in the United States of America in effect from time to time.</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Acts</w:t>
      </w:r>
      <w:r>
        <w:rPr>
          <w:rFonts w:ascii="Times New Roman" w:cs="Times New Roman" w:eastAsia="Times New Roman" w:hAnsi="Times New Roman"/>
          <w:sz w:val="18"/>
          <w:szCs w:val="18"/>
          <w:color w:val="auto"/>
        </w:rPr>
        <w:t>” shall mean any act or omission, whether rightful or wrongful, of any present or future de jure or de facto Governmental Body.</w:t>
      </w:r>
    </w:p>
    <w:p>
      <w:pPr>
        <w:spacing w:after="0" w:line="128" w:lineRule="exact"/>
        <w:rPr>
          <w:sz w:val="20"/>
          <w:szCs w:val="20"/>
          <w:color w:val="auto"/>
        </w:rPr>
      </w:pPr>
    </w:p>
    <w:p>
      <w:pPr>
        <w:jc w:val="both"/>
        <w:ind w:firstLine="531"/>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shall mean any nation or government, any state or other political subdivision thereof or any entity, authority, agency, division or department exercising the executive, legislative, judicial, taxing, regulatory or administrative powers or functions of or pertaining to a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45"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mean (i) IBEX Global Solutions PLC until such time as such entity is wound down and dissolved, (ii) Holdings and (iii) any other Person who may hereafter guarantee payment or performance of the whole or any part of the Obligations and “Guarantors” means, collectively, all such Persons.</w:t>
      </w:r>
    </w:p>
    <w:p>
      <w:pPr>
        <w:spacing w:after="0" w:line="140"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Security Agreement</w:t>
      </w:r>
      <w:r>
        <w:rPr>
          <w:rFonts w:ascii="Times New Roman" w:cs="Times New Roman" w:eastAsia="Times New Roman" w:hAnsi="Times New Roman"/>
          <w:sz w:val="18"/>
          <w:szCs w:val="18"/>
          <w:color w:val="auto"/>
        </w:rPr>
        <w:t>” shall mean any security agreement executed by any Guarantor in favor of Agent securing the Obligations or the Guaranty of such Guarantor, in form and substance satisfactory to Agent.</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shall mean any guaranty of the Obligations executed by a Guarantor in favor of Agent for its benefit and for the ratable benefit of Lenders, in form and substance satisfactory to Agent.</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Discharge</w:t>
      </w:r>
      <w:r>
        <w:rPr>
          <w:rFonts w:ascii="Times New Roman" w:cs="Times New Roman" w:eastAsia="Times New Roman" w:hAnsi="Times New Roman"/>
          <w:sz w:val="18"/>
          <w:szCs w:val="18"/>
          <w:color w:val="auto"/>
        </w:rPr>
        <w:t>” shall have the meaning set forth in Section 9.3(b) hereof.</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without limitation, any flammable explosives, radon, radioactive materials, asbestos, urea formaldehyde foam insulation, polychlorinated biphenyls, petroleum and petroleum products, methane, hazardous materials, Hazardous Wastes, hazardous or Toxic Substances or related materials as defined in or subject to regulation under Environmental Laws.</w:t>
      </w:r>
    </w:p>
    <w:p>
      <w:pPr>
        <w:spacing w:after="0" w:line="140"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Wastes</w:t>
      </w:r>
      <w:r>
        <w:rPr>
          <w:rFonts w:ascii="Times New Roman" w:cs="Times New Roman" w:eastAsia="Times New Roman" w:hAnsi="Times New Roman"/>
          <w:sz w:val="18"/>
          <w:szCs w:val="18"/>
          <w:color w:val="auto"/>
        </w:rPr>
        <w:t>” shall mean all waste materials subject to regulation under CERCLA, RCRA or applicable state law, and any other applicable Federal and state laws now in force or hereafter enacted relating to hazardous waste disposal.</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Liabilities</w:t>
      </w:r>
      <w:r>
        <w:rPr>
          <w:rFonts w:ascii="Times New Roman" w:cs="Times New Roman" w:eastAsia="Times New Roman" w:hAnsi="Times New Roman"/>
          <w:sz w:val="18"/>
          <w:szCs w:val="18"/>
          <w:color w:val="auto"/>
        </w:rPr>
        <w:t>” shall mean collectively, the Foreign Currency Hedge Liabilities and the Interest Rate Hedge Liabilities.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44" w:name="page245"/>
    <w:bookmarkEnd w:id="244"/>
    <w:p>
      <w:pPr>
        <w:jc w:val="both"/>
        <w:ind w:left="9" w:firstLine="5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Reserve</w:t>
      </w:r>
      <w:r>
        <w:rPr>
          <w:rFonts w:ascii="Times New Roman" w:cs="Times New Roman" w:eastAsia="Times New Roman" w:hAnsi="Times New Roman"/>
          <w:sz w:val="18"/>
          <w:szCs w:val="18"/>
          <w:color w:val="auto"/>
        </w:rPr>
        <w:t>” shall mean a reserve in the amount of any negative mark to market on Borrower’s Hedge Liabilities in excess of $125,000.</w:t>
      </w:r>
    </w:p>
    <w:p>
      <w:pPr>
        <w:spacing w:after="0" w:line="129"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shall mean IBEX Global Limited, a Bermuda entity.</w:t>
      </w:r>
    </w:p>
    <w:p>
      <w:pPr>
        <w:spacing w:after="0" w:line="169"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IBEX</w:t>
      </w:r>
      <w:r>
        <w:rPr>
          <w:rFonts w:ascii="Times New Roman" w:cs="Times New Roman" w:eastAsia="Times New Roman" w:hAnsi="Times New Roman"/>
          <w:sz w:val="18"/>
          <w:szCs w:val="18"/>
          <w:color w:val="auto"/>
        </w:rPr>
        <w:t>” shall have the meaning given in the recitals hereto.</w:t>
      </w:r>
    </w:p>
    <w:p>
      <w:pPr>
        <w:spacing w:after="0" w:line="169" w:lineRule="exact"/>
        <w:rPr>
          <w:sz w:val="20"/>
          <w:szCs w:val="20"/>
          <w:color w:val="auto"/>
        </w:rPr>
      </w:pPr>
    </w:p>
    <w:p>
      <w:pPr>
        <w:jc w:val="both"/>
        <w:ind w:left="9"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International Financial Reporting Standards</w:t>
      </w:r>
      <w:r>
        <w:rPr>
          <w:rFonts w:ascii="Times New Roman" w:cs="Times New Roman" w:eastAsia="Times New Roman" w:hAnsi="Times New Roman"/>
          <w:sz w:val="18"/>
          <w:szCs w:val="18"/>
          <w:color w:val="auto"/>
        </w:rPr>
        <w:t>” shall mean International Financial Reporting Standards (including International Accounting Standards (IAS)) and Interpretations issued by International Financial Reporting Interpretations Committee (IFRIC) of the International Accounting Standard Board (IASB) from time to time as adopted by the European Union.</w:t>
      </w:r>
    </w:p>
    <w:p>
      <w:pPr>
        <w:spacing w:after="0" w:line="140" w:lineRule="exact"/>
        <w:rPr>
          <w:sz w:val="20"/>
          <w:szCs w:val="20"/>
          <w:color w:val="auto"/>
        </w:rPr>
      </w:pPr>
    </w:p>
    <w:p>
      <w:pPr>
        <w:jc w:val="both"/>
        <w:ind w:left="9" w:firstLine="531"/>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as to any Person at any time, any and all indebtedness, obligations or liabilities (whether matured or unmatured, liquidated or unliquidated, direct or indirect, absolute or contingent, or joint or several) of such Person for or in respect of:</w:t>
      </w:r>
    </w:p>
    <w:p>
      <w:pPr>
        <w:spacing w:after="0" w:line="1" w:lineRule="exact"/>
        <w:rPr>
          <w:sz w:val="20"/>
          <w:szCs w:val="20"/>
          <w:color w:val="auto"/>
        </w:rPr>
      </w:pPr>
    </w:p>
    <w:p>
      <w:pPr>
        <w:jc w:val="both"/>
        <w:ind w:left="9" w:right="20" w:firstLine="70"/>
        <w:spacing w:after="0" w:line="230" w:lineRule="auto"/>
        <w:tabs>
          <w:tab w:leader="none" w:pos="36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money; (b) amounts received under or liabilities in respect of any note purchase or acceptance credit facility, and all obligations of such Person evidenced by bonds, debentures, notes or other similar instruments; (c) all Capitalized Lease Obligations;</w:t>
      </w:r>
    </w:p>
    <w:p>
      <w:pPr>
        <w:spacing w:after="0" w:line="1" w:lineRule="exact"/>
        <w:rPr>
          <w:rFonts w:ascii="Times New Roman" w:cs="Times New Roman" w:eastAsia="Times New Roman" w:hAnsi="Times New Roman"/>
          <w:sz w:val="18"/>
          <w:szCs w:val="18"/>
          <w:color w:val="auto"/>
        </w:rPr>
      </w:pPr>
    </w:p>
    <w:p>
      <w:pPr>
        <w:jc w:val="both"/>
        <w:ind w:left="9" w:hanging="9"/>
        <w:spacing w:after="0" w:line="230" w:lineRule="auto"/>
        <w:tabs>
          <w:tab w:leader="none" w:pos="28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(contingent or otherwise) under any letter of credit agreement, banker’s acceptance agreement or similar arrangement; (e) obligations under any Interest Rate Hedge, Foreign Currency Hedge, or other interest rate management device, foreign currency exchange agreement, currency swap agreement, commodity price protection agreement or other interest or currency exchange rate or commodity price hedging arrangement; (f) any other advances of credit made to or on behalf of such Person or other transaction (including forward sale or purchase agreements, capitalized leases and conditional sales agreements) having the commercial effect of a borrowing of money entered into by such Person to finance its operations or capital requirements including to finance the purchase price of property or services and all obligations of such Person to pay the deferred purchase price of property or services (but not including trade payables and accrued expenses incurred in the Ordinary Course of Business which are not represented by a promissory note or other evidence of indebtedness and which are not more than thirty (30) days past due); (g) all Equity Interests of such Person subject to repurchase or redemption rights or obligations (excluding repurchases or redemptions at the sole option of such Person); (h) all indebtedness, obligations or liabilities secured by a Lien on any asset of such Person, whether or not such indebtedness, obligations or liabilities are otherwise an obligation of such Person; (i) all obligations of such Person for “earnouts”, purchase price adjustments, profit sharing arrangements, deferred purchase money amounts and similar payment obligations or continuing obligations of any nature of such</w:t>
      </w:r>
    </w:p>
    <w:p>
      <w:pPr>
        <w:spacing w:after="0" w:line="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Person arising out of purchase and sale contracts; (j) off-balance sheet liabilities and/or pension plan liabilities of such Person;</w:t>
      </w:r>
    </w:p>
    <w:p>
      <w:pPr>
        <w:jc w:val="both"/>
        <w:ind w:left="9" w:hanging="9"/>
        <w:spacing w:after="0" w:line="244" w:lineRule="auto"/>
        <w:tabs>
          <w:tab w:leader="none" w:pos="264"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arising under bonus, deferred compensation, incentive compensation or similar arrangements, other than those arising in the Ordinary Course of Business; and (l) any guaranty of any indebtedness, obligations or liabilities of a type described in the foregoing clauses</w:t>
      </w:r>
    </w:p>
    <w:p>
      <w:pPr>
        <w:ind w:left="249" w:hanging="249"/>
        <w:spacing w:after="0"/>
        <w:tabs>
          <w:tab w:leader="none" w:pos="24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(k).</w:t>
      </w:r>
    </w:p>
    <w:p>
      <w:pPr>
        <w:spacing w:after="0" w:line="149"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shall mean Taxes other than Excluded Taxes.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45" w:name="page246"/>
    <w:bookmarkEnd w:id="245"/>
    <w:p>
      <w:pPr>
        <w:jc w:val="both"/>
        <w:ind w:left="9" w:right="20" w:firstLine="5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Security</w:t>
      </w:r>
      <w:r>
        <w:rPr>
          <w:rFonts w:ascii="Times New Roman" w:cs="Times New Roman" w:eastAsia="Times New Roman" w:hAnsi="Times New Roman"/>
          <w:sz w:val="18"/>
          <w:szCs w:val="18"/>
          <w:color w:val="auto"/>
        </w:rPr>
        <w:t>” shall mean any security which may not be underwritten or dealt in by member banks of the Federal Reserve System under Section 16 of the Banking Act of 1933 (12 U.S.C. Section 24, Seventh), as amended.</w:t>
      </w:r>
    </w:p>
    <w:p>
      <w:pPr>
        <w:spacing w:after="0" w:line="129" w:lineRule="exact"/>
        <w:rPr>
          <w:sz w:val="20"/>
          <w:szCs w:val="20"/>
          <w:color w:val="auto"/>
        </w:rPr>
      </w:pPr>
    </w:p>
    <w:p>
      <w:pPr>
        <w:jc w:val="both"/>
        <w:ind w:left="9" w:firstLine="531"/>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Insolvency Event</w:t>
      </w:r>
      <w:r>
        <w:rPr>
          <w:rFonts w:ascii="Times New Roman" w:cs="Times New Roman" w:eastAsia="Times New Roman" w:hAnsi="Times New Roman"/>
          <w:sz w:val="17"/>
          <w:szCs w:val="17"/>
          <w:color w:val="auto"/>
        </w:rPr>
        <w:t>” shall mean, with respect to any Person, including without limitation any Lender, such Person or such Person’s direct or indirect parent company (a) becomes the subject of a bankruptcy or insolvency proceeding (including any proceeding under Title 11 of the United States Code), or regulatory restrictions, (b) has had a receiver, conservator, trustee, administrator, custodian, assignee for the benefit of creditors or similar Person charged with the reorganization or liquidation of its business appointed for it or has called a meeting of its creditors, (c) admits in writing its inability, or be generally unable, to pay its debts as they become due or cease operations of its present business, (d) with respect to a Lender, such Lender is unable to perform hereunder due to the application of Applicable Law, or</w:t>
      </w:r>
    </w:p>
    <w:p>
      <w:pPr>
        <w:spacing w:after="0" w:line="3" w:lineRule="exact"/>
        <w:rPr>
          <w:sz w:val="20"/>
          <w:szCs w:val="20"/>
          <w:color w:val="auto"/>
        </w:rPr>
      </w:pPr>
    </w:p>
    <w:p>
      <w:pPr>
        <w:jc w:val="both"/>
        <w:ind w:left="9" w:hanging="9"/>
        <w:spacing w:after="0" w:line="232" w:lineRule="auto"/>
        <w:tabs>
          <w:tab w:leader="none" w:pos="25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good faith determination of Agent, has taken any action in furtherance of, or indicating its consent to, approval of, or acquiescence in, any such proceeding or appointment of a type described in clauses (a) or (b), provided that an Insolvency Event shall not result solely by virtue of any ownership interest, or the acquisition of any ownership interest, in such Person or such Person’s direct or indirect parent company by a Governmental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Body or instrumentality) to reject, repudiate, disavow or disaffirm any contracts or agreements made by such Person.</w:t>
      </w:r>
    </w:p>
    <w:p>
      <w:pPr>
        <w:spacing w:after="0" w:line="150" w:lineRule="exact"/>
        <w:rPr>
          <w:sz w:val="20"/>
          <w:szCs w:val="20"/>
          <w:color w:val="auto"/>
        </w:rPr>
      </w:pPr>
    </w:p>
    <w:p>
      <w:pPr>
        <w:jc w:val="both"/>
        <w:ind w:left="9"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property constituting a patent, copyright, trademark (or any application in respect of the foregoing), service mark, copyright, copyright application, trade name, mask work, trade secrets, design right, assumed name or license or other right to use any of the foregoing under Applicable Law.</w:t>
      </w:r>
    </w:p>
    <w:p>
      <w:pPr>
        <w:spacing w:after="0" w:line="140" w:lineRule="exact"/>
        <w:rPr>
          <w:sz w:val="20"/>
          <w:szCs w:val="20"/>
          <w:color w:val="auto"/>
        </w:rPr>
      </w:pPr>
    </w:p>
    <w:p>
      <w:pPr>
        <w:jc w:val="both"/>
        <w:ind w:left="9"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Claim</w:t>
      </w:r>
      <w:r>
        <w:rPr>
          <w:rFonts w:ascii="Times New Roman" w:cs="Times New Roman" w:eastAsia="Times New Roman" w:hAnsi="Times New Roman"/>
          <w:sz w:val="18"/>
          <w:szCs w:val="18"/>
          <w:color w:val="auto"/>
        </w:rPr>
        <w:t>” shall mean the assertion, by any means, by any Person of a claim that any Borrower’s ownership, use, marketing, sale or distribution of any Inventory, equipment, Intellectual Property or other property or asset is violative of any ownership of or right to use any Intellectual Property of such Person.</w:t>
      </w:r>
    </w:p>
    <w:p>
      <w:pPr>
        <w:spacing w:after="0" w:line="140"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shall mean the period provided for any Term SOFR Rate Loan pursuant to Section 2.2(b) hereof.</w:t>
      </w:r>
    </w:p>
    <w:p>
      <w:pPr>
        <w:spacing w:after="0" w:line="169" w:lineRule="exact"/>
        <w:rPr>
          <w:sz w:val="20"/>
          <w:szCs w:val="20"/>
          <w:color w:val="auto"/>
        </w:rPr>
      </w:pPr>
    </w:p>
    <w:p>
      <w:pPr>
        <w:jc w:val="both"/>
        <w:ind w:left="9"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Hedge</w:t>
      </w:r>
      <w:r>
        <w:rPr>
          <w:rFonts w:ascii="Times New Roman" w:cs="Times New Roman" w:eastAsia="Times New Roman" w:hAnsi="Times New Roman"/>
          <w:sz w:val="18"/>
          <w:szCs w:val="18"/>
          <w:color w:val="auto"/>
        </w:rPr>
        <w:t>” shall mean an interest rate exchange, collar, cap, swap, floor, adjustable strike cap, adjustable strike corridor, cross-currency swap or similar agreements entered into by any Borrower, Guarantor and/or their respective Subsidiaries in order to provide protection to, or minimize the impact upon, such Borrower, any Guarantor and/or their respective Subsidiaries of increasing floating rates of interest applicable to Indebtedness.</w:t>
      </w:r>
    </w:p>
    <w:p>
      <w:pPr>
        <w:spacing w:after="0" w:line="145"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Hedge Liabilities</w:t>
      </w:r>
      <w:r>
        <w:rPr>
          <w:rFonts w:ascii="Times New Roman" w:cs="Times New Roman" w:eastAsia="Times New Roman" w:hAnsi="Times New Roman"/>
          <w:sz w:val="18"/>
          <w:szCs w:val="18"/>
          <w:color w:val="auto"/>
        </w:rPr>
        <w:t>” shall have the meaning assigned in the definition of Lender-Provided Interest Rate Hedge.</w:t>
      </w:r>
    </w:p>
    <w:p>
      <w:pPr>
        <w:spacing w:after="0" w:line="169" w:lineRule="exact"/>
        <w:rPr>
          <w:sz w:val="20"/>
          <w:szCs w:val="20"/>
          <w:color w:val="auto"/>
        </w:rPr>
      </w:pPr>
    </w:p>
    <w:p>
      <w:pPr>
        <w:jc w:val="both"/>
        <w:ind w:left="9" w:firstLine="58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shall mean and include as to each Borrower all of such Borrower’s inventory (as defined in Article 9 of the Uniform Commercial Code) and all of such Borrower’s goods,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46" w:name="page247"/>
    <w:bookmarkEnd w:id="246"/>
    <w:p>
      <w:pPr>
        <w:jc w:val="both"/>
        <w:spacing w:after="0"/>
        <w:rPr>
          <w:sz w:val="20"/>
          <w:szCs w:val="20"/>
          <w:color w:val="auto"/>
        </w:rPr>
      </w:pPr>
      <w:r>
        <w:rPr>
          <w:rFonts w:ascii="Times New Roman" w:cs="Times New Roman" w:eastAsia="Times New Roman" w:hAnsi="Times New Roman"/>
          <w:sz w:val="18"/>
          <w:szCs w:val="18"/>
          <w:color w:val="auto"/>
        </w:rPr>
        <w:t>merchandise and other personal property, wherever located, to be furnished under any consignment arrangement, contract of service or held for sale or lease, all raw materials, work in process, finished goods and materials and supplies of any kind, nature or description which are or might be used or consumed in such Borrower’s business or used in selling or furnishing such goods, merchandise and other personal property, and all Documents.</w:t>
      </w:r>
    </w:p>
    <w:p>
      <w:pPr>
        <w:spacing w:after="0" w:line="145" w:lineRule="exact"/>
        <w:rPr>
          <w:sz w:val="20"/>
          <w:szCs w:val="20"/>
          <w:color w:val="auto"/>
        </w:rPr>
      </w:pPr>
    </w:p>
    <w:p>
      <w:pPr>
        <w:jc w:val="both"/>
        <w:ind w:firstLine="5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ISKY</w:t>
      </w:r>
      <w:r>
        <w:rPr>
          <w:rFonts w:ascii="Times New Roman" w:cs="Times New Roman" w:eastAsia="Times New Roman" w:hAnsi="Times New Roman"/>
          <w:sz w:val="18"/>
          <w:szCs w:val="18"/>
          <w:color w:val="auto"/>
        </w:rPr>
        <w:t>” shall mean ISKY, LLC, a Delaware limited liability company and the successor by conversion to iSky, Inc., a Delaware corporation.</w:t>
      </w:r>
    </w:p>
    <w:p>
      <w:pPr>
        <w:spacing w:after="0" w:line="151"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shall mean (i) Agent in its capacity as the issuer of Letters of Credit under this Agreement and (ii) any other Person which Agent in its discretion shall designate as the issuer of and cause to issue any particular Letter of Credit under this Agreement in place of Agent as issuer.</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shall mean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Body, foreign or domestic.</w:t>
      </w:r>
    </w:p>
    <w:p>
      <w:pPr>
        <w:spacing w:after="0" w:line="140"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shall have the meaning ascribed to such term in the preamble to this Agreement and shall include each Person which becomes a transferee, successor or assign of any Lender. For the purpose of provision of this Agreement or any Other Document which provides for the granting of a security interest or other Lien to the Agent for the benefit of Lenders as security for the Obligations, “Lenders" shall include any Affiliate of a Lender to which such Obligation (specifically including any Hedge Liabilities and any Cash Management Liabilities) is owed.</w:t>
      </w:r>
    </w:p>
    <w:p>
      <w:pPr>
        <w:spacing w:after="0" w:line="146"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Lender-Provided Foreign Currency Hedge</w:t>
      </w:r>
      <w:r>
        <w:rPr>
          <w:rFonts w:ascii="Times New Roman" w:cs="Times New Roman" w:eastAsia="Times New Roman" w:hAnsi="Times New Roman"/>
          <w:sz w:val="18"/>
          <w:szCs w:val="18"/>
          <w:color w:val="auto"/>
        </w:rPr>
        <w:t>” shall mean a Foreign Currency Hedge which is provided by any Lender and for which such Lender confirms to Agent in writing prior to the execution thereof that it: (a) is documented in a standard International Swap Dealers Association, Inc.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Lender-Provided Foreign Currency Hedge (the “Foreign Currency Hedge Liabilities”) by any Borrower, Guarantor, or any of their respective Subsidiaries that is party to such Lender-Provided Foreign Currency Hedge shall, for purposes of this Agreement and all Other Documents be “Obligations” of such Person and of each other Borrower and Guarantor, be guaranteed obligations under any Guaranty and secured obligations under any Guarantor Security Agreement, as applicable, and otherwise treated as Obligations for purposes of the Other Documents, except to the extent constituting Excluded Hedge Liabilities of such Person. The Liens securing the Foreign Currency Hedge Liabilities shall be pari passu with the Liens securing all other Obligations under this Agreement and the Other Documents, subject to the express provisions of Section 11.5 hereof.</w:t>
      </w:r>
    </w:p>
    <w:p>
      <w:pPr>
        <w:spacing w:after="0" w:line="147"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Lender-Provided Interest Rate Hedge</w:t>
      </w:r>
      <w:r>
        <w:rPr>
          <w:rFonts w:ascii="Times New Roman" w:cs="Times New Roman" w:eastAsia="Times New Roman" w:hAnsi="Times New Roman"/>
          <w:sz w:val="18"/>
          <w:szCs w:val="18"/>
          <w:color w:val="auto"/>
        </w:rPr>
        <w:t>” shall mean an Interest Rate Hedge which is provided by any Lender and with respect to which such Lender confirms to Agent in writing prior to the execution thereof that it: (a) is documented in a standard International Swap Dealers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47" w:name="page248"/>
    <w:bookmarkEnd w:id="247"/>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Association, Inc.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Lender-Provided Interest Rate Hedge (the “Interest Rate Hedge Liabilities”) by any Borrower, Guarantor, or any of their respective Subsidiaries that is party to such Lender-Provided Interest Rate Hedge shall, for purposes of this Agreement and all Other Documents be “Obligations” of such Person and of each other Borrower and Guarantor, be guaranteed obligations under any Guaranty and secured obligations under any Guarantor Security Agreement, as applicable, and otherwise treated as Obligations for purposes of the Other Documents, except to the extent constituting Excluded Hedge Liabilities of such Person. The Liens securing the Hedge Liabilities shall be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securing all other Obligations under this Agreement and the Other Documents, subject to the express provisions of Section 11.5 hereof.</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shall have the meaning set forth in Section 2.12(a)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Borrowing</w:t>
      </w:r>
      <w:r>
        <w:rPr>
          <w:rFonts w:ascii="Times New Roman" w:cs="Times New Roman" w:eastAsia="Times New Roman" w:hAnsi="Times New Roman"/>
          <w:sz w:val="18"/>
          <w:szCs w:val="18"/>
          <w:color w:val="auto"/>
        </w:rPr>
        <w:t>” shall have the meaning set forth in Section 2.14(d)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shall have the meaning set forth in Section 3.2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shall mean $2,000,000.</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shall have the meaning set forth in Section 2.11 hereof.</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 Rate Loan</w:t>
      </w:r>
      <w:r>
        <w:rPr>
          <w:rFonts w:ascii="Times New Roman" w:cs="Times New Roman" w:eastAsia="Times New Roman" w:hAnsi="Times New Roman"/>
          <w:sz w:val="18"/>
          <w:szCs w:val="18"/>
          <w:color w:val="auto"/>
        </w:rPr>
        <w:t>” shall mean any Advance that was made prior to Sixteenth Amendment Date that bears interest based on the “LIBOR Rate”, as determined as of the first day of the Interest Period applicable thereto and as such term was defined in this Agreement prior to the Sixteenth Amendment Date.</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Agreement</w:t>
      </w:r>
      <w:r>
        <w:rPr>
          <w:rFonts w:ascii="Times New Roman" w:cs="Times New Roman" w:eastAsia="Times New Roman" w:hAnsi="Times New Roman"/>
          <w:sz w:val="18"/>
          <w:szCs w:val="18"/>
          <w:color w:val="auto"/>
        </w:rPr>
        <w:t>” shall mean any agreement between any Borrower and a Licensor pursuant to which such Borrower is authorized to use any Intellectual Property in connection with the manufacturing, marketing, sale or other distribution of any Inventory of such Borrower or otherwise in connection with such Borrower’s business operations.</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shall mean any Person from whom any Borrower obtains the right to use (whether on an exclusive or non-exclusive basis) any Intellectual Property in connection with such Borrower’s manufacture, marketing, sale or other distribution of any Inventory or otherwise in connection with such Borrower’s business operations.</w:t>
      </w:r>
    </w:p>
    <w:p>
      <w:pPr>
        <w:spacing w:after="0" w:line="140"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Licensor/Agent Agreement</w:t>
      </w:r>
      <w:r>
        <w:rPr>
          <w:rFonts w:ascii="Times New Roman" w:cs="Times New Roman" w:eastAsia="Times New Roman" w:hAnsi="Times New Roman"/>
          <w:sz w:val="18"/>
          <w:szCs w:val="18"/>
          <w:color w:val="auto"/>
        </w:rPr>
        <w:t>” shall mean an agreement between Agent and a Licensor, in form and substance satisfactory to Agent, by which Agent is given the unqualified right, vis-à-vis such Licensor, to enforce Agent’s Liens with respect to and to dispose of any Borrower’s Inventory with the benefit of any Intellectual Property applicable thereto, irrespective of such Borrower’s default under any License Agreement with such Licensor.</w:t>
      </w:r>
    </w:p>
    <w:p>
      <w:pPr>
        <w:spacing w:after="0" w:line="145"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shall mean any mortgage, deed of trust, pledge, hypothecation, assignment, security interest, lien (whether statutory or otherwise), Charge, claim or encumbrance, or preference, priority or other security agreement or preferential arrangement held or asserted in respect of 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48" w:name="page249"/>
    <w:bookmarkEnd w:id="248"/>
    <w:p>
      <w:pPr>
        <w:jc w:val="both"/>
        <w:spacing w:after="0" w:line="244" w:lineRule="auto"/>
        <w:rPr>
          <w:sz w:val="20"/>
          <w:szCs w:val="20"/>
          <w:color w:val="auto"/>
        </w:rPr>
      </w:pPr>
      <w:r>
        <w:rPr>
          <w:rFonts w:ascii="Times New Roman" w:cs="Times New Roman" w:eastAsia="Times New Roman" w:hAnsi="Times New Roman"/>
          <w:sz w:val="18"/>
          <w:szCs w:val="18"/>
          <w:color w:val="auto"/>
        </w:rPr>
        <w:t>asset of any kind or nature whatsoever including any conditional sale or other title retention agreement, any lease having substantially the same economic effect as any of the foregoing, and the filing of, or agreement to give, any financing statement under the Uniform Commercial Code or comparable law of any jurisdiction.</w:t>
      </w:r>
    </w:p>
    <w:p>
      <w:pPr>
        <w:spacing w:after="0" w:line="142"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 Waiver Agreement</w:t>
      </w:r>
      <w:r>
        <w:rPr>
          <w:rFonts w:ascii="Times New Roman" w:cs="Times New Roman" w:eastAsia="Times New Roman" w:hAnsi="Times New Roman"/>
          <w:sz w:val="18"/>
          <w:szCs w:val="18"/>
          <w:color w:val="auto"/>
        </w:rPr>
        <w:t>” shall mean an agreement which is executed in favor of Agent by a Person who owns or occupies premises at which any Collateral may be located from time to time in form and substance satisfactory to Agent.</w:t>
      </w:r>
    </w:p>
    <w:p>
      <w:pPr>
        <w:spacing w:after="0" w:line="128"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 material adverse effect on (a) the condition (financial or otherwise), results of operations, assets, business, properties or prospects, of Borrower and its Subsidiaries taken as a whole, (b) any Borrower’s or Guarantor’s ability to duly and punctually pay or perform the Obligations in accordance with the terms thereof, (c) the value of the Collateral taken as a whole, or Agent’s Liens on the Collateral or the priority of any such Lien or (d) the practical realization of the benefits of Agent’s and each Lender’s rights and remedies under this Agreement and the Other Documents.</w:t>
      </w:r>
    </w:p>
    <w:p>
      <w:pPr>
        <w:spacing w:after="0" w:line="146"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shall mean any contract, agreement, instrument, permit, lease or license, written or oral, of any Borrower, which is material to any Borrower’s business or which the failure to comply with could reasonably be expected to result in a Material Adverse Effect.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Loan Amount</w:t>
      </w:r>
      <w:r>
        <w:rPr>
          <w:rFonts w:ascii="Times New Roman" w:cs="Times New Roman" w:eastAsia="Times New Roman" w:hAnsi="Times New Roman"/>
          <w:sz w:val="18"/>
          <w:szCs w:val="18"/>
          <w:color w:val="auto"/>
        </w:rPr>
        <w:t>” shall mean $80,000,000, plus any increase in accordance with Section 2.24.</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Revolving Advance Amount</w:t>
      </w:r>
      <w:r>
        <w:rPr>
          <w:rFonts w:ascii="Times New Roman" w:cs="Times New Roman" w:eastAsia="Times New Roman" w:hAnsi="Times New Roman"/>
          <w:sz w:val="18"/>
          <w:szCs w:val="18"/>
          <w:color w:val="auto"/>
        </w:rPr>
        <w:t>” shall mean $80,000,000 less the Special Reserve.</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Swing Loan Advance Amount</w:t>
      </w:r>
      <w:r>
        <w:rPr>
          <w:rFonts w:ascii="Times New Roman" w:cs="Times New Roman" w:eastAsia="Times New Roman" w:hAnsi="Times New Roman"/>
          <w:sz w:val="18"/>
          <w:szCs w:val="18"/>
          <w:color w:val="auto"/>
        </w:rPr>
        <w:t>” shall mean $0.</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Undrawn Amount</w:t>
      </w:r>
      <w:r>
        <w:rPr>
          <w:rFonts w:ascii="Times New Roman" w:cs="Times New Roman" w:eastAsia="Times New Roman" w:hAnsi="Times New Roman"/>
          <w:sz w:val="18"/>
          <w:szCs w:val="18"/>
          <w:color w:val="auto"/>
        </w:rPr>
        <w:t>” shall mean, with respect to any outstanding Letter of Credit as of any date, the amount of such Letter of Credit that is or may become available to be drawn, including all automatic increases provided for in such Letter of Credit, whether or not any such automatic increase has become effective.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Modified Commitment Transfer Supplement</w:t>
      </w:r>
      <w:r>
        <w:rPr>
          <w:rFonts w:ascii="Times New Roman" w:cs="Times New Roman" w:eastAsia="Times New Roman" w:hAnsi="Times New Roman"/>
          <w:sz w:val="18"/>
          <w:szCs w:val="18"/>
          <w:color w:val="auto"/>
        </w:rPr>
        <w:t>” shall have the meaning set forth in Section 16.3(d) hereof.</w:t>
      </w:r>
    </w:p>
    <w:p>
      <w:pPr>
        <w:spacing w:after="0" w:line="169" w:lineRule="exact"/>
        <w:rPr>
          <w:sz w:val="20"/>
          <w:szCs w:val="20"/>
          <w:color w:val="auto"/>
        </w:rPr>
      </w:pPr>
    </w:p>
    <w:p>
      <w:pPr>
        <w:jc w:val="both"/>
        <w:ind w:firstLine="531"/>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shall mean a “multiemployer plan” as defined in Sections 3(37) or 4001(a)(3) of ERISA to which contributions are required or, within the preceding five plan years, were required by any Borrower or any member of the Controlled Group.</w:t>
      </w:r>
    </w:p>
    <w:p>
      <w:pPr>
        <w:spacing w:after="0" w:line="106" w:lineRule="exact"/>
        <w:rPr>
          <w:sz w:val="20"/>
          <w:szCs w:val="20"/>
          <w:color w:val="auto"/>
        </w:rPr>
      </w:pPr>
    </w:p>
    <w:p>
      <w:pPr>
        <w:jc w:val="both"/>
        <w:ind w:firstLine="531"/>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Multiple Employer Plan</w:t>
      </w:r>
      <w:r>
        <w:rPr>
          <w:rFonts w:ascii="Times New Roman" w:cs="Times New Roman" w:eastAsia="Times New Roman" w:hAnsi="Times New Roman"/>
          <w:sz w:val="17"/>
          <w:szCs w:val="17"/>
          <w:color w:val="auto"/>
        </w:rPr>
        <w:t>” shall mean a Plan which has two or more contributing sponsors (including any Borrower or any member of the Controlled Group) at least two of whom are not under common control, as such a plan is described in Section 4064 of ERISA.</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Negotiable Document</w:t>
      </w:r>
      <w:r>
        <w:rPr>
          <w:rFonts w:ascii="Times New Roman" w:cs="Times New Roman" w:eastAsia="Times New Roman" w:hAnsi="Times New Roman"/>
          <w:sz w:val="18"/>
          <w:szCs w:val="18"/>
          <w:color w:val="auto"/>
        </w:rPr>
        <w:t>” shall mean a Document that is “negotiable” within the meaning of Article 7 of the Uniform Commercial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49" w:name="page250"/>
    <w:bookmarkEnd w:id="249"/>
    <w:p>
      <w:pPr>
        <w:jc w:val="both"/>
        <w:ind w:firstLine="5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shall mean, at any time, any Lender holding a Revolving Commitment that is not a Defaulting Lender at such time.</w:t>
      </w:r>
    </w:p>
    <w:p>
      <w:pPr>
        <w:spacing w:after="0" w:line="12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Non-Qualifying Party</w:t>
      </w:r>
      <w:r>
        <w:rPr>
          <w:rFonts w:ascii="Times New Roman" w:cs="Times New Roman" w:eastAsia="Times New Roman" w:hAnsi="Times New Roman"/>
          <w:sz w:val="18"/>
          <w:szCs w:val="18"/>
          <w:color w:val="auto"/>
        </w:rPr>
        <w:t>” shall mean any Borrower or any Guarantor that on the Eligibility Date fails for any reason to qualify as an Eligible Contract Participant.</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shall mean the Revolving Credit Note and Swing Loan Note.</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shall mean and include any and all loans (including without limitation, all Advances and Swing Loans), advances, debts, liabilities, obligations (including without limitation all reimbursement obligations and cash collateralization obligations with respect to Letters of Credit issued hereunder), covenants and duties owing by any Borrower or Guarantor or any Subsidiary of any Borrower or any Guarantor to Issuer, Swing Loan Lender, Lenders or Agent (or to any other direct or indirect subsidiary or affiliate of Issuer, Swing Loan Lender. any Lender or Agent) of any kind or nature, present or future (including any interest or other amounts accruing thereon, any fees accruing under or in connection therewith, any costs and expenses of any Person payable by any Borrower and any indemnification obligations payable by any Borrower arising or payable after maturity, or after the filing of any petition in bankruptcy, or the commencement of any insolvency, reorganization or like proceeding relating to any Borrower, whether or not a claim for post-filing or post-petition interest, fees or other amounts is allowable or allowed in such proceeding), whether or not evidenced by any note, guaranty or other instrument, whether arising under any agreement, instrument or document (including this Agreement, the Other Documents, Lender-Provided Interest Rate Hedges, Lender-Provided Foreign Currency Hedges and any Cash Management Products and Services) whether or not for the payment of money, whether arising by reason of an extension of credit, opening or issuance of a letter of credit, loan, equipment lease, establishment of any commercial card or similar facility or guarantee, under any interest or currency swap, future, option or other similar agreement, or in any other manner, whether arising out of overdrafts or deposit or other accounts or electronic funds transfers (whether through automated clearing houses or otherwise) or out of Agent’s or any Lender’s non-receipt of or inability to collect funds or otherwise not being made whole in connection with depository transfer check or other similar arrangements, whether direct or indirect (including those acquired by assignment or participation), absolute or contingent, joint or several, due or to become due, now existing or hereafter arising, contractual or tortious, liquidated or unliquidated, regardless of how such indebtedness or liabilities arise or by what agreement or instrument they may be evidenced or whether evidenced by any agreement or instrument, including, but not limited to, (i) any and all of any Borrower’s or any Guarantor’s Indebtedness and/or liabilities (and any and all indebtedness, obligations and/or liabilities of any Subsidiary of any Borrower or any Guarantor) under this Agreement, the Other Documents or under any other agreement between Issuer, Agent or Lenders and any Borrower and any amendments, extensions, renewals or increases and all costs and expenses of Issuer, Agent and any Lender incurred in the documentation, negotiation, modification, enforcement, collection or otherwise in connection with any of the foregoing, including but not limited to reasonable attorneys’ fees and expenses and all obligations of any Borrower to Issuer, Agent or Lenders to perform acts or refrain from taking any action, (ii) all Hedge Liabilities and (iii) all Cash Management Liabilities.</w:t>
      </w:r>
    </w:p>
    <w:p>
      <w:pPr>
        <w:spacing w:after="0" w:line="208" w:lineRule="exact"/>
        <w:rPr>
          <w:sz w:val="20"/>
          <w:szCs w:val="20"/>
          <w:color w:val="auto"/>
        </w:rPr>
      </w:pPr>
    </w:p>
    <w:p>
      <w:pPr>
        <w:jc w:val="both"/>
        <w:ind w:right="20" w:firstLine="80"/>
        <w:spacing w:after="0" w:line="238" w:lineRule="auto"/>
        <w:rPr>
          <w:sz w:val="20"/>
          <w:szCs w:val="20"/>
          <w:color w:val="auto"/>
        </w:rPr>
      </w:pPr>
      <w:r>
        <w:rPr>
          <w:rFonts w:ascii="Times New Roman" w:cs="Times New Roman" w:eastAsia="Times New Roman" w:hAnsi="Times New Roman"/>
          <w:sz w:val="18"/>
          <w:szCs w:val="18"/>
          <w:b w:val="1"/>
          <w:bCs w:val="1"/>
          <w:color w:val="auto"/>
        </w:rPr>
        <w:t>Notwithstanding anything to the contrary contained in the foregoing, the Obligations shall not include any Excluded Hedge Liabilities.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0" w:name="page251"/>
    <w:bookmarkEnd w:id="250"/>
    <w:p>
      <w:pPr>
        <w:jc w:val="both"/>
        <w:ind w:firstLine="5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shall mean, with respect to any Borrower, the ordinary course of such Borrower’s business as conducted on the Closing Date, with such changes as are usual and customary in the industry.</w:t>
      </w:r>
    </w:p>
    <w:p>
      <w:pPr>
        <w:spacing w:after="0" w:line="129" w:lineRule="exact"/>
        <w:rPr>
          <w:sz w:val="20"/>
          <w:szCs w:val="20"/>
          <w:color w:val="auto"/>
        </w:rPr>
      </w:pPr>
    </w:p>
    <w:p>
      <w:pPr>
        <w:jc w:val="both"/>
        <w:ind w:firstLine="531"/>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shall mean, with respect to any Person, any charter, articles or certificate of incorporation, certificate of organization, registration or formation, certificate of partnership or limited partnership, bylaws, operating agreement, limited liability company agreement, or partnership agreement of such Person and any and all other applicable documents relating to such Person’s formation, organization or entity governance matters (including any shareholders’ or equity holders’ agreement or voting trust agreement) and specifically includes, without limitation, any certificates of designation for preferred stock or other forms of preferred equity.</w:t>
      </w:r>
    </w:p>
    <w:p>
      <w:pPr>
        <w:spacing w:after="0" w:line="134" w:lineRule="exact"/>
        <w:rPr>
          <w:sz w:val="20"/>
          <w:szCs w:val="20"/>
          <w:color w:val="auto"/>
        </w:rPr>
      </w:pPr>
    </w:p>
    <w:p>
      <w:pPr>
        <w:jc w:val="both"/>
        <w:ind w:firstLine="531"/>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Documents</w:t>
      </w:r>
      <w:r>
        <w:rPr>
          <w:rFonts w:ascii="Times New Roman" w:cs="Times New Roman" w:eastAsia="Times New Roman" w:hAnsi="Times New Roman"/>
          <w:sz w:val="17"/>
          <w:szCs w:val="17"/>
          <w:color w:val="auto"/>
        </w:rPr>
        <w:t>” shall mean the Note, the Perfection Certificates, any Guaranty, any Guarantor Security Agreement, any Pledge Agreement, any Lender-Provided Interest Rate Hedge any Lender-Provided Foreign Currency Hedge, the License Agreements, and any and all other agreements, instruments and documents, including intercreditor agreements, guaranties, pledges, powers of attorney, consents, interest or currency swap agreements or other similar agreements and all other writings heretofore, now or hereafter executed by any Borrower or any Guarantor and/or delivered to Agent or any Lender in respect of the transactions contemplated by this Agreement, in each case together with all extensions, renewals, amendments, supplements, modifications, substitutions and replacements thereto and thereof.</w:t>
      </w:r>
    </w:p>
    <w:p>
      <w:pPr>
        <w:spacing w:after="0" w:line="135" w:lineRule="exact"/>
        <w:rPr>
          <w:sz w:val="20"/>
          <w:szCs w:val="20"/>
          <w:color w:val="auto"/>
        </w:rPr>
      </w:pPr>
    </w:p>
    <w:p>
      <w:pPr>
        <w:jc w:val="both"/>
        <w:ind w:right="20"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shall mean all present or future stamp or documentary taxes or any other excise or property taxes, charges or similar levies arising from any payment made hereunder or under any Other Document or from the execution, delivery or enforcement of, or otherwise with respect to, this Agreement or any Other Document.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Out-of-Formula Loans</w:t>
      </w:r>
      <w:r>
        <w:rPr>
          <w:rFonts w:ascii="Times New Roman" w:cs="Times New Roman" w:eastAsia="Times New Roman" w:hAnsi="Times New Roman"/>
          <w:sz w:val="18"/>
          <w:szCs w:val="18"/>
          <w:color w:val="auto"/>
        </w:rPr>
        <w:t>” shall have the meaning set forth in Section 16.2(e) hereof.</w:t>
      </w:r>
    </w:p>
    <w:p>
      <w:pPr>
        <w:spacing w:after="0" w:line="169"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shall mean for any day the rate per annum (based on a year of 360 days and actual days elapsed)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such Federal Reserve Bank (or by such other recognized electronic source (such as Bloomberg) selected by the Agent for the purpose of displaying such rate) (an “Alternate Source”);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1" w:name="page252"/>
    <w:bookmarkEnd w:id="251"/>
    <w:p>
      <w:pPr>
        <w:jc w:val="both"/>
        <w:ind w:firstLine="531"/>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of any Person shall mean a corporation or other entity owning, directly or indirectly, 50% or more of the Equity Interests issued by such Person having ordinary voting power to elect a majority of the directors of such Person, or other Persons performing similar functions for any such Person.</w:t>
      </w:r>
    </w:p>
    <w:p>
      <w:pPr>
        <w:spacing w:after="0" w:line="142"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each Person who shall be granted the right by any Lender to participate in any of the Advances and who shall have entered into a participation agreement in form and substance satisfactory to such Lender.</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Advance</w:t>
      </w:r>
      <w:r>
        <w:rPr>
          <w:rFonts w:ascii="Times New Roman" w:cs="Times New Roman" w:eastAsia="Times New Roman" w:hAnsi="Times New Roman"/>
          <w:sz w:val="18"/>
          <w:szCs w:val="18"/>
          <w:color w:val="auto"/>
        </w:rPr>
        <w:t>” shall have the meaning set forth in Section 2.14(d) hereof.</w:t>
      </w:r>
    </w:p>
    <w:p>
      <w:pPr>
        <w:spacing w:after="0" w:line="169" w:lineRule="exact"/>
        <w:rPr>
          <w:sz w:val="20"/>
          <w:szCs w:val="20"/>
          <w:color w:val="auto"/>
        </w:rPr>
      </w:pPr>
    </w:p>
    <w:p>
      <w:pPr>
        <w:jc w:val="both"/>
        <w:ind w:right="20"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Commitment</w:t>
      </w:r>
      <w:r>
        <w:rPr>
          <w:rFonts w:ascii="Times New Roman" w:cs="Times New Roman" w:eastAsia="Times New Roman" w:hAnsi="Times New Roman"/>
          <w:sz w:val="18"/>
          <w:szCs w:val="18"/>
          <w:color w:val="auto"/>
        </w:rPr>
        <w:t>” shall mean the obligation hereunder of each Lender holding a Revolving Commitment to buy a participation equal to its Revolving Commitment Percentage (subject to any reallocation pursuant to Section 2.22(b)(iii) hereof) in the Swing Loans made by Swing Loan Lender hereunder as provided for in Section 2.4(c) hereof and in the Letters of Credit issued hereunder as provided for in Section 2.14(a) hereof.</w:t>
      </w:r>
    </w:p>
    <w:p>
      <w:pPr>
        <w:spacing w:after="0" w:line="145"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Office</w:t>
      </w:r>
      <w:r>
        <w:rPr>
          <w:rFonts w:ascii="Times New Roman" w:cs="Times New Roman" w:eastAsia="Times New Roman" w:hAnsi="Times New Roman"/>
          <w:sz w:val="18"/>
          <w:szCs w:val="18"/>
          <w:color w:val="auto"/>
        </w:rPr>
        <w:t>” shall mean initially Two Tower Center Boulevard, East Brunswick, New Jersey 08816; thereafter, such other office of Agent, if any, which it may designate by notice to Borrowing Agent and to each Lender to be the Payment Office.</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shall mean the Pension Benefit Guaranty Corporation established pursuant to Subtitle A of Title IV of ERISA or any successor.</w:t>
      </w:r>
    </w:p>
    <w:p>
      <w:pPr>
        <w:spacing w:after="0" w:line="128"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Benefit Plan</w:t>
      </w:r>
      <w:r>
        <w:rPr>
          <w:rFonts w:ascii="Times New Roman" w:cs="Times New Roman" w:eastAsia="Times New Roman" w:hAnsi="Times New Roman"/>
          <w:sz w:val="18"/>
          <w:szCs w:val="18"/>
          <w:color w:val="auto"/>
        </w:rPr>
        <w:t>” shall mean at any time any “employee pension benefit plan” as defined in Section 3(2) of ERISA (including a Multiple Employer Plan, but not a Multiemployer Plan) which is covered by Title IV of ERISA or is subject to the minimum funding standards under Sections 412, 430 or 436 of the Code and either (i) is maintained or to which contributions are required by Borrower or any member of the Controlled Group or (ii) has at any time within the preceding five years been maintained or to which contributions have been required by a Borrower or any entity which was at such time a member of the Controlled Group.</w:t>
      </w:r>
    </w:p>
    <w:p>
      <w:pPr>
        <w:spacing w:after="0" w:line="146"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Certificates</w:t>
      </w:r>
      <w:r>
        <w:rPr>
          <w:rFonts w:ascii="Times New Roman" w:cs="Times New Roman" w:eastAsia="Times New Roman" w:hAnsi="Times New Roman"/>
          <w:sz w:val="18"/>
          <w:szCs w:val="18"/>
          <w:color w:val="auto"/>
        </w:rPr>
        <w:t>” shall mean, collectively, the information questionnaires and the responses thereto provided by each Borrower and delivered to Agent.</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good faith and in the exercise (from the perspective of a secured asset-based lender) of commercially reasonable business judgment.</w:t>
      </w:r>
    </w:p>
    <w:p>
      <w:pPr>
        <w:spacing w:after="0" w:line="128"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shall mean: (a) Liens in favor of Agent for the benefit of Agent and Lenders, including without limitation, Liens securing Hedge Liabilities and Cash Management Products and Services; (b) Liens for taxes, assessments or other governmental charges not delinquent or being Properly Contested; (c) deposits or pledges to secure obligations under worker’s compensation, social security or similar laws, or under unemployment insurance; (d) deposits or pledges to secure bids, tenders, contracts (other than contracts for the payment of money), leases, statutory obligations, surety and appeal bonds and other obligations of like nature arising in the Ordinary Course of Business; (e) Liens arising by virtue of the rendition, entry or issuance against any Borrower or any Subsidiary, or any property of any Borrower or any Subsidiary, of any judgment, writ, order, or decree to the extent the rendition, entry, issuance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2" w:name="page253"/>
    <w:bookmarkEnd w:id="252"/>
    <w:p>
      <w:pPr>
        <w:jc w:val="both"/>
        <w:ind w:left="9"/>
        <w:spacing w:after="0" w:line="249" w:lineRule="auto"/>
        <w:rPr>
          <w:sz w:val="20"/>
          <w:szCs w:val="20"/>
          <w:color w:val="auto"/>
        </w:rPr>
      </w:pPr>
      <w:r>
        <w:rPr>
          <w:rFonts w:ascii="Times New Roman" w:cs="Times New Roman" w:eastAsia="Times New Roman" w:hAnsi="Times New Roman"/>
          <w:sz w:val="17"/>
          <w:szCs w:val="17"/>
          <w:color w:val="auto"/>
        </w:rPr>
        <w:t>continued existence of such judgment, writ, order or decree (or any event or circumstance relating thereto) has not resulted in the occurrence of an Event of Default under Section 10.6 hereof; (f) carriers’, repairmens’, mechanics’, workers’, materialmen’s or other like Liens arising in the Ordinary Course of Business with respect to obligations which are not due or which are being Properly Contested; (g) Liens placed upon fixed assets hereafter acquired to secure a portion of the purchase price thereof, provided that (I) any such lien shall not encumber any other property of any Borrower and (II) the aggregate amount of Indebtedness secured by such Liens incurred as a result of such purchases during any fiscal year shall not exceed the amount permitted in Section 7.6 hereof; (h) Liens on AT&amp;T Receivables sold pursuant to the Factoring Agreement provided that such Liens are subject to the AT&amp;T/Citibank Agreement; and (i) Liens disclosed on Schedule 1.2; provided that such Liens shall secure only those obligations which they secure on the Closing Date and shall not subsequently apply to any other property or assets of any Borrower other than the property and assets to which they apply as of the Closing Date.</w:t>
      </w:r>
    </w:p>
    <w:p>
      <w:pPr>
        <w:spacing w:after="0" w:line="143" w:lineRule="exact"/>
        <w:rPr>
          <w:sz w:val="20"/>
          <w:szCs w:val="20"/>
          <w:color w:val="auto"/>
        </w:rPr>
      </w:pPr>
    </w:p>
    <w:p>
      <w:pPr>
        <w:jc w:val="both"/>
        <w:ind w:left="9" w:firstLine="53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Holdings Distributions</w:t>
      </w:r>
      <w:r>
        <w:rPr>
          <w:rFonts w:ascii="Times New Roman" w:cs="Times New Roman" w:eastAsia="Times New Roman" w:hAnsi="Times New Roman"/>
          <w:sz w:val="18"/>
          <w:szCs w:val="18"/>
          <w:color w:val="auto"/>
        </w:rPr>
        <w:t>” shall mean a distribution to Holdings from time to time of an amount not to exceed in the aggregate (1) funds in an amount equal to $11,500,000 provided to a Borrower by Holdings on or prior to the Closing Date, and (2) funds provided after the Closing Date to a Borrower by Holdings as working capital or as a capital contribution and not on account of any services provided by any Borrower, upon satisfaction of the following conditions: (a) Borrowers shall have complied with the covenant in Section 6.15(c) and (b) both before and after giving pro-forma effect to any such distribution (i) no Default or Event of Default shall exist or will exist, (ii) no Springing Covenant Event shall have occurred or would exist, and (iii) Borrowers shall have complied with the covenant in Section 6.5 (Fixed Charge Coverage Ratio). For purposes of calculating the amount that may be distributed at any time hereunder, all distributions will be deemed distributed on account of the amounts permitted under subsection (1) above until such time that the full amount of the funds provided to Borrowers by Holdings prior to the Closing Date has been returned, which as of the Sixth Amendment Effective Date, Borrowers acknowledge have been fully paid and satisfied, and thereafter such amounts shall be deemed distributed on account of subsection (2) above.</w:t>
      </w:r>
    </w:p>
    <w:p>
      <w:pPr>
        <w:spacing w:after="0" w:line="147" w:lineRule="exact"/>
        <w:rPr>
          <w:sz w:val="20"/>
          <w:szCs w:val="20"/>
          <w:color w:val="auto"/>
        </w:rPr>
      </w:pPr>
    </w:p>
    <w:p>
      <w:pPr>
        <w:jc w:val="both"/>
        <w:ind w:left="9" w:firstLine="531"/>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Indebtedness</w:t>
      </w:r>
      <w:r>
        <w:rPr>
          <w:rFonts w:ascii="Times New Roman" w:cs="Times New Roman" w:eastAsia="Times New Roman" w:hAnsi="Times New Roman"/>
          <w:sz w:val="17"/>
          <w:szCs w:val="17"/>
          <w:color w:val="auto"/>
        </w:rPr>
        <w:t>” shall mean: (a) the Obligations; (b) Indebtedness incurred for Capital Expenditures permitted in Section 7.6 hereof; (c) any guarantees of Indebtedness permitted under Section 7.3 hereof; (d) any Indebtedness listed on Schedule 5.8(b)(ii) hereof;</w:t>
      </w:r>
    </w:p>
    <w:p>
      <w:pPr>
        <w:spacing w:after="0" w:line="1" w:lineRule="exact"/>
        <w:rPr>
          <w:sz w:val="20"/>
          <w:szCs w:val="20"/>
          <w:color w:val="auto"/>
        </w:rPr>
      </w:pPr>
    </w:p>
    <w:p>
      <w:pPr>
        <w:jc w:val="both"/>
        <w:ind w:left="9" w:hanging="9"/>
        <w:spacing w:after="0" w:line="234" w:lineRule="auto"/>
        <w:tabs>
          <w:tab w:leader="none" w:pos="2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Permitted Loans; (f) Indebtedness incurred by Borrowers from any Affiliate of a Borrower so long as such loan is pursuant to terms and conditions including subordination provisions acceptable to Agent; and (g) Interest Rate Hedges and Foreign Currency Hedges that are entered into by Borrowers to hedge their risks with respect to outstanding Indebtedness of Borrowers and not for speculative or investment purposes.</w:t>
      </w:r>
    </w:p>
    <w:p>
      <w:pPr>
        <w:spacing w:after="0" w:line="146" w:lineRule="exact"/>
        <w:rPr>
          <w:sz w:val="20"/>
          <w:szCs w:val="20"/>
          <w:color w:val="auto"/>
        </w:rPr>
      </w:pPr>
    </w:p>
    <w:p>
      <w:pPr>
        <w:jc w:val="both"/>
        <w:ind w:left="9" w:firstLine="531"/>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shall mean investments in: (a) obligations issued or guaranteed by the United States of America or any agency thereof; (b) commercial paper with maturities of not more than 180 days and a published rating of not less than A-1 or P-1 (or the equivalent rating); (c) certificates of time deposit and bankers’ acceptances having maturities of not more than 180 days and repurchase agreements backed by United States government securities of a commercial bank if (i) such bank has a combined capital and surplus of at least $500,000,000, or (ii) its debt obligations, or those of a holding company of which it is a Subsidiary, are rated not less than A (or the equivalent rating) by a nationally recognized investment rating agency; (d) U.S. money market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color w:val="auto"/>
        </w:rPr>
        <w:t>funds that invest solely in obligations issued or guaranteed by the United States of America or an agency thereof; and (e) Permitted Loans.</w:t>
      </w:r>
    </w:p>
    <w:p>
      <w:pPr>
        <w:spacing w:after="0" w:line="180"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Loans</w:t>
      </w:r>
      <w:r>
        <w:rPr>
          <w:rFonts w:ascii="Times New Roman" w:cs="Times New Roman" w:eastAsia="Times New Roman" w:hAnsi="Times New Roman"/>
          <w:sz w:val="18"/>
          <w:szCs w:val="18"/>
          <w:color w:val="auto"/>
        </w:rPr>
        <w:t>” shall mean: (a) the extension of trade credit by a Borrower to its Customer(s), in the Ordinary Course of Business in connection with a sale of Inventory or rendition of services, in each case on open account terms; and (b) intercompany loans between and among Borrowers, so long as, at the request of Agent, each such intercompany loan is evidenced by a promissory note (including, if applicable, any master intercompany note executed by Borrowers) on terms and conditions (including terms subordinating payment of the indebtedness evidenced by such note to the prior payment in full of all Obligations, provided that no such subordination shall prohibit payments otherwise permitted hereunder, including Permitted Holdings Distributions) acceptable to Agent in its Permitted Discretion that has been delivered to Agent either endorsed in blank or together with an undated instrument of transfer executed in blank by the applicable Borrower(s) that are the payee(s) on such note.</w:t>
      </w:r>
    </w:p>
    <w:p>
      <w:pPr>
        <w:spacing w:after="0" w:line="148"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Royalty Payments</w:t>
      </w:r>
      <w:r>
        <w:rPr>
          <w:rFonts w:ascii="Times New Roman" w:cs="Times New Roman" w:eastAsia="Times New Roman" w:hAnsi="Times New Roman"/>
          <w:sz w:val="18"/>
          <w:szCs w:val="18"/>
          <w:color w:val="auto"/>
        </w:rPr>
        <w:t>” shall mean the payment of Royalty Payments by a Borrower on a quarterly basis upon satisfaction of the following conditions: (a) both before and after giving pro-forma effect to any such payments (i) no Default or Event of Default shall exist, (ii) no Springing Covenant Event shall exist, and (iii) Borrowers shall have caused to be maintained as of the end of the most recent fiscal quarter for which Borrowers shall have been required to deliver financial statements to Agent pursuant to Section 9.7 or 9.8, as applicable, a Fixed Charge Coverage Ratio of not less than 1.20 to 1.00, measured on a rolling four (4) quarter basis; and (b) the aggregate amount of such payments shall not exceed the lesser of, (i) four percent (4%) of the Borrowers’ gross revenue (determined in accordance with IFRS) for any fiscal period, and (ii) from and after the Sixth Amendment Effective Date, the aggregate amount of distributions and Permitted Royalty Payments permitted in the definition of Permitted Holdings Distributions.</w:t>
      </w:r>
    </w:p>
    <w:p>
      <w:pPr>
        <w:spacing w:after="0" w:line="148"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sole proprietorship, partnership, corporation, business trust, joint stock company, trust, unincorporated organization, association, limited liability company, limited liability partnership, institution, public benefit corporation, joint venture, entity or Governmental Body (whether federal, state, county, city, municipal or otherwise, including any instrumentality, division, agency, body or department thereof).</w:t>
      </w:r>
    </w:p>
    <w:p>
      <w:pPr>
        <w:spacing w:after="0" w:line="145"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any employee benefit plan within the meaning of Section 3(3) of ERISA (including a Pension Benefit Plan and a Multiemployer Plan, as defined herein) maintained by any Borrower or any member of the Controlled Group or to which any Borrower or any member of the Controlled Group is required to contribute.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shall mean any pledge agreements executed by any Person to secure the Obligations.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shall have the meaning set forth in the preamble to this Agreement and shall extend to all of its successors and assigns.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Balance Sheet</w:t>
      </w:r>
      <w:r>
        <w:rPr>
          <w:rFonts w:ascii="Times New Roman" w:cs="Times New Roman" w:eastAsia="Times New Roman" w:hAnsi="Times New Roman"/>
          <w:sz w:val="18"/>
          <w:szCs w:val="18"/>
          <w:color w:val="auto"/>
        </w:rPr>
        <w:t>” shall have the meaning set forth in Section 5.5(a)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shall have the meaning set forth in Section 5.5(b) hereof.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4" w:name="page255"/>
    <w:bookmarkEnd w:id="254"/>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shall have the meaning set forth in Section 5.5(b) hereof.</w:t>
      </w:r>
    </w:p>
    <w:p>
      <w:pPr>
        <w:spacing w:after="0" w:line="168"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Properly Contested</w:t>
      </w:r>
      <w:r>
        <w:rPr>
          <w:rFonts w:ascii="Times New Roman" w:cs="Times New Roman" w:eastAsia="Times New Roman" w:hAnsi="Times New Roman"/>
          <w:sz w:val="18"/>
          <w:szCs w:val="18"/>
          <w:color w:val="auto"/>
        </w:rPr>
        <w:t>” shall mean, in the case of any Indebtedness, Lien or Taxes, as applicable, of any Person that are not paid as and when due or payable by reason of such Person’s bona fide dispute concerning its liability to pay the same or concerning the amount thereof: (a) such Indebtedness, Lien or Taxes, as applicable, are being properly contested in good faith by appropriate proceedings promptly instituted and diligently conducted; (b) such Person has established appropriate reserves as shall be required in conformity with IFRS; (c) the non-payment of such Indebtedness or Taxes will not have a Material Adverse Effect or will not result in the forfeiture of any assets of such Person; (d) no Lien is imposed upon any of such Person’s assets with respect to such Indebtedness or taxes unless such Lien (x) does not attach to any Receivables or Inventory, (y) is at all times junior and subordinate in priority to the Liens in favor of the Agent (except only with respect to property Taxes that have priority as a matter of applicable state law) and, (z) enforcement of such Lien is stayed during the period prior to the final resolution or disposition of such dispute; and (e) if such Indebtedness or Lien, as applicable, results from, or is determined by the entry, rendition or issuance against a Person or any of its assets of a judgment, writ, order or decree, enforcement of such judgment, writ, order or decree is stayed pending a timely appeal or other judicial review.</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shall have the meaning set forth in Section 16.2(f)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Purchasing CLO</w:t>
      </w:r>
      <w:r>
        <w:rPr>
          <w:rFonts w:ascii="Times New Roman" w:cs="Times New Roman" w:eastAsia="Times New Roman" w:hAnsi="Times New Roman"/>
          <w:sz w:val="18"/>
          <w:szCs w:val="18"/>
          <w:color w:val="auto"/>
        </w:rPr>
        <w:t>” shall have the meaning set forth in Section 16.3(d)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Purchasing Lender</w:t>
      </w:r>
      <w:r>
        <w:rPr>
          <w:rFonts w:ascii="Times New Roman" w:cs="Times New Roman" w:eastAsia="Times New Roman" w:hAnsi="Times New Roman"/>
          <w:sz w:val="18"/>
          <w:szCs w:val="18"/>
          <w:color w:val="auto"/>
        </w:rPr>
        <w:t>” shall have the meaning set forth in Section 16.3(c) hereof.</w:t>
      </w:r>
    </w:p>
    <w:p>
      <w:pPr>
        <w:spacing w:after="0" w:line="169"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Loan Party</w:t>
      </w:r>
      <w:r>
        <w:rPr>
          <w:rFonts w:ascii="Times New Roman" w:cs="Times New Roman" w:eastAsia="Times New Roman" w:hAnsi="Times New Roman"/>
          <w:sz w:val="18"/>
          <w:szCs w:val="18"/>
          <w:color w:val="auto"/>
        </w:rPr>
        <w:t>” shall mean each Borrower or Guarantor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spacing w:after="0" w:line="146"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shall mean the Resource Conservation and Recovery Act, 42 U.S.C. §§ 6901 et seq., as same may be amended from time to time.</w:t>
      </w:r>
    </w:p>
    <w:p>
      <w:pPr>
        <w:spacing w:after="0" w:line="128"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shall mean all of the owned and leased premises identified on Schedule 4.4 hereto or in and to any other premises or real property that are hereafter owned or leased by any Borrower.</w:t>
      </w:r>
    </w:p>
    <w:p>
      <w:pPr>
        <w:spacing w:after="0" w:line="128"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shall mean and include, as to each Borrower, all of such Borrower’s accounts (as defined in Article 9 of the Uniform Commercial Code) and all of such Borrower’s contract rights, instruments (including those evidencing indebtedness owed to such Borrower by its Affiliates), documents, chattel paper (including electronic chattel paper), general intangibles relating to accounts, contract rights, instruments, documents and chattel paper, and drafts and acceptances, credit card receivables and all other forms of obligations owing to such Borrower arising out of or in connection with the sale or lease of Inventory or the rendition of services, all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5" w:name="page256"/>
    <w:bookmarkEnd w:id="255"/>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supporting obligations, guarantees and other security therefor, whether secured or unsecured, now existing or hereafter created, and whether or not specifically sold or assigned to Agent hereunder.</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Advance Rate</w:t>
      </w:r>
      <w:r>
        <w:rPr>
          <w:rFonts w:ascii="Times New Roman" w:cs="Times New Roman" w:eastAsia="Times New Roman" w:hAnsi="Times New Roman"/>
          <w:sz w:val="18"/>
          <w:szCs w:val="18"/>
          <w:color w:val="auto"/>
        </w:rPr>
        <w:t>” shall have the meaning set forth in Section 2.1(a)(y)(i)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shall have the meaning set forth in Section 16.3(e)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shall have the meaning set forth in Section 2.14(b)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have the meaning set forth in Section 5.7(c)(i) hereof.</w:t>
      </w:r>
    </w:p>
    <w:p>
      <w:pPr>
        <w:spacing w:after="0" w:line="169" w:lineRule="exact"/>
        <w:rPr>
          <w:sz w:val="20"/>
          <w:szCs w:val="20"/>
          <w:color w:val="auto"/>
        </w:rPr>
      </w:pPr>
    </w:p>
    <w:p>
      <w:pPr>
        <w:jc w:val="both"/>
        <w:ind w:firstLine="58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Compliance Event</w:t>
      </w:r>
      <w:r>
        <w:rPr>
          <w:rFonts w:ascii="Times New Roman" w:cs="Times New Roman" w:eastAsia="Times New Roman" w:hAnsi="Times New Roman"/>
          <w:sz w:val="18"/>
          <w:szCs w:val="18"/>
          <w:color w:val="auto"/>
        </w:rPr>
        <w:t>” shall mean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w:t>
      </w:r>
    </w:p>
    <w:p>
      <w:pPr>
        <w:spacing w:after="0" w:line="145"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ERISA Event</w:t>
      </w:r>
      <w:r>
        <w:rPr>
          <w:rFonts w:ascii="Times New Roman" w:cs="Times New Roman" w:eastAsia="Times New Roman" w:hAnsi="Times New Roman"/>
          <w:sz w:val="18"/>
          <w:szCs w:val="18"/>
          <w:color w:val="auto"/>
        </w:rPr>
        <w:t>” shall mean a reportable event described in Section 4043(c) of ERISA or the regulations promulgated thereunder.</w:t>
      </w:r>
    </w:p>
    <w:p>
      <w:pPr>
        <w:spacing w:after="0" w:line="128"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shall mean Lenders (not including Swing Loan Lender (in its capacity as such Swing Loan Lender) or any Defaulting Lender) holding at least fifty one percent (51%) of the aggregate of the Revolving Commitment Amounts of all Lenders (excluding any Defaulting Lender), or (b) after the termination of all commitments of Lenders hereunder, the sum of the outstanding Revolving Advances and Swing Loans, plus the Maximum Undrawn Amount of all outstanding Letters of Credit; provided, however, if there are fewer than three (3) Lenders, Required Lenders shall mean all Lenders (excluding any Defaulting Lender).</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Advances</w:t>
      </w:r>
      <w:r>
        <w:rPr>
          <w:rFonts w:ascii="Times New Roman" w:cs="Times New Roman" w:eastAsia="Times New Roman" w:hAnsi="Times New Roman"/>
          <w:sz w:val="18"/>
          <w:szCs w:val="18"/>
          <w:color w:val="auto"/>
        </w:rPr>
        <w:t>” shall mean Advances other than Letters of Credit and the Swing Loans.</w:t>
      </w:r>
    </w:p>
    <w:p>
      <w:pPr>
        <w:spacing w:after="0" w:line="169" w:lineRule="exact"/>
        <w:rPr>
          <w:sz w:val="20"/>
          <w:szCs w:val="20"/>
          <w:color w:val="auto"/>
        </w:rPr>
      </w:pPr>
    </w:p>
    <w:p>
      <w:pPr>
        <w:jc w:val="both"/>
        <w:ind w:firstLine="575"/>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shall mean, as to any Lender, the obligation of such Lender (if applicable), to make Revolving Advances and participate in Swing Loans and Letters of Credit, in an aggregate principal and/or face amount not to exceed the Revolving Commitment Amount (if any) of such Lender.</w:t>
      </w:r>
    </w:p>
    <w:p>
      <w:pPr>
        <w:spacing w:after="0" w:line="140"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Amount</w:t>
      </w:r>
      <w:r>
        <w:rPr>
          <w:rFonts w:ascii="Times New Roman" w:cs="Times New Roman" w:eastAsia="Times New Roman" w:hAnsi="Times New Roman"/>
          <w:sz w:val="18"/>
          <w:szCs w:val="18"/>
          <w:color w:val="auto"/>
        </w:rPr>
        <w:t>” shall mean, as to any Lender, the Revolving Commitment amount (if any) set forth below such Lender’s name on the signature page hereto (or, in the case of any Lender that became party to this Agreement after the Closing Date pursuant to Section 16.3(c) or (d) hereof, the Revolving Commitment amount (if any) of such Lender as set forth in the applicable Commitment Transfer Supplement).</w:t>
      </w:r>
    </w:p>
    <w:p>
      <w:pPr>
        <w:spacing w:after="0" w:line="145" w:lineRule="exact"/>
        <w:rPr>
          <w:sz w:val="20"/>
          <w:szCs w:val="20"/>
          <w:color w:val="auto"/>
        </w:rPr>
      </w:pPr>
    </w:p>
    <w:p>
      <w:pPr>
        <w:jc w:val="both"/>
        <w:ind w:right="20"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Percentage</w:t>
      </w:r>
      <w:r>
        <w:rPr>
          <w:rFonts w:ascii="Times New Roman" w:cs="Times New Roman" w:eastAsia="Times New Roman" w:hAnsi="Times New Roman"/>
          <w:sz w:val="18"/>
          <w:szCs w:val="18"/>
          <w:color w:val="auto"/>
        </w:rPr>
        <w:t>” shall mean, as to any Lender, the Revolving Commitment Percentage (if any) set forth below such Lender’s name on the signature page hereof (or, in the case of any Lender that became party to this Agreement after the Closing Date pursuant to Section 16.3(c) or (d) hereof, the Revolving Commitment Percentage (if any) of such Lender as set forth in the applicable Commitment Transfer Supplement).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6" w:name="page257"/>
    <w:bookmarkEnd w:id="256"/>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shall mean, collectively, the promissory notes referred to in Section 2.1(a) hereof.</w:t>
      </w:r>
    </w:p>
    <w:p>
      <w:pPr>
        <w:spacing w:after="0" w:line="168" w:lineRule="exact"/>
        <w:rPr>
          <w:sz w:val="20"/>
          <w:szCs w:val="20"/>
          <w:color w:val="auto"/>
        </w:rPr>
      </w:pPr>
    </w:p>
    <w:p>
      <w:pPr>
        <w:jc w:val="both"/>
        <w:ind w:firstLine="531"/>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Interest Rate</w:t>
      </w:r>
      <w:r>
        <w:rPr>
          <w:rFonts w:ascii="Times New Roman" w:cs="Times New Roman" w:eastAsia="Times New Roman" w:hAnsi="Times New Roman"/>
          <w:sz w:val="17"/>
          <w:szCs w:val="17"/>
          <w:color w:val="auto"/>
        </w:rPr>
        <w:t xml:space="preserve">” shall mean (a) with respect to Revolving Advances that are Domestic Rate Loans and Swing Loans, an interest rate per annum equal to the sum of the Applicable Margin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Alternate Base Rate and (b) with respect to Revolving Advances that are Term SOFR Rate Loans, an interest rate per annum equal to the sum of the Applicable Margin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Term SOFR Rate.</w:t>
      </w:r>
    </w:p>
    <w:p>
      <w:pPr>
        <w:spacing w:after="0" w:line="124"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Agreements</w:t>
      </w:r>
      <w:r>
        <w:rPr>
          <w:rFonts w:ascii="Times New Roman" w:cs="Times New Roman" w:eastAsia="Times New Roman" w:hAnsi="Times New Roman"/>
          <w:sz w:val="18"/>
          <w:szCs w:val="18"/>
          <w:color w:val="auto"/>
        </w:rPr>
        <w:t>” shall mean all documents and instruments evidencing any Borrower’s obligation to pay any Royalty Payments.</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Payments</w:t>
      </w:r>
      <w:r>
        <w:rPr>
          <w:rFonts w:ascii="Times New Roman" w:cs="Times New Roman" w:eastAsia="Times New Roman" w:hAnsi="Times New Roman"/>
          <w:sz w:val="18"/>
          <w:szCs w:val="18"/>
          <w:color w:val="auto"/>
        </w:rPr>
        <w:t>” shall mean payments to IBEX Global Europe S.A.R.L. or any other wholly owned Subsidiary of Holdings for the use of intellectual property.</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shall mean a country subject to a sanctions program maintained under any Anti-Terrorism Law.</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Securities and Exchange Commission or any successor thereto.</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shall mean, collectively, Agent, Issuer, Swing Loan Lender and Lenders, together with any Affiliates of Agent or any Lender to whom any Hedge Liabilities or Cash Management Liabilities are owed and with each other holder of any of the Obligations, and the respective successors and assigns of each of them.</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shall have the meaning set forth in Section 2.6(d)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shall have the meaning set forth in Section 2.6(d) hereof.</w:t>
      </w:r>
    </w:p>
    <w:p>
      <w:pPr>
        <w:spacing w:after="0" w:line="169"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Seventh Amendment</w:t>
      </w:r>
      <w:r>
        <w:rPr>
          <w:rFonts w:ascii="Times New Roman" w:cs="Times New Roman" w:eastAsia="Times New Roman" w:hAnsi="Times New Roman"/>
          <w:sz w:val="18"/>
          <w:szCs w:val="18"/>
          <w:color w:val="auto"/>
        </w:rPr>
        <w:t>” shall mean that certain Seventh Amendment to Revolving Credit and Security Agreement, dated as of the Seventh Amendment Date, by and among Borrowers, Lenders and Agent.</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Seventh Amendment Date</w:t>
      </w:r>
      <w:r>
        <w:rPr>
          <w:rFonts w:ascii="Times New Roman" w:cs="Times New Roman" w:eastAsia="Times New Roman" w:hAnsi="Times New Roman"/>
          <w:sz w:val="18"/>
          <w:szCs w:val="18"/>
          <w:color w:val="auto"/>
        </w:rPr>
        <w:t>” shall mean November 7, 2016.</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Seventh Amendment Effective Date</w:t>
      </w:r>
      <w:r>
        <w:rPr>
          <w:rFonts w:ascii="Times New Roman" w:cs="Times New Roman" w:eastAsia="Times New Roman" w:hAnsi="Times New Roman"/>
          <w:sz w:val="18"/>
          <w:szCs w:val="18"/>
          <w:color w:val="auto"/>
        </w:rPr>
        <w:t>” shall mean the “Effective Date” as defined in the Seventh Amendment.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Sixth Amendment Effective Date</w:t>
      </w:r>
      <w:r>
        <w:rPr>
          <w:rFonts w:ascii="Times New Roman" w:cs="Times New Roman" w:eastAsia="Times New Roman" w:hAnsi="Times New Roman"/>
          <w:sz w:val="18"/>
          <w:szCs w:val="18"/>
          <w:color w:val="auto"/>
        </w:rPr>
        <w:t>” shall mean June 30, 2016.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7" w:name="page258"/>
    <w:bookmarkEnd w:id="257"/>
    <w:p>
      <w:pPr>
        <w:jc w:val="both"/>
        <w:ind w:firstLine="5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Sixteenth Amendment</w:t>
      </w:r>
      <w:r>
        <w:rPr>
          <w:rFonts w:ascii="Times New Roman" w:cs="Times New Roman" w:eastAsia="Times New Roman" w:hAnsi="Times New Roman"/>
          <w:sz w:val="18"/>
          <w:szCs w:val="18"/>
          <w:color w:val="auto"/>
        </w:rPr>
        <w:t>” shall mean that certain Sixteenth Amendment to Revolving Credit and Security Agreement, dated as of the Sixteenth Amendment Date, by and among Borrowers, Lenders and Agent.</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Sixteenth Amendment Date</w:t>
      </w:r>
      <w:r>
        <w:rPr>
          <w:rFonts w:ascii="Times New Roman" w:cs="Times New Roman" w:eastAsia="Times New Roman" w:hAnsi="Times New Roman"/>
          <w:sz w:val="18"/>
          <w:szCs w:val="18"/>
          <w:color w:val="auto"/>
        </w:rPr>
        <w:t>” shall mean May __, 2022.</w:t>
      </w:r>
    </w:p>
    <w:p>
      <w:pPr>
        <w:spacing w:after="0" w:line="169"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shall mean, for any day, a rate equal to the secured overnight financing rate as administered by the Federal Reserve Bank of New York (or a successor administrator of the secured overnight financing rate).</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Floor</w:t>
      </w:r>
      <w:r>
        <w:rPr>
          <w:rFonts w:ascii="Times New Roman" w:cs="Times New Roman" w:eastAsia="Times New Roman" w:hAnsi="Times New Roman"/>
          <w:sz w:val="18"/>
          <w:szCs w:val="18"/>
          <w:color w:val="auto"/>
        </w:rPr>
        <w:t>” means a rate of interest per annum equal to zero basis points (-0-%).</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Reserve Percentage</w:t>
      </w:r>
      <w:r>
        <w:rPr>
          <w:rFonts w:ascii="Times New Roman" w:cs="Times New Roman" w:eastAsia="Times New Roman" w:hAnsi="Times New Roman"/>
          <w:sz w:val="18"/>
          <w:szCs w:val="18"/>
          <w:color w:val="auto"/>
        </w:rPr>
        <w:t>” 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Reserve</w:t>
      </w:r>
      <w:r>
        <w:rPr>
          <w:rFonts w:ascii="Times New Roman" w:cs="Times New Roman" w:eastAsia="Times New Roman" w:hAnsi="Times New Roman"/>
          <w:sz w:val="18"/>
          <w:szCs w:val="18"/>
          <w:color w:val="auto"/>
        </w:rPr>
        <w:t>” shall mean, from and after March 2, 2021, an amount equal to zero ($0).</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Covenant Event</w:t>
      </w:r>
      <w:r>
        <w:rPr>
          <w:rFonts w:ascii="Times New Roman" w:cs="Times New Roman" w:eastAsia="Times New Roman" w:hAnsi="Times New Roman"/>
          <w:sz w:val="18"/>
          <w:szCs w:val="18"/>
          <w:color w:val="auto"/>
        </w:rPr>
        <w:t>” shall mean, in any fiscal year, the occurrence of Borrowers’ Average Undrawn Availability being less than the greater of (a) twelve and one half of one percent (12.5%) of the Maximum Revolving Advance Amount for thirty (30) consecutive days or (b) $10,000,000 for thirty (30) consecutive days.</w:t>
      </w:r>
    </w:p>
    <w:p>
      <w:pPr>
        <w:spacing w:after="0" w:line="140"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Dominion Event</w:t>
      </w:r>
      <w:r>
        <w:rPr>
          <w:rFonts w:ascii="Times New Roman" w:cs="Times New Roman" w:eastAsia="Times New Roman" w:hAnsi="Times New Roman"/>
          <w:sz w:val="18"/>
          <w:szCs w:val="18"/>
          <w:color w:val="auto"/>
        </w:rPr>
        <w:t>” shall mean, the occurrence of Borrowers’ Undrawn Availability being less than the greater of (a) twelve and one half of one percent (12.5%) of the Maximum Revolving Advance Amount, and (b) $10,000,000.</w:t>
      </w:r>
    </w:p>
    <w:p>
      <w:pPr>
        <w:spacing w:after="0" w:line="128" w:lineRule="exact"/>
        <w:rPr>
          <w:sz w:val="20"/>
          <w:szCs w:val="20"/>
          <w:color w:val="auto"/>
        </w:rPr>
      </w:pPr>
    </w:p>
    <w:p>
      <w:pPr>
        <w:jc w:val="both"/>
        <w:ind w:right="20"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Termination Event (Cash Dominion)</w:t>
      </w:r>
      <w:r>
        <w:rPr>
          <w:rFonts w:ascii="Times New Roman" w:cs="Times New Roman" w:eastAsia="Times New Roman" w:hAnsi="Times New Roman"/>
          <w:sz w:val="18"/>
          <w:szCs w:val="18"/>
          <w:color w:val="auto"/>
        </w:rPr>
        <w:t>” shall mean the occurrence of (i) Borrowers’ Undrawn Availability being equal to or greater than twelve and one half of one percent (12.5%) of the Maximum Revolving Advance Amount or (ii) Borrowers’ Undrawn Availability being equal to or greater than $10,000,000, in each case for thirty (30) consecutive days.</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Termination Event (Covenants)</w:t>
      </w:r>
      <w:r>
        <w:rPr>
          <w:rFonts w:ascii="Times New Roman" w:cs="Times New Roman" w:eastAsia="Times New Roman" w:hAnsi="Times New Roman"/>
          <w:sz w:val="18"/>
          <w:szCs w:val="18"/>
          <w:color w:val="auto"/>
        </w:rPr>
        <w:t>” in any fiscal year, the occurrence of Borrowers’ Average Undrawn Availability being equal to or greater than (a) twelve and one half of one percent (12.5%) of the Maximum Revolving Advance Amount for thirty (30) consecutive days or (b) $10,000,000 for thirty (30) consecutive days.</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of any Person a corporation or other entity of whose Equity Interests having ordinary voting power (other than Equity Interests having such power only by reason of the happening of a contingency) to elect a majority of the directors of such corporation, or other Persons performing similar functions for such entity, are owned, directly or indirectly, by such Person.</w:t>
      </w:r>
    </w:p>
    <w:p>
      <w:pPr>
        <w:spacing w:after="0" w:line="140" w:lineRule="exact"/>
        <w:rPr>
          <w:sz w:val="20"/>
          <w:szCs w:val="20"/>
          <w:color w:val="auto"/>
        </w:rPr>
      </w:pPr>
    </w:p>
    <w:p>
      <w:pPr>
        <w:jc w:val="both"/>
        <w:ind w:right="20"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Stock</w:t>
      </w:r>
      <w:r>
        <w:rPr>
          <w:rFonts w:ascii="Times New Roman" w:cs="Times New Roman" w:eastAsia="Times New Roman" w:hAnsi="Times New Roman"/>
          <w:sz w:val="18"/>
          <w:szCs w:val="18"/>
          <w:color w:val="auto"/>
        </w:rPr>
        <w:t>” shall mean (a) with respect to the Equity Interests issued to a Borrower by any Subsidiary (other than a Foreign Subsidiary), 100% of such issued and outstanding Equity Interests, and (b) with respect to any Equity Interests issued to a Borrower by any Foreign Subsidiary (i) 100% of such issued and outstanding Equity Interests not entitled to vote (within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8" w:name="page259"/>
    <w:bookmarkEnd w:id="258"/>
    <w:p>
      <w:pPr>
        <w:jc w:val="both"/>
        <w:spacing w:after="0" w:line="238" w:lineRule="auto"/>
        <w:rPr>
          <w:sz w:val="20"/>
          <w:szCs w:val="20"/>
          <w:color w:val="auto"/>
        </w:rPr>
      </w:pPr>
      <w:r>
        <w:rPr>
          <w:rFonts w:ascii="Times New Roman" w:cs="Times New Roman" w:eastAsia="Times New Roman" w:hAnsi="Times New Roman"/>
          <w:sz w:val="18"/>
          <w:szCs w:val="18"/>
          <w:color w:val="auto"/>
        </w:rPr>
        <w:t>the meaning of Treas. Reg. Section 1.956(c)(2)) and (ii) 66% (or such greater percentage that, due to a change in an Applicable Law after the date hereof, (x) could not reasonably be expected to cause the undistributed earnings of such Foreign Subsidiary as determined for United States federal income tax purposes to be treated as a deemed dividend to such Borrower and (y) could not reasonably be expected to cause any material adverse tax consequences) of such issued and outstanding Equity Interests entitled to vote (within the meaning of Treas. Reg. Section 1.956-2(c)(2)).</w:t>
      </w:r>
    </w:p>
    <w:p>
      <w:pPr>
        <w:spacing w:after="0" w:line="145"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w:t>
      </w:r>
      <w:r>
        <w:rPr>
          <w:rFonts w:ascii="Times New Roman" w:cs="Times New Roman" w:eastAsia="Times New Roman" w:hAnsi="Times New Roman"/>
          <w:sz w:val="18"/>
          <w:szCs w:val="18"/>
          <w:color w:val="auto"/>
        </w:rPr>
        <w:t>” shall mean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40"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any obligation to pay or perform under any agreement, contract or transaction that constitutes a Swap which is also a Lender-Provided Interest Rate Hedge, or a Lender-Provided Foreign Currency Hedge.</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 Lender</w:t>
      </w:r>
      <w:r>
        <w:rPr>
          <w:rFonts w:ascii="Times New Roman" w:cs="Times New Roman" w:eastAsia="Times New Roman" w:hAnsi="Times New Roman"/>
          <w:sz w:val="18"/>
          <w:szCs w:val="18"/>
          <w:color w:val="auto"/>
        </w:rPr>
        <w:t>” shall mean PNC, in its capacity as lender of the Swing Loans.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 Note</w:t>
      </w:r>
      <w:r>
        <w:rPr>
          <w:rFonts w:ascii="Times New Roman" w:cs="Times New Roman" w:eastAsia="Times New Roman" w:hAnsi="Times New Roman"/>
          <w:sz w:val="18"/>
          <w:szCs w:val="18"/>
          <w:color w:val="auto"/>
        </w:rPr>
        <w:t>” shall mean the promissory note described in Section 2.4(a)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Loans</w:t>
      </w:r>
      <w:r>
        <w:rPr>
          <w:rFonts w:ascii="Times New Roman" w:cs="Times New Roman" w:eastAsia="Times New Roman" w:hAnsi="Times New Roman"/>
          <w:sz w:val="18"/>
          <w:szCs w:val="18"/>
          <w:color w:val="auto"/>
        </w:rPr>
        <w:t>” shall mean the Advances made pursuant to Section 2.4 hereof.</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all present or future taxes, levies, imposts, duties, deductions, withholdings, assessments, fees or other charges imposed by any Governmental Body, including any interest, additions to tax or penalties applicable thereto.</w:t>
      </w:r>
    </w:p>
    <w:p>
      <w:pPr>
        <w:spacing w:after="0" w:line="128"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TelSatOnline</w:t>
      </w:r>
      <w:r>
        <w:rPr>
          <w:rFonts w:ascii="Times New Roman" w:cs="Times New Roman" w:eastAsia="Times New Roman" w:hAnsi="Times New Roman"/>
          <w:sz w:val="18"/>
          <w:szCs w:val="18"/>
          <w:color w:val="auto"/>
        </w:rPr>
        <w:t>” shall mean TELSATONLINE, LLC, a Delaware limited liability company and the successor by conversion to TelSatOnline Inc., a Delaware corporation.</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Tenth Amendment</w:t>
      </w:r>
      <w:r>
        <w:rPr>
          <w:rFonts w:ascii="Times New Roman" w:cs="Times New Roman" w:eastAsia="Times New Roman" w:hAnsi="Times New Roman"/>
          <w:sz w:val="18"/>
          <w:szCs w:val="18"/>
          <w:color w:val="auto"/>
        </w:rPr>
        <w:t>” shall mean that certain Tenth Amendment to Revolving Credit and Security Agreement, dated as of the Tenth Amendment Date, by and among Borrowers, Lenders and Agent.</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Tenth Amendment Date</w:t>
      </w:r>
      <w:r>
        <w:rPr>
          <w:rFonts w:ascii="Times New Roman" w:cs="Times New Roman" w:eastAsia="Times New Roman" w:hAnsi="Times New Roman"/>
          <w:sz w:val="18"/>
          <w:szCs w:val="18"/>
          <w:color w:val="auto"/>
        </w:rPr>
        <w:t>” shall mean December 1, 2018.</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have the meaning set forth in Section 13.1 hereof.</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Agent in its reasonable discretion).</w:t>
      </w:r>
    </w:p>
    <w:p>
      <w:pPr>
        <w:spacing w:after="0" w:line="128"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shall mean, with respect to any Term SOFR Rate Loan for any Interest Period, the interest rate per annum determined by the Agent by dividing (the resulting quotient rounded upwards, at the Agent’s discretion, to the nearest 1/100th of 1%) (A) the Term SOFR Reference Rate for a tenor comparable to such Interest Period on the day (the “</w:t>
      </w:r>
      <w:r>
        <w:rPr>
          <w:rFonts w:ascii="Times New Roman" w:cs="Times New Roman" w:eastAsia="Times New Roman" w:hAnsi="Times New Roman"/>
          <w:sz w:val="18"/>
          <w:szCs w:val="18"/>
          <w:u w:val="single" w:color="auto"/>
          <w:color w:val="auto"/>
        </w:rPr>
        <w:t>Term SOFR Determination Date</w:t>
      </w:r>
      <w:r>
        <w:rPr>
          <w:rFonts w:ascii="Times New Roman" w:cs="Times New Roman" w:eastAsia="Times New Roman" w:hAnsi="Times New Roman"/>
          <w:sz w:val="18"/>
          <w:szCs w:val="18"/>
          <w:color w:val="auto"/>
        </w:rPr>
        <w:t>”) that is two (2) Business Days prior to the first day of such Interest Period, as such rate is published by the Term SOFR Administrator, by (B) a number equal to 1.00 minus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59" w:name="page260"/>
    <w:bookmarkEnd w:id="259"/>
    <w:p>
      <w:pPr>
        <w:jc w:val="both"/>
        <w:spacing w:after="0" w:line="235" w:lineRule="auto"/>
        <w:rPr>
          <w:sz w:val="20"/>
          <w:szCs w:val="20"/>
          <w:color w:val="auto"/>
        </w:rPr>
      </w:pPr>
      <w:r>
        <w:rPr>
          <w:rFonts w:ascii="Times New Roman" w:cs="Times New Roman" w:eastAsia="Times New Roman" w:hAnsi="Times New Roman"/>
          <w:sz w:val="18"/>
          <w:szCs w:val="18"/>
          <w:color w:val="auto"/>
        </w:rPr>
        <w:t>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(i) the first day of each Interest Period, and (ii) the effective date of any change in the SOFR Reserve Percentage.</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Loan</w:t>
      </w:r>
      <w:r>
        <w:rPr>
          <w:rFonts w:ascii="Times New Roman" w:cs="Times New Roman" w:eastAsia="Times New Roman" w:hAnsi="Times New Roman"/>
          <w:sz w:val="18"/>
          <w:szCs w:val="18"/>
          <w:color w:val="auto"/>
        </w:rPr>
        <w:t>” means an Advance that bears interest based on Term SOFR Rate.</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169"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shall mean: (a) a Reportable ERISA Event with respect to any Plan; (b) the withdrawal of any Borrower or any member of the Controlled Group from a Plan during a plan year in which such entity was a “substantial employer” as defined in Section 4001(a)(2) of ERISA or a cessation of operations that is treated as such a withdrawal under Section 4062(e) of ERISA; (c) the providing of notice of intent to terminate a Plan in a distress termination described in Section 4041(c) of ERISA; (d) the commencement of proceedings by the PBGC to terminate a Plan; (e) any event or condition (a) which might constitute grounds under Section 4042 of ERISA for the termination of, or the appointment of a trustee to administer, any Plan, or (b) that may result in termination of a Multiemployer Plan pursuant to Section 4041A of ERISA; (f) the partial or complete withdrawal within the meaning of Section 4203 or 4205 of ERISA, of any Borrower or any member of the Controlled Group from a Multiemployer Plan; (g) notice that a Multiemployer Plan is subject to Section 4245 of ERISA; or (h) the imposition of any liability under Title IV of ERISA, other than for PBGC premiums due but not diligent, upon any Borrower or any member of the Controlled Group.</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Thirteenth Amendment Date</w:t>
      </w:r>
      <w:r>
        <w:rPr>
          <w:rFonts w:ascii="Times New Roman" w:cs="Times New Roman" w:eastAsia="Times New Roman" w:hAnsi="Times New Roman"/>
          <w:sz w:val="18"/>
          <w:szCs w:val="18"/>
          <w:color w:val="auto"/>
        </w:rPr>
        <w:t>” shall mean April 15, 2020.</w:t>
      </w:r>
    </w:p>
    <w:p>
      <w:pPr>
        <w:spacing w:after="0" w:line="169"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Toxic Substance</w:t>
      </w:r>
      <w:r>
        <w:rPr>
          <w:rFonts w:ascii="Times New Roman" w:cs="Times New Roman" w:eastAsia="Times New Roman" w:hAnsi="Times New Roman"/>
          <w:sz w:val="18"/>
          <w:szCs w:val="18"/>
          <w:color w:val="auto"/>
        </w:rPr>
        <w:t>” shall mean and include any material present on the Real Property which has been shown to have significant adverse effect on human health or which is subject to regulation under the Toxic Substances Control Act (TSCA), 15 U.S.C. §§ 2601 et seq., applicable state law, or any other applicable Federal or state laws now in force or hereafter enacted relating to toxic substances. “Toxic Substance” includes but is not limited to asbestos, polychlorinated biphenyls (PCBs) and lead-based paints.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have the meaning set forth in Section 5.5(a) hereof.</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shall have the meaning set forth in Section 16.3(d) hereof.</w:t>
      </w:r>
    </w:p>
    <w:p>
      <w:pPr>
        <w:spacing w:after="0" w:line="169"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Twelfth Amendment”</w:t>
      </w:r>
      <w:r>
        <w:rPr>
          <w:rFonts w:ascii="Times New Roman" w:cs="Times New Roman" w:eastAsia="Times New Roman" w:hAnsi="Times New Roman"/>
          <w:sz w:val="18"/>
          <w:szCs w:val="18"/>
          <w:color w:val="auto"/>
        </w:rPr>
        <w:t xml:space="preserve"> shall mean that certain Twelfth Amendment to Revolving Credit and Security Agreement, dated as of the Twelfth Amendment Date, by and among Borrowers, Lenders and Agent.”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60" w:name="page261"/>
    <w:bookmarkEnd w:id="260"/>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Twelfth Amendment Date</w:t>
      </w:r>
      <w:r>
        <w:rPr>
          <w:rFonts w:ascii="Times New Roman" w:cs="Times New Roman" w:eastAsia="Times New Roman" w:hAnsi="Times New Roman"/>
          <w:sz w:val="18"/>
          <w:szCs w:val="18"/>
          <w:color w:val="auto"/>
        </w:rPr>
        <w:t>” shall mean May 31, 2019.”</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Unbilled Receivables Advance Rate</w:t>
      </w:r>
      <w:r>
        <w:rPr>
          <w:rFonts w:ascii="Times New Roman" w:cs="Times New Roman" w:eastAsia="Times New Roman" w:hAnsi="Times New Roman"/>
          <w:sz w:val="18"/>
          <w:szCs w:val="18"/>
          <w:color w:val="auto"/>
        </w:rPr>
        <w:t>” shall have the meaning set forth in Section 2.1(a)(y)(ii) hereof.</w:t>
      </w:r>
    </w:p>
    <w:p>
      <w:pPr>
        <w:spacing w:after="0" w:line="169"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Undrawn Availability</w:t>
      </w:r>
      <w:r>
        <w:rPr>
          <w:rFonts w:ascii="Times New Roman" w:cs="Times New Roman" w:eastAsia="Times New Roman" w:hAnsi="Times New Roman"/>
          <w:sz w:val="18"/>
          <w:szCs w:val="18"/>
          <w:color w:val="auto"/>
        </w:rPr>
        <w:t xml:space="preserve">” at a particular date shall mean an amount equal to (a) the sum of all cash in Depository Accounts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lesser of (i) the Formula Amount or (ii) the Maximum Revolving Advance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Maximum Undrawn Amount of all outstanding Letters of Credit,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sum of (i) the outstanding amount of Advances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fees and expenses incurred in connection with the Transactions for which Borrowers are liable but which have not been paid or charged to Borrowers’ Account.</w:t>
      </w:r>
    </w:p>
    <w:p>
      <w:pPr>
        <w:spacing w:after="0" w:line="145" w:lineRule="exact"/>
        <w:rPr>
          <w:sz w:val="20"/>
          <w:szCs w:val="20"/>
          <w:color w:val="auto"/>
        </w:rPr>
      </w:pPr>
    </w:p>
    <w:p>
      <w:pPr>
        <w:jc w:val="both"/>
        <w:ind w:right="20" w:firstLine="57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Capital Expenditures</w:t>
      </w:r>
      <w:r>
        <w:rPr>
          <w:rFonts w:ascii="Times New Roman" w:cs="Times New Roman" w:eastAsia="Times New Roman" w:hAnsi="Times New Roman"/>
          <w:sz w:val="18"/>
          <w:szCs w:val="18"/>
          <w:color w:val="auto"/>
        </w:rPr>
        <w:t>” shall mean, as to any Borrower, without duplication, a Capital Expenditure funded (a) from such Borrower’s internally generated cash flow or (b) with the proceeds of a Revolving Advance or Swing Loan.</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shall have the meaning set forth in Section 1.3 hereof.</w:t>
      </w:r>
    </w:p>
    <w:p>
      <w:pPr>
        <w:spacing w:after="0" w:line="169" w:lineRule="exact"/>
        <w:rPr>
          <w:sz w:val="20"/>
          <w:szCs w:val="20"/>
          <w:color w:val="auto"/>
        </w:rPr>
      </w:pPr>
    </w:p>
    <w:p>
      <w:pPr>
        <w:jc w:val="both"/>
        <w:ind w:firstLine="531"/>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shall mean the Uniting and Strengthening America by Providing Appropriate Tools Required to Intercept and Obstruct Terrorism Act of 2001, Public Law 107-56, as the same has been, or shall hereafter be, renewed, extended, amended or replaced.</w:t>
      </w:r>
    </w:p>
    <w:p>
      <w:pPr>
        <w:spacing w:after="0" w:line="106"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shall mean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40"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Uniform Commercial Code Terms</w:t>
      </w:r>
      <w:r>
        <w:rPr>
          <w:rFonts w:ascii="Times New Roman" w:cs="Times New Roman" w:eastAsia="Times New Roman" w:hAnsi="Times New Roman"/>
          <w:sz w:val="18"/>
          <w:szCs w:val="18"/>
          <w:color w:val="auto"/>
        </w:rPr>
        <w:t>. All terms used herein and defined in the Uniform Commercial Code as adopted in the State of New York from time to time (the “Uniform Commercial Code”) shall have the meaning given therein unless otherwise defined herein. Without limiting the foregoing, the terms “accounts”, “chattel paper” (and “electronic chattel paper” and “tangible chattel paper”), “commercial tort claims”, “deposit accounts”, “documents”, “equipment”, “financial asset”, “fixtures”, “general intangibles”, “goods”, “instruments”, “inventory”, “investment property”, “letter-of-credit rights”, “payment intangibles”, “proceeds”, “promissory note” “securities”, “software” and “supporting obligations” as and when used in the description of Collateral shall have the meanings given to such terms in Articles 8 or 9 of the Uniform Commercial Code. To the extent the definition of any category or type of collateral is expanded by any amendment, modification or revision to the Uniform Commercial Code, such expanded definition will apply automatically as of the date of such amendment, modification or revision.</w:t>
      </w:r>
    </w:p>
    <w:p>
      <w:pPr>
        <w:spacing w:after="0" w:line="145"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Certain Matters of Construction</w:t>
      </w:r>
      <w:r>
        <w:rPr>
          <w:rFonts w:ascii="Times New Roman" w:cs="Times New Roman" w:eastAsia="Times New Roman" w:hAnsi="Times New Roman"/>
          <w:sz w:val="18"/>
          <w:szCs w:val="18"/>
          <w:color w:val="auto"/>
        </w:rPr>
        <w:t>. The terms “herein”, “hereof” and “hereunder” and other words of similar import refer to this Agreement as a whole and not to any particular section, paragraph or subdivision. All references herein to Articles, Sections, Exhibits and Schedules shall be construed to refer to Articles and Sections of, and Exhibits and Schedules to, this Agreement. Any pronoun used shall be deemed to cover all genders. Wherever appropriate in the context, terms used herein in the singular also include the plural and vice versa. All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61" w:name="page262"/>
    <w:bookmarkEnd w:id="261"/>
    <w:p>
      <w:pPr>
        <w:jc w:val="both"/>
        <w:spacing w:after="0" w:line="232" w:lineRule="auto"/>
        <w:rPr>
          <w:sz w:val="20"/>
          <w:szCs w:val="20"/>
          <w:color w:val="auto"/>
        </w:rPr>
      </w:pPr>
      <w:r>
        <w:rPr>
          <w:rFonts w:ascii="Times New Roman" w:cs="Times New Roman" w:eastAsia="Times New Roman" w:hAnsi="Times New Roman"/>
          <w:sz w:val="18"/>
          <w:szCs w:val="18"/>
          <w:color w:val="auto"/>
        </w:rPr>
        <w:t>references to statutes and related regulations shall include any amendments of same and any successor statutes and regulations. Unless otherwise provided, all references to any instruments or agreements to which Agent is a party, including references to any of the Other Documents, shall include any and all modifications, supplements or amendments thereto, any and all restatements or replacements thereof and any and all extensions or renewals thereof. Except as otherwise expressly provided for herein, all references herein to the time of day shall mean the time in New York, New York. Unless otherwise provided, all financial calculations shall be performed with Inventory valued on a first-in, first-out basis. Whenever the words “including” or “include” shall be used, such words shall be understood to mean “including, without limitation” or “include, without limitation”. A Default or an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Required Lenders. Any Lien referred to in this Agreement or any of the Other Documents as having been created in favor of Agent, any agreement entered into by Agent pursuant to this Agreement or any of the Other Documents, any payment made by or to or funds received by Agent pursuant to or as contemplated by this Agreement or any of the Other Documents, or any act taken or omitted to be taken by Agent, shall, unless otherwise expressly provided, be created, entered into, made or received, or taken or omitted, for the benefit or account of Agent and Lenders. Wherever the phrase “to the best of Borrowers’ knowledge” or words of similar import relating to the knowledge or the awareness of any Borrower are used in this Agreement or Other Documents, such phrase shall mean and refer to (i) the actual knowledge of a senior officer of any Borrower or (ii) the knowledge that a senior officer would have obtained if he/she had engaged in a good faith and diligent performance of his/her duties, including the making of such reasonably specific inquiries as may be necessary of the employees or agents of such Borrower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52"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Term SOFR Notification</w:t>
      </w:r>
      <w:r>
        <w:rPr>
          <w:rFonts w:ascii="Times New Roman" w:cs="Times New Roman" w:eastAsia="Times New Roman" w:hAnsi="Times New Roman"/>
          <w:sz w:val="18"/>
          <w:szCs w:val="18"/>
          <w:color w:val="auto"/>
        </w:rPr>
        <w:t>. Section 3.12 of this Agreement provides a mechanism for determining an alternate rate of interest in the event that the Term SOFR Rate is no longer available or in certain other circumstances. The Agent does not warrant or accept any responsibility for and shall not have any liability with respect to, the administration, submission or any other matter related to the Term SOFR Rate or with respect to any alternative or successor rate thereto, or replacement rate therefor.</w:t>
      </w:r>
    </w:p>
    <w:p>
      <w:pPr>
        <w:spacing w:after="0" w:line="145"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Conforming Changes Relating to Term SOFR Rate</w:t>
      </w:r>
      <w:r>
        <w:rPr>
          <w:rFonts w:ascii="Times New Roman" w:cs="Times New Roman" w:eastAsia="Times New Roman" w:hAnsi="Times New Roman"/>
          <w:sz w:val="18"/>
          <w:szCs w:val="18"/>
          <w:color w:val="auto"/>
        </w:rPr>
        <w:t>. With respect to the Term SOFR Rate, the Agent will have the right to make Conforming Changes from time to time and, notwithstanding anything to the contrary herein or in any other Loan Document, any amendments implementing such Conforming Changes will become effective without any further action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62" w:name="page263"/>
    <w:bookmarkEnd w:id="262"/>
    <w:p>
      <w:pPr>
        <w:jc w:val="both"/>
        <w:ind w:left="9"/>
        <w:spacing w:after="0" w:line="244" w:lineRule="auto"/>
        <w:rPr>
          <w:sz w:val="20"/>
          <w:szCs w:val="20"/>
          <w:color w:val="auto"/>
        </w:rPr>
      </w:pPr>
      <w:r>
        <w:rPr>
          <w:rFonts w:ascii="Times New Roman" w:cs="Times New Roman" w:eastAsia="Times New Roman" w:hAnsi="Times New Roman"/>
          <w:sz w:val="18"/>
          <w:szCs w:val="18"/>
          <w:color w:val="auto"/>
        </w:rPr>
        <w:t>consent of any other party to this Agreement or any Other Documents; provided that, with respect to any such amendment effected, the Agent shall provide notice to the Borrowers and the Lenders of each such amendment implementing such Conforming Changes reasonably promptly after such amendment becomes effective.</w:t>
      </w:r>
    </w:p>
    <w:p>
      <w:pPr>
        <w:spacing w:after="0" w:line="142" w:lineRule="exact"/>
        <w:rPr>
          <w:sz w:val="20"/>
          <w:szCs w:val="20"/>
          <w:color w:val="auto"/>
        </w:rPr>
      </w:pPr>
    </w:p>
    <w:p>
      <w:pPr>
        <w:ind w:left="529" w:hanging="529"/>
        <w:spacing w:after="0"/>
        <w:tabs>
          <w:tab w:leader="none" w:pos="52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PAYMENTS.</w:t>
      </w:r>
    </w:p>
    <w:p>
      <w:pPr>
        <w:spacing w:after="0" w:line="169" w:lineRule="exact"/>
        <w:rPr>
          <w:rFonts w:ascii="Times New Roman" w:cs="Times New Roman" w:eastAsia="Times New Roman" w:hAnsi="Times New Roman"/>
          <w:sz w:val="18"/>
          <w:szCs w:val="18"/>
          <w:color w:val="auto"/>
        </w:rPr>
      </w:pPr>
    </w:p>
    <w:p>
      <w:pPr>
        <w:ind w:left="5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Revolving Advances</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jc w:val="both"/>
        <w:ind w:left="9" w:firstLine="1053"/>
        <w:spacing w:after="0" w:line="238" w:lineRule="auto"/>
        <w:tabs>
          <w:tab w:leader="none" w:pos="1601"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Revolving Advances</w:t>
      </w:r>
      <w:r>
        <w:rPr>
          <w:rFonts w:ascii="Times New Roman" w:cs="Times New Roman" w:eastAsia="Times New Roman" w:hAnsi="Times New Roman"/>
          <w:sz w:val="18"/>
          <w:szCs w:val="18"/>
          <w:color w:val="auto"/>
        </w:rPr>
        <w:t xml:space="preserve">. Subject to the terms and conditions set forth in this Agreement specifically including Sections 2.1(b) and 2.1(c), each Lender, severally and not jointly, will make Revolving Advances to Borrowers in aggregate amounts outstanding at any time equal to such Lender’s Revolving Commitment Percentage of the lesser of (x) the Maximum Revolving Advance Amount,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outstanding amount of Swing Loans,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Maximum Undrawn Amount of all outstanding Letters of Credit or (y) an amount equal to the sum of:</w:t>
      </w:r>
    </w:p>
    <w:p>
      <w:pPr>
        <w:spacing w:after="0" w:line="146" w:lineRule="exact"/>
        <w:rPr>
          <w:rFonts w:ascii="Times New Roman" w:cs="Times New Roman" w:eastAsia="Times New Roman" w:hAnsi="Times New Roman"/>
          <w:sz w:val="18"/>
          <w:szCs w:val="18"/>
          <w:color w:val="auto"/>
        </w:rPr>
      </w:pPr>
    </w:p>
    <w:p>
      <w:pPr>
        <w:ind w:left="2129" w:hanging="470"/>
        <w:spacing w:after="0"/>
        <w:tabs>
          <w:tab w:leader="none" w:pos="2129"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 (the “</w:t>
      </w:r>
      <w:r>
        <w:rPr>
          <w:rFonts w:ascii="Times New Roman" w:cs="Times New Roman" w:eastAsia="Times New Roman" w:hAnsi="Times New Roman"/>
          <w:sz w:val="18"/>
          <w:szCs w:val="18"/>
          <w:u w:val="single" w:color="auto"/>
          <w:color w:val="auto"/>
        </w:rPr>
        <w:t>Receivables Advance Rate</w:t>
      </w:r>
      <w:r>
        <w:rPr>
          <w:rFonts w:ascii="Times New Roman" w:cs="Times New Roman" w:eastAsia="Times New Roman" w:hAnsi="Times New Roman"/>
          <w:sz w:val="18"/>
          <w:szCs w:val="18"/>
          <w:color w:val="auto"/>
        </w:rPr>
        <w:t xml:space="preserve">”) of Eligible Receivables, </w:t>
      </w:r>
      <w:r>
        <w:rPr>
          <w:rFonts w:ascii="Times New Roman" w:cs="Times New Roman" w:eastAsia="Times New Roman" w:hAnsi="Times New Roman"/>
          <w:sz w:val="18"/>
          <w:szCs w:val="18"/>
          <w:u w:val="single" w:color="auto"/>
          <w:color w:val="auto"/>
        </w:rPr>
        <w:t>plus</w:t>
      </w:r>
    </w:p>
    <w:p>
      <w:pPr>
        <w:spacing w:after="0" w:line="169" w:lineRule="exact"/>
        <w:rPr>
          <w:rFonts w:ascii="Times New Roman" w:cs="Times New Roman" w:eastAsia="Times New Roman" w:hAnsi="Times New Roman"/>
          <w:sz w:val="18"/>
          <w:szCs w:val="18"/>
          <w:color w:val="auto"/>
        </w:rPr>
      </w:pPr>
    </w:p>
    <w:p>
      <w:pPr>
        <w:ind w:left="69" w:right="20" w:firstLine="1590"/>
        <w:spacing w:after="0" w:line="259" w:lineRule="auto"/>
        <w:tabs>
          <w:tab w:leader="none" w:pos="2126"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 (the “</w:t>
      </w:r>
      <w:r>
        <w:rPr>
          <w:rFonts w:ascii="Times New Roman" w:cs="Times New Roman" w:eastAsia="Times New Roman" w:hAnsi="Times New Roman"/>
          <w:sz w:val="18"/>
          <w:szCs w:val="18"/>
          <w:u w:val="single" w:color="auto"/>
          <w:color w:val="auto"/>
        </w:rPr>
        <w:t>Unbilled Receivables Advance Rate</w:t>
      </w:r>
      <w:r>
        <w:rPr>
          <w:rFonts w:ascii="Times New Roman" w:cs="Times New Roman" w:eastAsia="Times New Roman" w:hAnsi="Times New Roman"/>
          <w:sz w:val="18"/>
          <w:szCs w:val="18"/>
          <w:color w:val="auto"/>
        </w:rPr>
        <w:t>” and, together with the Receivables Advance Rate, collectively the “</w:t>
      </w:r>
      <w:r>
        <w:rPr>
          <w:rFonts w:ascii="Times New Roman" w:cs="Times New Roman" w:eastAsia="Times New Roman" w:hAnsi="Times New Roman"/>
          <w:sz w:val="18"/>
          <w:szCs w:val="18"/>
          <w:u w:val="single" w:color="auto"/>
          <w:color w:val="auto"/>
        </w:rPr>
        <w:t>Advance Rates</w:t>
      </w:r>
      <w:r>
        <w:rPr>
          <w:rFonts w:ascii="Times New Roman" w:cs="Times New Roman" w:eastAsia="Times New Roman" w:hAnsi="Times New Roman"/>
          <w:sz w:val="18"/>
          <w:szCs w:val="18"/>
          <w:color w:val="auto"/>
        </w:rPr>
        <w:t xml:space="preserve">”) of Eligible Unbilled Receivables, </w:t>
      </w:r>
      <w:r>
        <w:rPr>
          <w:rFonts w:ascii="Times New Roman" w:cs="Times New Roman" w:eastAsia="Times New Roman" w:hAnsi="Times New Roman"/>
          <w:sz w:val="18"/>
          <w:szCs w:val="18"/>
          <w:u w:val="single" w:color="auto"/>
          <w:color w:val="auto"/>
        </w:rPr>
        <w:t>minus</w:t>
      </w:r>
    </w:p>
    <w:p>
      <w:pPr>
        <w:spacing w:after="0" w:line="128" w:lineRule="exact"/>
        <w:rPr>
          <w:rFonts w:ascii="Times New Roman" w:cs="Times New Roman" w:eastAsia="Times New Roman" w:hAnsi="Times New Roman"/>
          <w:sz w:val="18"/>
          <w:szCs w:val="18"/>
          <w:color w:val="auto"/>
        </w:rPr>
      </w:pPr>
    </w:p>
    <w:p>
      <w:pPr>
        <w:ind w:left="2129" w:hanging="470"/>
        <w:spacing w:after="0"/>
        <w:tabs>
          <w:tab w:leader="none" w:pos="2129"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Maximum Undrawn Amount of all outstanding Letters of Credit, </w:t>
      </w:r>
      <w:r>
        <w:rPr>
          <w:rFonts w:ascii="Times New Roman" w:cs="Times New Roman" w:eastAsia="Times New Roman" w:hAnsi="Times New Roman"/>
          <w:sz w:val="18"/>
          <w:szCs w:val="18"/>
          <w:u w:val="single" w:color="auto"/>
          <w:color w:val="auto"/>
        </w:rPr>
        <w:t>minus</w:t>
      </w:r>
    </w:p>
    <w:p>
      <w:pPr>
        <w:spacing w:after="0" w:line="169" w:lineRule="exact"/>
        <w:rPr>
          <w:rFonts w:ascii="Times New Roman" w:cs="Times New Roman" w:eastAsia="Times New Roman" w:hAnsi="Times New Roman"/>
          <w:sz w:val="18"/>
          <w:szCs w:val="18"/>
          <w:color w:val="auto"/>
        </w:rPr>
      </w:pPr>
    </w:p>
    <w:p>
      <w:pPr>
        <w:ind w:left="69" w:firstLine="1590"/>
        <w:spacing w:after="0" w:line="259" w:lineRule="auto"/>
        <w:tabs>
          <w:tab w:leader="none" w:pos="2126"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reserves including without limitation, the Special Reserve, the Hedge Reserve, as Agent may in its Permitted Discretion deem necessary from time to time.</w:t>
      </w:r>
    </w:p>
    <w:p>
      <w:pPr>
        <w:spacing w:after="0" w:line="128" w:lineRule="exact"/>
        <w:rPr>
          <w:sz w:val="20"/>
          <w:szCs w:val="20"/>
          <w:color w:val="auto"/>
        </w:rPr>
      </w:pPr>
    </w:p>
    <w:p>
      <w:pPr>
        <w:jc w:val="both"/>
        <w:ind w:left="9" w:firstLine="531"/>
        <w:spacing w:after="0" w:line="236" w:lineRule="auto"/>
        <w:rPr>
          <w:sz w:val="20"/>
          <w:szCs w:val="20"/>
          <w:color w:val="auto"/>
        </w:rPr>
      </w:pPr>
      <w:r>
        <w:rPr>
          <w:rFonts w:ascii="Times New Roman" w:cs="Times New Roman" w:eastAsia="Times New Roman" w:hAnsi="Times New Roman"/>
          <w:sz w:val="18"/>
          <w:szCs w:val="18"/>
          <w:color w:val="auto"/>
        </w:rPr>
        <w:t>The amount derived from the sum of (x) Sections 2.1(a)(y)(i) and 2.1(a)(y)(ii) minus (y) the sum of Sections 2.1(a)(y)(iii) and 2.1(a) (y)(iv) at any time and from time to time shall be referred to as the “</w:t>
      </w:r>
      <w:r>
        <w:rPr>
          <w:rFonts w:ascii="Times New Roman" w:cs="Times New Roman" w:eastAsia="Times New Roman" w:hAnsi="Times New Roman"/>
          <w:sz w:val="18"/>
          <w:szCs w:val="18"/>
          <w:u w:val="single" w:color="auto"/>
          <w:color w:val="auto"/>
        </w:rPr>
        <w:t>Formula Amount</w:t>
      </w:r>
      <w:r>
        <w:rPr>
          <w:rFonts w:ascii="Times New Roman" w:cs="Times New Roman" w:eastAsia="Times New Roman" w:hAnsi="Times New Roman"/>
          <w:sz w:val="18"/>
          <w:szCs w:val="18"/>
          <w:color w:val="auto"/>
        </w:rPr>
        <w:t>”. The Revolving Advances shall be evidenced by one or more secured promissory notes (collectively, the “</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substantially in the form attached hereto as Exhibit 2.1(a). Notwithstanding anything to the contrary contained in the foregoing or otherwise in this Agreement, the outstanding aggregate principal amount of Swing Loans and the Revolving Advances at any one time outstanding shall not exceed an amount equal to the lesser of (i) the Maximum Revolving Advance Amount less the Maximum Undrawn Amount of all outstanding Letters of Credit or (ii) the Formula Amount.</w:t>
      </w:r>
    </w:p>
    <w:p>
      <w:pPr>
        <w:spacing w:after="0" w:line="146" w:lineRule="exact"/>
        <w:rPr>
          <w:sz w:val="20"/>
          <w:szCs w:val="20"/>
          <w:color w:val="auto"/>
        </w:rPr>
      </w:pPr>
    </w:p>
    <w:p>
      <w:pPr>
        <w:jc w:val="both"/>
        <w:ind w:left="9" w:firstLine="1053"/>
        <w:spacing w:after="0" w:line="245" w:lineRule="auto"/>
        <w:tabs>
          <w:tab w:leader="none" w:pos="160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Sublimits for Revolving Advances.</w:t>
      </w:r>
      <w:r>
        <w:rPr>
          <w:rFonts w:ascii="Times New Roman" w:cs="Times New Roman" w:eastAsia="Times New Roman" w:hAnsi="Times New Roman"/>
          <w:sz w:val="18"/>
          <w:szCs w:val="18"/>
          <w:color w:val="auto"/>
        </w:rPr>
        <w:t xml:space="preserve"> The aggregate amount of Revolving Advances made to Borrowers against Eligible Pre-Approved Foreign Receivable or Receivables shall not exceed in the aggregate, at any time outstanding, ten percent (10%) of the Formula Amount.</w:t>
      </w:r>
    </w:p>
    <w:p>
      <w:pPr>
        <w:spacing w:after="0" w:line="140" w:lineRule="exact"/>
        <w:rPr>
          <w:rFonts w:ascii="Times New Roman" w:cs="Times New Roman" w:eastAsia="Times New Roman" w:hAnsi="Times New Roman"/>
          <w:sz w:val="18"/>
          <w:szCs w:val="18"/>
          <w:color w:val="auto"/>
        </w:rPr>
      </w:pPr>
    </w:p>
    <w:p>
      <w:pPr>
        <w:jc w:val="both"/>
        <w:ind w:left="9" w:firstLine="1053"/>
        <w:spacing w:after="0" w:line="245" w:lineRule="auto"/>
        <w:tabs>
          <w:tab w:leader="none" w:pos="160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Rights</w:t>
      </w:r>
      <w:r>
        <w:rPr>
          <w:rFonts w:ascii="Times New Roman" w:cs="Times New Roman" w:eastAsia="Times New Roman" w:hAnsi="Times New Roman"/>
          <w:sz w:val="18"/>
          <w:szCs w:val="18"/>
          <w:color w:val="auto"/>
        </w:rPr>
        <w:t>. The Advance Rates may be increased or decreased by Agent at any time and from time to time upon five days notice to Borrowing Agent in the exercise of its Permitted Discretion based on the results of field examinations, audits or other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63" w:name="page264"/>
    <w:bookmarkEnd w:id="263"/>
    <w:p>
      <w:pPr>
        <w:jc w:val="both"/>
        <w:spacing w:after="0" w:line="244" w:lineRule="auto"/>
        <w:rPr>
          <w:sz w:val="20"/>
          <w:szCs w:val="20"/>
          <w:color w:val="auto"/>
        </w:rPr>
      </w:pPr>
      <w:r>
        <w:rPr>
          <w:rFonts w:ascii="Times New Roman" w:cs="Times New Roman" w:eastAsia="Times New Roman" w:hAnsi="Times New Roman"/>
          <w:sz w:val="18"/>
          <w:szCs w:val="18"/>
          <w:color w:val="auto"/>
        </w:rPr>
        <w:t>collateral evaluations conducted from time to time. Each Borrower consents to any such increases or decreases and acknowledges that decreasing the Advance Rates or increasing or imposing reserves may limit or restrict Advances requested by Borrowing Agent. The rights of Agent under this subsection are subject to the provisions of Section 16.2(b).</w:t>
      </w:r>
    </w:p>
    <w:p>
      <w:pPr>
        <w:spacing w:after="0" w:line="142"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Procedures for Requesting Revolving Advances; Procedures for Selection of Applicable Interest Rates for All Advances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55" w:lineRule="auto"/>
        <w:tabs>
          <w:tab w:leader="none" w:pos="1593"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 Agent on behalf of any Borrower may notify Agent prior to 1:00 p.m. on a Business Day of a Borrower’s request to incur, on that day, a Revolving Advance hereunder. Should any amount required to be paid as interest hereunder, or as fees or other charges under this Agreement or any other agreement with Agent or Lenders, or with respect to any other Obligation under this Agreement, become due, same shall be deemed a request for a Revolving Advance maintained as a Domestic Rate Loan as of the date such payment is due, in the amount required to pay in full such interest, fee, charge or Obligation, and such request shall be irrevocable.</w:t>
      </w:r>
    </w:p>
    <w:p>
      <w:pPr>
        <w:spacing w:after="0" w:line="133" w:lineRule="exact"/>
        <w:rPr>
          <w:rFonts w:ascii="Times New Roman" w:cs="Times New Roman" w:eastAsia="Times New Roman" w:hAnsi="Times New Roman"/>
          <w:sz w:val="17"/>
          <w:szCs w:val="17"/>
          <w:color w:val="auto"/>
        </w:rPr>
      </w:pPr>
    </w:p>
    <w:p>
      <w:pPr>
        <w:jc w:val="both"/>
        <w:ind w:firstLine="1053"/>
        <w:spacing w:after="0" w:line="234" w:lineRule="auto"/>
        <w:tabs>
          <w:tab w:leader="none" w:pos="17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(a) above, in the event any Borrower desires to obtain a Term SOFR Rate Loan for any Advance (other than a Swing Loan), Borrowing Agent shall give Agent written notice by no later than 1:00 p.m. on the day which is three (3) Business Days prior to the date such Term SOFR Rate Loan is to be borrowed, specifying (i) the date of the proposed borrowing (which shall be a Business Day), (ii) the type of borrowing and the amount of such Advance to be borrowed, which amount shall be in a minimum amount of $200,000 and in integral multiples of $100,000 thereafter, and (iii) the duration of the first Interest Period therefor. Interest Periods for Term SOFR Rate Loans shall be for one or three months; provided that, if an Interest Period would end on a day that is not a Business Day, it shall end on the next succeeding Business Day unless such day falls in the next succeeding calendar month in which case the Interest Period shall end on the next preceding Business Day. No Term SOFR Rate Loan shall be made available to any Borrower during the continuance of a Default or an Event of Default. After giving effect to each requested Term SOFR Rate Loan, including those which are converted from a Domestic Rate Loan under Section 2.2(e), there shall not be outstanding more than six (6) Term SOFR Rate Loans, in the aggregate.</w:t>
      </w:r>
    </w:p>
    <w:p>
      <w:pPr>
        <w:spacing w:after="0" w:line="147" w:lineRule="exact"/>
        <w:rPr>
          <w:rFonts w:ascii="Times New Roman" w:cs="Times New Roman" w:eastAsia="Times New Roman" w:hAnsi="Times New Roman"/>
          <w:sz w:val="18"/>
          <w:szCs w:val="18"/>
          <w:color w:val="auto"/>
        </w:rPr>
      </w:pPr>
    </w:p>
    <w:p>
      <w:pPr>
        <w:jc w:val="both"/>
        <w:ind w:firstLine="1053"/>
        <w:spacing w:after="0" w:line="245" w:lineRule="auto"/>
        <w:tabs>
          <w:tab w:leader="none" w:pos="172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of a Term SOFR Rate Loan shall commence on the date such Term SOFR Rate Loan is made and shall end on such date as Borrowing Agent may elect as set forth in subsection (b)(iii) above, provided that no Interest Period shall end after the last day of the Term.</w:t>
      </w:r>
    </w:p>
    <w:p>
      <w:pPr>
        <w:spacing w:after="0" w:line="140" w:lineRule="exact"/>
        <w:rPr>
          <w:rFonts w:ascii="Times New Roman" w:cs="Times New Roman" w:eastAsia="Times New Roman" w:hAnsi="Times New Roman"/>
          <w:sz w:val="18"/>
          <w:szCs w:val="18"/>
          <w:color w:val="auto"/>
        </w:rPr>
      </w:pPr>
    </w:p>
    <w:p>
      <w:pPr>
        <w:jc w:val="both"/>
        <w:ind w:firstLine="1053"/>
        <w:spacing w:after="0" w:line="236" w:lineRule="auto"/>
        <w:tabs>
          <w:tab w:leader="none" w:pos="18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Agent shall elect the initial Interest Period applicable to a Term SOFR Rate Loan by its notice of borrowing given to Agent pursuant to Section 2.2(b) or by its notice of conversion given to Agent pursuant to Section 2.2(e), as the case may be. Borrowing Agent shall elect the duration of each succeeding Interest Period by giving irrevocable written notice to Agent of such duration not later than 1:00 p.m. on the day which is three (3) Business Days prior to the last day of the then current Interest Period applicable to such Term SOFR Rate Loan. If Agent does not receive timely notice of the Interest Period elected by Borrowing Agent, Borrowing Agent shall be deemed to have elected to convert such Term SOFR Rate Loan to a Domestic Rate Loan subject to Section 2.2(e) below.</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64" w:name="page265"/>
    <w:bookmarkEnd w:id="264"/>
    <w:p>
      <w:pPr>
        <w:jc w:val="both"/>
        <w:ind w:firstLine="1053"/>
        <w:spacing w:after="0" w:line="249" w:lineRule="auto"/>
        <w:tabs>
          <w:tab w:leader="none" w:pos="159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no Default or Event of Default shall have occurred and be continuing, Borrowing Agent may, on the last Business Day of the then current Interest Period applicable to any outstanding Term SOFR Rate Loan, or on any Business Day with respect to Domestic Rate Loans, convert any such loan into a loan of another type in the same aggregate principal amount provided that any conversion of a Term SOFR Rate Loan shall be made only on the last Business Day of the then current Interest Period applicable to such Term SOFR Rate Loan. If Borrowing Agent desires to convert a loan, Borrowing Agent shall give Agent written notice by no later than 1:00 p.m. (i) on the day which is three (3) Business Days prior to the date on which such conversion is to occur with respect to a conversion from a Domestic Rate Loan to a Term SOFR Rate Loan, or (ii) on the day which is one (1) Business Day prior to the date on which such conversion is to occur (which date shall be the last Business Day of the Interest Period for the applicable Term SOFR Rate Loan) with respect to a conversion from a Term SOFR Rate Loan to a Domestic Rate Loan, specifying, in each case, the date of such conversion, the loans to be converted and if the conversion is to a Term SOFR Rate Loan, the duration of the first Interest Period therefor.</w:t>
      </w:r>
    </w:p>
    <w:p>
      <w:pPr>
        <w:spacing w:after="0" w:line="139" w:lineRule="exact"/>
        <w:rPr>
          <w:rFonts w:ascii="Times New Roman" w:cs="Times New Roman" w:eastAsia="Times New Roman" w:hAnsi="Times New Roman"/>
          <w:sz w:val="17"/>
          <w:szCs w:val="17"/>
          <w:color w:val="auto"/>
        </w:rPr>
      </w:pPr>
    </w:p>
    <w:p>
      <w:pPr>
        <w:jc w:val="both"/>
        <w:ind w:firstLine="1053"/>
        <w:spacing w:after="0" w:line="237" w:lineRule="auto"/>
        <w:tabs>
          <w:tab w:leader="none" w:pos="159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option and upon written notice given prior to 1:00 p.m. at least three (3) Business Days prior to the date of such prepayment, any Borrower may, subject to Section 2.2(g) hereof, prepay the Term SOFR Rate Loans in whole at any time or in part from time to time with accrued interest on the principal being prepaid to the date of such repayment. Such Borrower shall specify the date of prepayment of Advances which are Term SOFR Rate Loans and the amount of such prepayment. In the event that any prepayment of a Term SOFR Rate Loan is required or permitted on a date other than the last Business Day of the then current Interest Period with respect thereto, such Borrower shall indemnify Agent and Lenders therefor in accordance with Section 2.2(g) hereof.</w:t>
      </w:r>
    </w:p>
    <w:p>
      <w:pPr>
        <w:spacing w:after="0" w:line="145" w:lineRule="exact"/>
        <w:rPr>
          <w:rFonts w:ascii="Times New Roman" w:cs="Times New Roman" w:eastAsia="Times New Roman" w:hAnsi="Times New Roman"/>
          <w:sz w:val="18"/>
          <w:szCs w:val="18"/>
          <w:color w:val="auto"/>
        </w:rPr>
      </w:pPr>
    </w:p>
    <w:p>
      <w:pPr>
        <w:jc w:val="both"/>
        <w:ind w:firstLine="1053"/>
        <w:spacing w:after="0" w:line="236" w:lineRule="auto"/>
        <w:tabs>
          <w:tab w:leader="none" w:pos="159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indemnify Agent and Lenders and hold Agent and Lenders harmless from and against any and all losses or expenses that Agent and Lenders may sustain or incur as a consequence of any prepayment, conversion of or any default by any Borrower in the payment of the principal of or interest on any Term SOFR Rate Loan or failure by any Borrower to complete a borrowing of, a prepayment of or conversion of or to a Term SOFR Rate Loan after notice thereof has been given, including, but not limited to, any interest payable by Agent or Lenders to lenders of funds obtained by it in order to make or maintain its Term SOFR Rate Loans hereunder. A certificate as to any additional amounts payable pursuant to the foregoing sentence submitted by Agent or any Lender to Borrowing Agent shall be conclusive absent manifest error.</w:t>
      </w:r>
    </w:p>
    <w:p>
      <w:pPr>
        <w:spacing w:after="0" w:line="145" w:lineRule="exact"/>
        <w:rPr>
          <w:rFonts w:ascii="Times New Roman" w:cs="Times New Roman" w:eastAsia="Times New Roman" w:hAnsi="Times New Roman"/>
          <w:sz w:val="18"/>
          <w:szCs w:val="18"/>
          <w:color w:val="auto"/>
        </w:rPr>
      </w:pPr>
    </w:p>
    <w:p>
      <w:pPr>
        <w:jc w:val="both"/>
        <w:ind w:firstLine="1053"/>
        <w:spacing w:after="0" w:line="251" w:lineRule="auto"/>
        <w:tabs>
          <w:tab w:leader="none" w:pos="159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hereof, if any Applicable Law, treaty, regulation or directive, or any change therein or in the interpretation or application thereof, including without limitation any Change in Law, shall make it unlawful for Lenders or any Lender (for purposes of this subsection (h), the term “Lender” shall include any Lender and the office or branch where any Lender or any Person controlling such Lender makes or maintains any Term SOFR Rate Loans) to make or maintain its Term SOFR Rate Loans, the obligation of Lenders (or such affected Lender) to make Term SOFR Rate Loans hereunder shall forthwith be cancelled and Borrowers shall, if any affected Term SOFR Rate Loans are then outstanding, promptly upon request from Agent, either pay all such affected Term SOFR Rate Loans or convert such affected Term SOFR Rate Loans into loans of another type. If any such payment or conversion of 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65" w:name="page266"/>
    <w:bookmarkEnd w:id="265"/>
    <w:p>
      <w:pPr>
        <w:jc w:val="both"/>
        <w:ind w:left="9"/>
        <w:spacing w:after="0" w:line="244" w:lineRule="auto"/>
        <w:rPr>
          <w:sz w:val="20"/>
          <w:szCs w:val="20"/>
          <w:color w:val="auto"/>
        </w:rPr>
      </w:pPr>
      <w:r>
        <w:rPr>
          <w:rFonts w:ascii="Times New Roman" w:cs="Times New Roman" w:eastAsia="Times New Roman" w:hAnsi="Times New Roman"/>
          <w:sz w:val="18"/>
          <w:szCs w:val="18"/>
          <w:color w:val="auto"/>
        </w:rPr>
        <w:t>Term SOFR Rate Loan is made on a day that is not the last day of the Interest Period applicable to such Term SOFR Rate Loan, Borrowers shall pay Agent, upon Agent’s request, such amount or amounts set forth in clause (g) above. A certificate as to any additional amounts payable pursuant to the foregoing sentence submitted by Lenders to Borrowing Agent shall be conclusive absent manifest error.</w:t>
      </w:r>
    </w:p>
    <w:p>
      <w:pPr>
        <w:spacing w:after="0" w:line="142"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Equipment Loans</w:t>
      </w:r>
      <w:r>
        <w:rPr>
          <w:rFonts w:ascii="Times New Roman" w:cs="Times New Roman" w:eastAsia="Times New Roman" w:hAnsi="Times New Roman"/>
          <w:sz w:val="17"/>
          <w:szCs w:val="17"/>
          <w:color w:val="auto"/>
        </w:rPr>
        <w:t>. All equipment loans previously made hereunder have been paid and satisfied in full.</w:t>
      </w:r>
    </w:p>
    <w:p>
      <w:pPr>
        <w:spacing w:after="0" w:line="169"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auto"/>
        </w:rPr>
        <w:t>Term Loans</w:t>
      </w:r>
      <w:r>
        <w:rPr>
          <w:rFonts w:ascii="Times New Roman" w:cs="Times New Roman" w:eastAsia="Times New Roman" w:hAnsi="Times New Roman"/>
          <w:sz w:val="17"/>
          <w:szCs w:val="17"/>
          <w:color w:val="auto"/>
        </w:rPr>
        <w:t>. All term loans previously made hereunder have been paid and satisfied in full.</w:t>
      </w:r>
    </w:p>
    <w:p>
      <w:pPr>
        <w:spacing w:after="0" w:line="169"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Swing Loans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left="9" w:firstLine="1053"/>
        <w:spacing w:after="0" w:line="247" w:lineRule="auto"/>
        <w:tabs>
          <w:tab w:leader="none" w:pos="1601"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in this Agreement, and in order to minimize the transfer of funds between Lenders and Agent for administrative convenience, Agent, Lenders holding Revolving Commitments and Swing Loan Lender agree that in order to facilitate the administration of this Agreement, Swing Loan Lender may, at its election and option made in its sole discretion cancelable at any time for any reason whatsoever, make swing loan advances (“</w:t>
      </w:r>
      <w:r>
        <w:rPr>
          <w:rFonts w:ascii="Times New Roman" w:cs="Times New Roman" w:eastAsia="Times New Roman" w:hAnsi="Times New Roman"/>
          <w:sz w:val="17"/>
          <w:szCs w:val="17"/>
          <w:u w:val="single" w:color="auto"/>
          <w:color w:val="auto"/>
        </w:rPr>
        <w:t>Swing Loans</w:t>
      </w:r>
      <w:r>
        <w:rPr>
          <w:rFonts w:ascii="Times New Roman" w:cs="Times New Roman" w:eastAsia="Times New Roman" w:hAnsi="Times New Roman"/>
          <w:sz w:val="17"/>
          <w:szCs w:val="17"/>
          <w:color w:val="auto"/>
        </w:rPr>
        <w:t>”) available to Borrowers as provided for in this Section 2.4 at any time or from time to time after the date hereof to, but not including, the expiration of the Term, in an aggregate principal amount up to but not in excess of the Maximum Swing Loan Advance Amount, provided that the outstanding aggregate principal amount of Swing Loans and the Revolving Advances at any one time outstanding shall not exceed an amount equal to the lesser of</w:t>
      </w:r>
    </w:p>
    <w:p>
      <w:pPr>
        <w:spacing w:after="0" w:line="5" w:lineRule="exact"/>
        <w:rPr>
          <w:rFonts w:ascii="Times New Roman" w:cs="Times New Roman" w:eastAsia="Times New Roman" w:hAnsi="Times New Roman"/>
          <w:sz w:val="17"/>
          <w:szCs w:val="17"/>
          <w:color w:val="auto"/>
        </w:rPr>
      </w:pPr>
    </w:p>
    <w:p>
      <w:pPr>
        <w:jc w:val="both"/>
        <w:ind w:left="9" w:hanging="9"/>
        <w:spacing w:after="0" w:line="232" w:lineRule="auto"/>
        <w:tabs>
          <w:tab w:leader="none" w:pos="22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Revolving Advance Amount less the Maximum Undrawn Amount of all outstanding Letters of Credit or (ii) the Formula Amount. All Swing Loans shall be Domestic Rate Loans only. Borrowers may borrow (at the option and election of Swing Loan Lender), repay and re-borrow (at the option and election of Swing Loan Lender) Swing Loans and Swing Loan Lender may make Swing Loans as provided in this Section 2.4 during the period between Settlement Dates. All Swing Loans shall be evidenced by a secured promissory note (the “</w:t>
      </w:r>
      <w:r>
        <w:rPr>
          <w:rFonts w:ascii="Times New Roman" w:cs="Times New Roman" w:eastAsia="Times New Roman" w:hAnsi="Times New Roman"/>
          <w:sz w:val="18"/>
          <w:szCs w:val="18"/>
          <w:u w:val="single" w:color="auto"/>
          <w:color w:val="auto"/>
        </w:rPr>
        <w:t>Swing Loan Note</w:t>
      </w:r>
      <w:r>
        <w:rPr>
          <w:rFonts w:ascii="Times New Roman" w:cs="Times New Roman" w:eastAsia="Times New Roman" w:hAnsi="Times New Roman"/>
          <w:sz w:val="18"/>
          <w:szCs w:val="18"/>
          <w:color w:val="auto"/>
        </w:rPr>
        <w:t>”) substantially in the form attached hereto as Exhibit 2.4(a). Swing Loan Lender’s agreement to make Swing Loans under this Agreement is cancelable at any time for any reason whatsoever and the making of Swing Loans by Swing Loan Lender from time to time shall not create any duty or obligation, or establish any course of conduct, pursuant to which Swing Loan Lender shall thereafter be obligated to make Swing Loans in the future</w:t>
      </w:r>
    </w:p>
    <w:p>
      <w:pPr>
        <w:spacing w:after="0" w:line="149" w:lineRule="exact"/>
        <w:rPr>
          <w:rFonts w:ascii="Times New Roman" w:cs="Times New Roman" w:eastAsia="Times New Roman" w:hAnsi="Times New Roman"/>
          <w:sz w:val="18"/>
          <w:szCs w:val="18"/>
          <w:color w:val="auto"/>
        </w:rPr>
      </w:pPr>
    </w:p>
    <w:p>
      <w:pPr>
        <w:ind w:left="1589" w:hanging="527"/>
        <w:spacing w:after="0"/>
        <w:tabs>
          <w:tab w:leader="none" w:pos="1589"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either (i) any request by Borrowing Agent for a Revolving Advance made pursuant to Section 2.2(a) hereof or</w:t>
      </w:r>
    </w:p>
    <w:p>
      <w:pPr>
        <w:spacing w:after="0" w:line="23" w:lineRule="exact"/>
        <w:rPr>
          <w:rFonts w:ascii="Times New Roman" w:cs="Times New Roman" w:eastAsia="Times New Roman" w:hAnsi="Times New Roman"/>
          <w:sz w:val="17"/>
          <w:szCs w:val="17"/>
          <w:color w:val="auto"/>
        </w:rPr>
      </w:pPr>
    </w:p>
    <w:p>
      <w:pPr>
        <w:jc w:val="both"/>
        <w:ind w:left="9" w:hanging="9"/>
        <w:spacing w:after="0" w:line="233" w:lineRule="auto"/>
        <w:tabs>
          <w:tab w:leader="none" w:pos="27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deemed request by Borrowers for a Revolving Advance pursuant to the provisions of the last sentence of Section 2.2(a) hereof, Swing Loan Lender may elect, in its sole discretion, to have such request or deemed request treated as a request for a Swing Loan, and may advance same day funds to Borrowers as a Swing Loan; provided that notwithstanding anything to the contrary provided for herein, Swing Loan Lender may not make Swing Loan Advances if Swing Loan Lender has been notified by Agent or by Required Lenders that one or more of the applicable conditions set forth in Section 8.2 of this Agreement have not been satisfied or the Revolving Commitments have been terminated for any reason.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66" w:name="page267"/>
    <w:bookmarkEnd w:id="266"/>
    <w:p>
      <w:pPr>
        <w:jc w:val="both"/>
        <w:ind w:firstLine="1053"/>
        <w:spacing w:after="0" w:line="233" w:lineRule="auto"/>
        <w:tabs>
          <w:tab w:leader="none" w:pos="159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Swing Loan (whether before or after the occurrence of a Default or an Event of Default and regardless of whether a Settlement has been requested with respect to such Swing Loan), each Lender holding a Revolving Commitment shall be deemed, without further action by any party hereto, to have unconditionally and irrevocably purchased from Swing Loan Lender, without recourse or warranty, an undivided interest and participation in such Swing Loan in proportion to its Revolving Commitment Percentage. Swing Loan Lender or Agent may, at any time, require the Lenders holding Revolving Commitments to fund such participations by means of a Settlement as provided for in Section 2.6(d) below. From and after the date, if any, on which any Lender holding a Revolving Commitment is required to fund, and funds, its participation in any Swing Loans purchased hereunder, Agent shall promptly distribute to such Lender its Revolving Commitment Percentage of all payments of principal and interest and all proceeds of Collateral received by Agent in respect of such Swing Loan; provided that no Lender holding a Revolving Commitment shall be obligated in any event to make Revolving Advances in an amount in excess of its Revolving Commitment Amount minus its Participation Commitment (taking into account any reallocations under Section 2.22) of the Maximum Undrawn Amount of all outstanding Letters of Credit.</w:t>
      </w:r>
    </w:p>
    <w:p>
      <w:pPr>
        <w:spacing w:after="0" w:line="154"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Disbursement of Advance Proceeds</w:t>
      </w:r>
      <w:r>
        <w:rPr>
          <w:rFonts w:ascii="Times New Roman" w:cs="Times New Roman" w:eastAsia="Times New Roman" w:hAnsi="Times New Roman"/>
          <w:sz w:val="18"/>
          <w:szCs w:val="18"/>
          <w:color w:val="auto"/>
        </w:rPr>
        <w:t>. All Advances shall be disbursed from whichever office or other place Agent may designate from time to time and, together with any and all other Obligations of Borrowers to Agent or Lenders, shall be charged to Borrowers’ Account on Agent’s books. The proceeds of each Revolving Advance or Swing Loan requested by Borrowing Agent on behalf of any Borrower or deemed to have been requested by any Borrower under Sections 2.2(a), 2.6(b) or 2.14 hereof shall, (i) with respect to requested Revolving Advances, to the extent Lenders make such Revolving Advances in accordance with Section 2.2(a), 2.6(b) or 2.14 hereof, and with respect to Swing Loans made upon any request by Borrowing Agent for a Revolving Advance to the extent Swing Loan Lender makes such Swing Loan in accordance with Section 2.4(b) hereof, be made available to the applicable Borrower on the day so requested by way of credit to such Borrower’s operating account at PNC, or such other bank as Borrowing Agent may designate following notification to Agent, in immediately available federal funds or other immediately available funds or, (ii) with respect to Revolving Advances deemed to have been requested by any Borrower or Swing Loans made upon any deemed request for a Revolving Advance by any Borrower, be disbursed to Agent to be applied to the outstanding Obligations giving rise to such deemed request. During the Term, Borrowers may use the Revolving Advances and Swing Loans by borrowing, prepaying and reborrowing, all in accordance with the terms and conditions hereof.</w:t>
      </w:r>
    </w:p>
    <w:p>
      <w:pPr>
        <w:spacing w:after="0" w:line="153"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Making and Settlement of Advances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45" w:lineRule="auto"/>
        <w:tabs>
          <w:tab w:leader="none" w:pos="159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of Revolving Advances shall be advanced according to the applicable Revolving Commitment Percentages of Lenders holding the Revolving Commitments (subject to any contrary terms of Section 2.22). Each borrowing of Swing Loans shall be advanced by Swing Loan Lender alone.</w:t>
      </w:r>
    </w:p>
    <w:p>
      <w:pPr>
        <w:spacing w:after="0" w:line="140"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Agent of a request or a deemed request for a Revolving Advance pursuant to Section 2.2(a) and, with respect to Revolving Advances, to the extent Agent elects not to provide a Swing Loan or the making of a Swing Loan would result in the aggregate amount of all outstanding Swing Loans exceeding the maximum amount permitted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67" w:name="page268"/>
    <w:bookmarkEnd w:id="267"/>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in Section 2.4(a), Agent shall notify Lenders holding the Revolving Commitments of its receipt of such request specifying the information provided by Borrowing Agent and the apportionment among Lenders of the requested Revolving Advance as determined by Agent in accordance with the terms hereof. Each Lender shall remit the principal amount of each Revolving Advance to Agent such that Agent is able to, and Agent shall, to the extent the applicable Lenders have made funds available to it for such purpose and subject to Section 8.2, fund such Revolving Advance to Borrowers in U.S. Dollars and immediately available funds at the Payment Office prior to the close of business, on the applicable borrowing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applicable Lender fails to remit such funds to Agent in a timely manner, Agent may elect in its sole discretion to fund with its own funds the Revolving Advance of such Lender on such borrowing date, and such Lender shall be subject to the repayment obligation in Section 2.6(c) hereof.</w:t>
      </w:r>
    </w:p>
    <w:p>
      <w:pPr>
        <w:spacing w:after="0" w:line="148" w:lineRule="exact"/>
        <w:rPr>
          <w:sz w:val="20"/>
          <w:szCs w:val="20"/>
          <w:color w:val="auto"/>
        </w:rPr>
      </w:pPr>
    </w:p>
    <w:p>
      <w:pPr>
        <w:jc w:val="both"/>
        <w:ind w:firstLine="1053"/>
        <w:spacing w:after="0" w:line="233" w:lineRule="auto"/>
        <w:tabs>
          <w:tab w:leader="none" w:pos="159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Agent shall have been notified by telephone, confirmed in writing, by any Lender holding a Revolving Commitment that such Lender will not make the amount which would constitute its applicable Revolving Commitment Percentage of the requested Revolving Advance available to Agent, Agent may (but shall not be obligated to) assume that such Lender has made such amount available to Agent on such date in accordance with Section 2.6(b) and may, in reliance upon such assumption, make available to Borrowers a corresponding amount. In such event, if a Lender has not in fact made its applicable Revolving Commitment Percentage of the requested Revolving Advance available to Agent, then the applicable Lender and Borrowers severally agree to pay to Agent on demand such corresponding amount with interest thereon, for each day from and including the date such amount is made available to Borrowers through but excluding the date of payment to Agent, at (i) in the case of a payment to be made by such Lender, the greater of (A) (x) the daily average Effective Federal Funds Rate (computed on the basis of a year of 360 days) during such period as quoted by Agent, times (y) such amount or (B) a rate determined by Agent in accordance with banking industry rules on interbank compensation, and (ii) in the case of a payment to be made by Borrower, the Revolving Interest Rate for Revolving Advances that are Domestic Rate Loans. If such Lender pays its share of the applicable Revolving Advance to Agent, then the amount so paid shall constitute such Lender’s Revolving Advance. Any payment by Borrowers shall be without prejudice to any claim Borrowers may have against a Lender holding a Revolving Commitment that shall have failed to make such payment to Agent. A certificate of Agent submitted to any Lender or Borrower with respect to any amounts owing under this paragraph (c) shall be conclusive, in the absence of manifest error.</w:t>
      </w:r>
    </w:p>
    <w:p>
      <w:pPr>
        <w:spacing w:after="0" w:line="149" w:lineRule="exact"/>
        <w:rPr>
          <w:rFonts w:ascii="Times New Roman" w:cs="Times New Roman" w:eastAsia="Times New Roman" w:hAnsi="Times New Roman"/>
          <w:sz w:val="18"/>
          <w:szCs w:val="18"/>
          <w:color w:val="auto"/>
        </w:rPr>
      </w:pPr>
    </w:p>
    <w:p>
      <w:pPr>
        <w:jc w:val="both"/>
        <w:ind w:firstLine="1053"/>
        <w:spacing w:after="0" w:line="249" w:lineRule="auto"/>
        <w:tabs>
          <w:tab w:leader="none" w:pos="1593"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 on behalf of Swing Loan Lender, shall demand settlement (a “Settlement”) of all or any Swing Loans with Lenders holding the Revolving Commitments on at least a weekly basis, or on any more frequent date that Agent elects or that Swing Loan Lender at its option exercisable for any reason whatsoever may request, by notifying Lenders holding the Revolving Commitments of such requested Settlement by facsimile, telephonic or electronic transmission no later than 3:00 p.m. on the date of such requested Settlement (the “Settlement Date”). Subject to any contrary provisions of Section 2.22, each Lender holding a Revolving Commitment shall transfer the amount of such Lender’s Revolving Commitment Percentage of the outstanding principal amount (plus interest accrued thereon to the extent requested by Agent) of the applicable Swing Loan with respect to which Settlement is requested by Agent, to such account of Agent as Agent may designate not later than 5:00 p.m. on such Settlement Date if requested by Agent by 3:00 p.m., otherwise not later than 5:00 p.m. on the next Business Day. Settlements may occur at any time notwithstanding that the conditions precedent to making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68" w:name="page269"/>
    <w:bookmarkEnd w:id="268"/>
    <w:p>
      <w:pPr>
        <w:jc w:val="both"/>
        <w:spacing w:after="0" w:line="238" w:lineRule="auto"/>
        <w:rPr>
          <w:sz w:val="20"/>
          <w:szCs w:val="20"/>
          <w:color w:val="auto"/>
        </w:rPr>
      </w:pPr>
      <w:r>
        <w:rPr>
          <w:rFonts w:ascii="Times New Roman" w:cs="Times New Roman" w:eastAsia="Times New Roman" w:hAnsi="Times New Roman"/>
          <w:sz w:val="18"/>
          <w:szCs w:val="18"/>
          <w:color w:val="auto"/>
        </w:rPr>
        <w:t>Revolving Advances set forth in Section 8.2 have not been satisfied or the Revolving Commitments shall have otherwise been terminated at such time. All amounts so transferred to Agent shall be applied against the amount of outstanding Swing Loans and, when so applied shall constitute Revolving Advances of such Lenders accruing interest as Domestic Rate Loans. If any such amount is not transferred to Agent by any Lender holding a Revolving Commitment on such Settlement Date, Agent shall be entitled to recover such amount on demand from such Lender together with interest thereon as specified in Section 2.6(c).</w:t>
      </w:r>
    </w:p>
    <w:p>
      <w:pPr>
        <w:spacing w:after="0" w:line="145" w:lineRule="exact"/>
        <w:rPr>
          <w:sz w:val="20"/>
          <w:szCs w:val="20"/>
          <w:color w:val="auto"/>
        </w:rPr>
      </w:pPr>
    </w:p>
    <w:p>
      <w:pPr>
        <w:jc w:val="both"/>
        <w:ind w:firstLine="1053"/>
        <w:spacing w:after="0" w:line="233" w:lineRule="auto"/>
        <w:tabs>
          <w:tab w:leader="none" w:pos="159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Participant (a “Benefited Lender”) shall at any time receive any payment of all or part of its Advances, or interest thereon, or receive any Collateral in respect thereof (whether voluntarily or involuntarily or by set-off) in a greater proportion than any such payment to and Collateral received by any other Lender, if any, in respect of such other Lender’s Advances, or interest thereon, and such greater proportionate payment or receipt of Collateral is not expressly permitted hereunder, such Benefited Lender shall purchase for cash from the other Lenders a participation in such portion of each such other Lender’s Advances, or shall provide such other Lender with the benefits of any such Collateral, or the proceeds thereof, as shall be necessary to cause such Benefited Lender to share the excess payment or benefits of such Collateral or proceeds ratably with each of the other Lenders; provided, however, that if all or any portion of such excess payment or benefits is thereafter recovered from such Benefited Lender, such purchase shall be rescinded, and the purchase price and benefits returned, to the extent of such recovery, but without interest. Each Borrower consents to the foregoing and agrees, to the extent it may effectively do so under Applicable Law, that each Lender so purchasing a portion of another Lender’s Advances may exercise all rights of payment (including rights of set-off) with respect to such portion as fully as if such Lender were the direct holder of such portion, and the obligations owing to each such purchasing Lender in respect of such participation and such purchased portion of any other Lender’s Advances shall be part of the Obligations secured by the Collateral, and the obligations owing to each such purchasing Lender in respect of such participation and such purchased portion of any other Lender’s Advances shall be part of the Obligations secured by the Collateral.</w:t>
      </w:r>
    </w:p>
    <w:p>
      <w:pPr>
        <w:spacing w:after="0" w:line="14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Maximum Advances</w:t>
      </w:r>
      <w:r>
        <w:rPr>
          <w:rFonts w:ascii="Times New Roman" w:cs="Times New Roman" w:eastAsia="Times New Roman" w:hAnsi="Times New Roman"/>
          <w:sz w:val="18"/>
          <w:szCs w:val="18"/>
          <w:color w:val="auto"/>
        </w:rPr>
        <w:t>. The aggregate balance of Revolving Advances plus Swing Loans outstanding at any time shall not exceed the lesser of (a) the Maximum Revolving Advance Amount less the aggregate Maximum Undrawn Amount of all issued and outstanding Letters of Credit or (b) the Formula Amount.</w:t>
      </w:r>
    </w:p>
    <w:p>
      <w:pPr>
        <w:spacing w:after="0" w:line="140"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Manner and Repayment of Advances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7" w:lineRule="auto"/>
        <w:tabs>
          <w:tab w:leader="none" w:pos="159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Advances and Swing Loans shall be due and payable in full on the last day of the Term subject to earlier prepayment as herein provided. Notwithstanding the foregoing, all Advances shall be subject to earlier repayment upon (x) acceleration upon the occurrence of an Event of Default under this Agreement or (y) termination of this Agreement. Each payment (including each prepayment) by any Borrower on account of the principal of and interest on the Advances shall be applied to the remaining Advances (subject to any contrary provisions of Section 2.22) pro rata according to the applicable Revolving Commitment Percentages of Lenders in such order as Agent may determine.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69" w:name="page270"/>
    <w:bookmarkEnd w:id="269"/>
    <w:p>
      <w:pPr>
        <w:jc w:val="both"/>
        <w:ind w:firstLine="1053"/>
        <w:spacing w:after="0" w:line="233" w:lineRule="auto"/>
        <w:tabs>
          <w:tab w:leader="none" w:pos="159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recognizes that the amounts evidenced by checks, notes, drafts or any other items of payment relating to and/or proceeds of Collateral may not be collectible by Agent on the date received by Agent. Agent shall conditionally credit Borrowers’ Account for each item of payment on the next Business Day after the Business Day on which such item of payment is received by Agent (and the Business Day on which each such item of payment is so credited shall be referred to, with respect to such item, as the “Application Date”) Agent is not, however, required to credit Borrowers’ Account for the amount of any item of payment which is unsatisfactory to Agent and Agent may charge Borrowers’ Account for the amount of any item of payment which is returned, for any reason whatsoever, to Agent unpaid. Subject to the foregoing, Borrowers agree that for purposes of computing the interest charges under this Agreement, each item of payment received by Agent shall be deemed applied by Agent on account of the Obligations on its respective Application Date. Borrowers further agree that there is a monthly float charge payable to Agent for Agent’s sole benefit, in an amount equal to (y) the face amount of all items of payment received during the prior month (including items of payment received by Agent as a wire transfer or electronic depository check) multiplied by (z) the Revolving Interest Rate with respect to Domestic Rate Loans for one (1) Business Day. All proceeds received by Agent shall be applied to the Obligations in accordance with Section 4.8(h).</w:t>
      </w:r>
    </w:p>
    <w:p>
      <w:pPr>
        <w:spacing w:after="0" w:line="154"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interest and other amounts payable hereunder, or under any of the Other Documents shall be made to Agent at the Payment Office not later than 1:00 p.m. on the due date therefor in Dollars in federal funds or other funds immediately available to Agent. Agent shall have the right to effectuate payment of any and all Obligations due and owing hereunder by charging Borrowers’ Account or by making Advances as provided in Section 2.2 hereof.</w:t>
      </w:r>
    </w:p>
    <w:p>
      <w:pPr>
        <w:spacing w:after="0" w:line="145" w:lineRule="exact"/>
        <w:rPr>
          <w:rFonts w:ascii="Times New Roman" w:cs="Times New Roman" w:eastAsia="Times New Roman" w:hAnsi="Times New Roman"/>
          <w:sz w:val="18"/>
          <w:szCs w:val="18"/>
          <w:color w:val="auto"/>
        </w:rPr>
      </w:pPr>
    </w:p>
    <w:p>
      <w:pPr>
        <w:jc w:val="both"/>
        <w:ind w:firstLine="1053"/>
        <w:spacing w:after="0" w:line="266" w:lineRule="auto"/>
        <w:tabs>
          <w:tab w:leader="none" w:pos="1593"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provided herein, all payments (including prepayments) to be made by any Borrower on account of principal, interest, fees and other amounts payable hereunder shall be made without deduction, setoff or counterclaim and shall be made to Agent on behalf of Lenders to the Payment Office, in each case on or prior to 1:00 p.m., in Dollars and in immediately available funds.</w:t>
      </w:r>
    </w:p>
    <w:p>
      <w:pPr>
        <w:spacing w:after="0" w:line="124"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Repayment of Excess Advances</w:t>
      </w:r>
      <w:r>
        <w:rPr>
          <w:rFonts w:ascii="Times New Roman" w:cs="Times New Roman" w:eastAsia="Times New Roman" w:hAnsi="Times New Roman"/>
          <w:sz w:val="18"/>
          <w:szCs w:val="18"/>
          <w:color w:val="auto"/>
        </w:rPr>
        <w:t>. If at any time the aggregate balance of outstanding Revolving Advances, Swing Loans, and/or Advances taken as a whole exceeds the maximum amount of such type of Advances and/or Advances taken as a whole (as applicable) permitted hereunder, such excess Advances shall be immediately due and payable without the necessity of any demand, at the Payment Office, whether or not a Default or an Event of Default has occurred.</w:t>
      </w:r>
    </w:p>
    <w:p>
      <w:pPr>
        <w:spacing w:after="0" w:line="145"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Statement of Account</w:t>
      </w:r>
      <w:r>
        <w:rPr>
          <w:rFonts w:ascii="Times New Roman" w:cs="Times New Roman" w:eastAsia="Times New Roman" w:hAnsi="Times New Roman"/>
          <w:sz w:val="18"/>
          <w:szCs w:val="18"/>
          <w:color w:val="auto"/>
        </w:rPr>
        <w:t>. Agent shall maintain, in accordance with its customary procedures, a loan account (“Borrowers’ Account”) in the name of Borrowers in which shall be recorded the date and amount of each Advance made by Agent or Lenders and the date and amount of each payment in respect thereof; provided, however, the failure by Agent to record the date and amount of any Advance shall not adversely affect Agent or any Lender. Each month, Agent shall send to Borrowing Agent a statement showing the accounting for the Advances made, payments made or credited in respect thereof, and other transactions between Agent, Lenders and Borrowers during such month. The monthly statements shall be deemed correct and binding upon Borrowers in the absence of manifest error and shall constitute an account stated between Lenders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70" w:name="page271"/>
    <w:bookmarkEnd w:id="270"/>
    <w:p>
      <w:pPr>
        <w:jc w:val="both"/>
        <w:spacing w:after="0" w:line="244" w:lineRule="auto"/>
        <w:rPr>
          <w:sz w:val="20"/>
          <w:szCs w:val="20"/>
          <w:color w:val="auto"/>
        </w:rPr>
      </w:pPr>
      <w:r>
        <w:rPr>
          <w:rFonts w:ascii="Times New Roman" w:cs="Times New Roman" w:eastAsia="Times New Roman" w:hAnsi="Times New Roman"/>
          <w:sz w:val="18"/>
          <w:szCs w:val="18"/>
          <w:color w:val="auto"/>
        </w:rPr>
        <w:t>Borrowers unless Agent receives a written statement of Borrowers’ specific exceptions thereto within thirty (30) days after such statement is received by Borrowing Agent. The records of Agent with respect to Borrowers’ Account shall be conclusive evidence absent manifest error of the amounts of Advances and other charges thereto and of payments applicable thereto.</w:t>
      </w:r>
    </w:p>
    <w:p>
      <w:pPr>
        <w:spacing w:after="0" w:line="142"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Letters of Credit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4" w:lineRule="auto"/>
        <w:tabs>
          <w:tab w:leader="none" w:pos="159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Issuer shall issue or cause the issuance of standby letters of credit denominated in Dollars (“Letters of Credit”) for the account of any Borrower except to the extent that the issuance thereof would then cause the sum of (i) the outstanding Revolving Advances plus (ii) the outstanding Swing Loans, plus (iii) the Maximum Undrawn Amount of all outstanding Letters of Credit, plus (iv) the Maximum Undrawn Amount of the Letter of Credit to be issued to exceed the lesser of (x) the Maximum Revolving Advance Amount or (y) the Formula Amount (calculated without giving effect to the deductions provided for in Section 2.1(a)(y)(iii)). The Maximum Undrawn Amount of all outstanding Letters of Credit shall not exceed in the aggregate at any time the Letter of Credit Sublimit. All disbursements or payments related to Letters of Credit shall be deemed to be Domestic Rate Loans consisting of Revolving Advances and shall bear interest at the Revolving Interest Rate for Domestic Rate Loans. Letters of Credit that have not been drawn upon shall not bear interest (but fees shall accrue in respect of outstanding Letters of Credit as provided in Section 3.2 hereof).</w:t>
      </w:r>
    </w:p>
    <w:p>
      <w:pPr>
        <w:spacing w:after="0" w:line="149" w:lineRule="exact"/>
        <w:rPr>
          <w:rFonts w:ascii="Times New Roman" w:cs="Times New Roman" w:eastAsia="Times New Roman" w:hAnsi="Times New Roman"/>
          <w:sz w:val="18"/>
          <w:szCs w:val="18"/>
          <w:color w:val="auto"/>
        </w:rPr>
      </w:pPr>
    </w:p>
    <w:p>
      <w:pPr>
        <w:jc w:val="both"/>
        <w:ind w:firstLine="1053"/>
        <w:spacing w:after="0" w:line="235" w:lineRule="auto"/>
        <w:tabs>
          <w:tab w:leader="none" w:pos="159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Issuer shall not be under any obligation to issue any Letter of Credit if (i) any order, judgment or decree of any Governmental Body or arbitrator shall by its terms purport to enjoin or restrain Issuer from issuing any Letter of Credit, or any Law applicable to Issuer or any request or directive (whether or not having the force of law) from any Governmental Body with jurisdiction over Issuer shall prohibit, or request that Issuer refrain from, the issuance of letters of credit generally or the Letter of Credit in particular or shall impose upon Issuer with respect to the Letter of Credit any restriction, reserve or capital requirement (for which Issuer is not otherwise compensated hereunder) not in effect on the date of this Agreement, or shall impose upon Issuer any unreimbursed loss, cost or expense which was not applicable on the date of this Agreement, and which Issuer in good faith deems material to it, or (ii) the issuance of the Letter of Credit would violate one or more policies of Issuer applicable to letters of credit generally.</w:t>
      </w:r>
    </w:p>
    <w:p>
      <w:pPr>
        <w:spacing w:after="0" w:line="145"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Issuance of Letters of Credit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6" w:lineRule="auto"/>
        <w:tabs>
          <w:tab w:leader="none" w:pos="159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Agent, on behalf of any Borrower, may request Issuer to issue or cause the issuance of a Letter of Credit by delivering to Issuer, with a copy to Agent at the Payment Office, prior to 1:00 p.m., at least five (5) Business Days prior to the proposed date of issuance, such Issuer’s form of Letter of Credit Application (the “Letter of Credit Application”) completed to the satisfaction of Agent and Issuer; and, such other certificates, documents and other papers and information as Agent or Issuer may reasonably request. Issuer shall not issue any requested Letter of Credit if such Issuer has received notice from Agent or any Lender that one or more of the applicable conditions set forth in Section 8.2 of this Agreement have not been satisfied or the commitments of Lenders to make Revolving Advances hereunder have been terminated for any reason.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71" w:name="page272"/>
    <w:bookmarkEnd w:id="271"/>
    <w:p>
      <w:pPr>
        <w:jc w:val="both"/>
        <w:ind w:firstLine="1053"/>
        <w:spacing w:after="0" w:line="235" w:lineRule="auto"/>
        <w:tabs>
          <w:tab w:leader="none" w:pos="159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among other things, (i) provide for the payment of sight drafts, or other written demands for payment, and (ii) have an expiry date not later than twelve (12) months after such Letter of Credit’s date of issuance and in no event later than the last day of the Term. Each standby Letter of Credit shall be subject either to the Uniform Customs and Practice for Documentary Credits as most recently published by the International Chamber of Commerce at the time a Letter of Credit is issued (the “UCP”) or the International Standby Practices (International Chamber of Commerce Publication Number 590) (the “ISP98 Rules”), or any subsequent revision thereof at the time a standby Letter of Credit is issued, as determined by Issuer, and each trade Letter of Credit shall be subject to the UCP. In addition, no trade Letter of Credit may permit the presentation of an ocean bill of lading that includes a condition that the original bill of lading is not required to claim the goods shipped thereunder.</w:t>
      </w:r>
    </w:p>
    <w:p>
      <w:pPr>
        <w:spacing w:after="0" w:line="147"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use its reasonable efforts to notify Lenders of the request by Borrowing Agent for a Letter of Credit</w:t>
      </w:r>
    </w:p>
    <w:p>
      <w:pPr>
        <w:spacing w:after="0" w:line="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149"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Requirements For Issuance of Letters of Credit</w:t>
      </w:r>
      <w:r>
        <w:rPr>
          <w:rFonts w:ascii="Times New Roman" w:cs="Times New Roman" w:eastAsia="Times New Roman" w:hAnsi="Times New Roman"/>
          <w:sz w:val="18"/>
          <w:szCs w:val="18"/>
          <w:color w:val="auto"/>
        </w:rPr>
        <w:t>. Borrowing Agent shall authorize and direct any Issuer to name the applicable Borrower as the “Applicant” or “Account Party” of each Letter of Credit. If Agent is not the Issuer of any Letter of Credit, Borrowing Agent shall authorize and direct Issuer to deliver to Agent all instruments, documents, and other writings and property received by Issuer pursuant to the Letter of Credit and to accept and rely upon Agent’s instructions and agreements with respect to all matters arising in connection with the Letter of Credit, the application therefor.</w:t>
      </w:r>
    </w:p>
    <w:p>
      <w:pPr>
        <w:spacing w:after="0" w:line="146"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Disbursements, Reimbursement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tabs>
          <w:tab w:leader="none" w:pos="159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issuance of each Letter of Credit, each Lender holding a Revolving Commitment shall be deemed to, and hereby irrevocably and unconditionally agrees to, purchase from Issuer a participation in each Letter of Credit and each drawing thereunder in an amount equal to such Lender’s Revolving Commitment Percentage of the Maximum Undrawn Amount of such Letter of Credit (as in effect from time to time) and the amount of such drawing, respectively.</w:t>
      </w:r>
    </w:p>
    <w:p>
      <w:pPr>
        <w:spacing w:after="0" w:line="145" w:lineRule="exact"/>
        <w:rPr>
          <w:rFonts w:ascii="Times New Roman" w:cs="Times New Roman" w:eastAsia="Times New Roman" w:hAnsi="Times New Roman"/>
          <w:sz w:val="18"/>
          <w:szCs w:val="18"/>
          <w:color w:val="auto"/>
        </w:rPr>
      </w:pPr>
    </w:p>
    <w:p>
      <w:pPr>
        <w:jc w:val="both"/>
        <w:ind w:firstLine="1053"/>
        <w:spacing w:after="0" w:line="234" w:lineRule="auto"/>
        <w:tabs>
          <w:tab w:leader="none" w:pos="159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request for a drawing under a Letter of Credit by the beneficiary or transferee thereof, Issuer will promptly notify Agent and Borrowing Agent. Regardless of whether Borrowing Agent shall have received such notice, Borrowers shall reimburse (such obligation to reimburse Issuer shall sometimes be referred to as a “Reimbursement Obligation”) Issuer prior to 12:00 Noon, on each date that an amount is paid by Issuer under any Letter of Credit (each such date, a “Drawing Date”) in an amount equal to the amount so paid by Issuer. In the event Borrowers fail to reimburse Issuer for the full amount of any drawing under any Letter of Credit by 12:00 Noon, on the Drawing Date, Issuer will promptly notify Agent and each Lender holding a Revolving Commitment thereof, and Borrowers shall be automatically deemed to have requested that a Revolving Advance maintained as a Domestic Rate Loan be made by Lenders to be disbursed on the Drawing Date under such Letter of Credit, and Lenders holding the Revolving Commitments shall be unconditionally obligated to fund such Revolving Advance (all whether or not the conditions specified in Section 8.2 are then satisfied or the commitments of Lenders to make Revolving Advances hereunder have been terminated for any reason) as provided for in Section 2.14(c) immediately below. Any notice given by Issuer pursuant to this Section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72" w:name="page273"/>
    <w:bookmarkEnd w:id="272"/>
    <w:p>
      <w:pPr>
        <w:spacing w:after="0" w:line="258" w:lineRule="auto"/>
        <w:rPr>
          <w:sz w:val="20"/>
          <w:szCs w:val="20"/>
          <w:color w:val="auto"/>
        </w:rPr>
      </w:pPr>
      <w:r>
        <w:rPr>
          <w:rFonts w:ascii="Times New Roman" w:cs="Times New Roman" w:eastAsia="Times New Roman" w:hAnsi="Times New Roman"/>
          <w:sz w:val="18"/>
          <w:szCs w:val="18"/>
          <w:color w:val="auto"/>
        </w:rPr>
        <w:t>2.14(b) may be oral if promptly confirmed in writing; provided that the lack of such a confirmation shall not affect the conclusiveness or binding effect of such notice.</w:t>
      </w:r>
    </w:p>
    <w:p>
      <w:pPr>
        <w:spacing w:after="0" w:line="129" w:lineRule="exact"/>
        <w:rPr>
          <w:sz w:val="20"/>
          <w:szCs w:val="20"/>
          <w:color w:val="auto"/>
        </w:rPr>
      </w:pPr>
    </w:p>
    <w:p>
      <w:pPr>
        <w:jc w:val="both"/>
        <w:ind w:firstLine="1053"/>
        <w:spacing w:after="0" w:line="248" w:lineRule="auto"/>
        <w:tabs>
          <w:tab w:leader="none" w:pos="1593"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holding a Revolving Commitment shall upon any notice pursuant to Section 2.14(b) make available to Issuer through Agent at the Payment Office an amount in immediately available funds equal to its Revolving Commitment Percentage (subject to any contrary provisions of Section 2.22) of the amount of the drawing, whereupon the participating Lenders shall (subject to Section 2.14(d)) each be deemed to have made a Revolving Advance maintained as a Domestic Rate Loan to Borrowers in that amount. If any Lender holding a Revolving Commitment so notified fails to make available to Agent, for the benefit of Issuer, the amount of such Lender’s Revolving Commitment Percentage of such amount by 2:00 p.m. on the Drawing Date, then interest shall accrue on such Lender’s obligation to make such payment, from the Drawing Date to the date on which such Lender makes such payment (i) at a rate per annum equal to the Effective Federal Funds Rate during the first three (3) days following the Drawing Date and (ii) at a rate per annum equal to the rate applicable to Revolving Advances maintained as a Domestic Rate Loan on and after the fourth day following the Drawing Date. Agent and Issuer will promptly give notice of the occurrence of the Drawing Date, but failure of Agent or Issuer to give any such notice on the Drawing Date or in sufficient time to enable any Lender holding a Revolving Commitment to effect such payment on such date shall not relieve such Lender from its obligations under this Section 2.14(c), provided that such Lender shall not be obligated to pay interest as provided in Section 2.14(c)(i) and (ii) until and commencing from the date of receipt of notice from Agent or Issuer of a drawing.</w:t>
      </w:r>
    </w:p>
    <w:p>
      <w:pPr>
        <w:spacing w:after="0" w:line="139" w:lineRule="exact"/>
        <w:rPr>
          <w:rFonts w:ascii="Times New Roman" w:cs="Times New Roman" w:eastAsia="Times New Roman" w:hAnsi="Times New Roman"/>
          <w:sz w:val="17"/>
          <w:szCs w:val="17"/>
          <w:color w:val="auto"/>
        </w:rPr>
      </w:pPr>
    </w:p>
    <w:p>
      <w:pPr>
        <w:jc w:val="both"/>
        <w:ind w:firstLine="1053"/>
        <w:spacing w:after="0" w:line="235" w:lineRule="auto"/>
        <w:tabs>
          <w:tab w:leader="none" w:pos="159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unreimbursed drawing that is not converted into a Revolving Advance maintained as a Domestic Rate Loan to Borrowers in whole or in part as contemplated by Section 2.14(b), because of Borrowers’ failure to satisfy the conditions set forth in Section 8.2 hereof (other than any notice requirements) or for any other reason, Borrowers shall be deemed to have incurred from Agent a borrowing (each a “Letter of Credit Borrowing”) in the amount of such drawing. Such Letter of Credit Borrowing shall be due and payable on demand (together with interest) and shall bear interest at the rate per annum applicable to a Revolving Advance maintained as a Domestic Rate Loan. Each applicable Lender’s payment to Agent pursuant to Section 2.14(c) shall be deemed to be a payment in respect of its participation in such Letter of Credit Borrowing and shall constitute a “Participation Advance” from such Lender in satisfaction of its Participation Commitment in respect of the applicable Letter of Credit under this Section 2.14.</w:t>
      </w:r>
    </w:p>
    <w:p>
      <w:pPr>
        <w:spacing w:after="0" w:line="148"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Lender’s Participation Commitment in respect of the Letters of Credit shall continue until the last to occur of any of the following events: (x) Issuer ceases to be obligated to issue or cause to be issued Letters of Credit hereunder; (y) no Letter of Credit issued or created hereunder remains outstanding and uncancelled; and (z) all Persons (other than Borrowers) have been fully reimbursed for all payments made under or relating to Letters of Credit.</w:t>
      </w:r>
    </w:p>
    <w:p>
      <w:pPr>
        <w:spacing w:after="0" w:line="145"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Repayment of Participation Advances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20" w:firstLine="1053"/>
        <w:spacing w:after="0" w:line="259" w:lineRule="auto"/>
        <w:tabs>
          <w:tab w:leader="none" w:pos="159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only upon) receipt by Agent for the account of Issuer of immediately available funds from Borrowers (i) in reimbursement of any payment made by Issuer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73" w:name="page274"/>
    <w:bookmarkEnd w:id="273"/>
    <w:p>
      <w:pPr>
        <w:jc w:val="both"/>
        <w:spacing w:after="0" w:line="235" w:lineRule="auto"/>
        <w:rPr>
          <w:sz w:val="20"/>
          <w:szCs w:val="20"/>
          <w:color w:val="auto"/>
        </w:rPr>
      </w:pPr>
      <w:r>
        <w:rPr>
          <w:rFonts w:ascii="Times New Roman" w:cs="Times New Roman" w:eastAsia="Times New Roman" w:hAnsi="Times New Roman"/>
          <w:sz w:val="18"/>
          <w:szCs w:val="18"/>
          <w:color w:val="auto"/>
        </w:rPr>
        <w:t>or Agent under the Letter of Credit with respect to which any Lender has made a Participation Advance to Agent, or (ii) in payment of interest on such a payment made by Issuer or Agent under such a Letter of Credit, Agent will pay to each Lender holding a Revolving Commitment, in the same funds as those received by Agent, the amount of such Lender’s Revolving Commitment Percentage of such funds, except Agent shall retain the amount of the Revolving Commitment Percentage of such funds of any Lender holding a Revolving Commitment that did not make a Participation Advance in respect of such payment by Agent (and, to the extent that any of the other Lender(s) holding the Revolving Commitment have funded any portion such Defaulting Lender’s Participation Advance in accordance with the provisions of Section 2.22, Agent will pay over to such Non-Defaulting Lenders a pro rata portion of the funds so withheld from such Defaulting Lender).</w:t>
      </w:r>
    </w:p>
    <w:p>
      <w:pPr>
        <w:spacing w:after="0" w:line="148" w:lineRule="exact"/>
        <w:rPr>
          <w:sz w:val="20"/>
          <w:szCs w:val="20"/>
          <w:color w:val="auto"/>
        </w:rPr>
      </w:pPr>
    </w:p>
    <w:p>
      <w:pPr>
        <w:jc w:val="both"/>
        <w:ind w:firstLine="1053"/>
        <w:spacing w:after="0" w:line="238" w:lineRule="auto"/>
        <w:tabs>
          <w:tab w:leader="none" w:pos="159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Issuer or Agent is required at any time to return to any Borrower, or to a trustee, receiver, liquidator, custodian, or any official in any insolvency proceeding, any portion of the payments made by Borrowers to Issuer or Agent pursuant to Section 2.15(a) in reimbursement of a payment made under the Letter of Credit or interest or fee thereon, each applicable Lender shall, on demand of Agent, forthwith return to Issuer or Agent the amount of its Revolving Commitment Percentage of any amounts so returned by Issuer or Agent plus interest at the Federal Funds Effective Rate.</w:t>
      </w:r>
    </w:p>
    <w:p>
      <w:pPr>
        <w:spacing w:after="0" w:line="146"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Borrower agrees to be bound by the terms of the Letter of Credit Application and by Issuer’s interpretations of any Letter of Credit issued on behalf of such Borrower and by Issuer’s written regulations and customary practices relating to letters of credit, though Issuer’s interpretations may be different from such Borrower’s own. In the event of a conflict between the Letter of Credit Application and this Agreement, this Agreement shall govern. It is understood and agreed that, except in the case of gross negligence or willful misconduct (as determined by a court of competent jurisdiction in a final non-appealable judgment), Issuer shall not be liable for any error, negligence and/or mistakes, whether of omission or commission, in following Borrowing Agent’s or any Borrower’s instructions or those contained in the Letters of Credit or any modifications, amendments or supplements thereto.</w:t>
      </w:r>
    </w:p>
    <w:p>
      <w:pPr>
        <w:spacing w:after="0" w:line="146"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Determination to Honor Drawing Request</w:t>
      </w:r>
      <w:r>
        <w:rPr>
          <w:rFonts w:ascii="Times New Roman" w:cs="Times New Roman" w:eastAsia="Times New Roman" w:hAnsi="Times New Roman"/>
          <w:sz w:val="18"/>
          <w:szCs w:val="18"/>
          <w:color w:val="auto"/>
        </w:rPr>
        <w:t>. In determining whether to honor any request for drawing under any Letter of Credit by the beneficiary thereof, Issuer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145"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Nature of Participation and Reimbursement Obligations</w:t>
      </w:r>
      <w:r>
        <w:rPr>
          <w:rFonts w:ascii="Times New Roman" w:cs="Times New Roman" w:eastAsia="Times New Roman" w:hAnsi="Times New Roman"/>
          <w:sz w:val="18"/>
          <w:szCs w:val="18"/>
          <w:color w:val="auto"/>
        </w:rPr>
        <w:t>. The obligation of each Lender holding a Revolving Commitment in accordance with this Agreement to make the Revolving Advances or Participation Advances as a result of a drawing under a Letter of Credit, and the obligations of Borrowers to reimburse Issuer upon a draw under a Letter of Credit, shall be absolute, unconditional and irrevocable, and shall be performed strictly in accordance with the terms of this Section 2.18 under all circumstances, including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74" w:name="page275"/>
    <w:bookmarkEnd w:id="274"/>
    <w:p>
      <w:pPr>
        <w:ind w:firstLine="1590"/>
        <w:spacing w:after="0" w:line="288" w:lineRule="auto"/>
        <w:tabs>
          <w:tab w:leader="none" w:pos="2057"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set-off, counterclaim, recoupment, defense or other right which such Lender or any Borrower, as the case may be, may have against Issuer, Agent, any Borrower or Lender, as the case may be, or any other Person for any reason whatsoever;</w:t>
      </w:r>
    </w:p>
    <w:p>
      <w:pPr>
        <w:spacing w:after="0" w:line="105" w:lineRule="exact"/>
        <w:rPr>
          <w:rFonts w:ascii="Times New Roman" w:cs="Times New Roman" w:eastAsia="Times New Roman" w:hAnsi="Times New Roman"/>
          <w:sz w:val="17"/>
          <w:szCs w:val="17"/>
          <w:color w:val="auto"/>
        </w:rPr>
      </w:pPr>
    </w:p>
    <w:p>
      <w:pPr>
        <w:jc w:val="both"/>
        <w:ind w:firstLine="1590"/>
        <w:spacing w:after="0" w:line="266" w:lineRule="auto"/>
        <w:tabs>
          <w:tab w:leader="none" w:pos="2057"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any Borrower or any other Person to comply, in connection with a Letter of Credit Borrowing, with the conditions set forth in this Agreement for the making of a Revolving Advance, it being acknowledged that such conditions are not required for the making of a Letter of Credit Borrowing and the obligation of Lenders to make Participation Advances under Section 2.14;</w:t>
      </w:r>
    </w:p>
    <w:p>
      <w:pPr>
        <w:spacing w:after="0" w:line="124" w:lineRule="exact"/>
        <w:rPr>
          <w:rFonts w:ascii="Times New Roman" w:cs="Times New Roman" w:eastAsia="Times New Roman" w:hAnsi="Times New Roman"/>
          <w:sz w:val="17"/>
          <w:szCs w:val="17"/>
          <w:color w:val="auto"/>
        </w:rPr>
      </w:pPr>
    </w:p>
    <w:p>
      <w:pPr>
        <w:ind w:left="2060" w:hanging="470"/>
        <w:spacing w:after="0"/>
        <w:tabs>
          <w:tab w:leader="none" w:pos="20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Letter of Credit;</w:t>
      </w:r>
    </w:p>
    <w:p>
      <w:pPr>
        <w:spacing w:after="0" w:line="169" w:lineRule="exact"/>
        <w:rPr>
          <w:rFonts w:ascii="Times New Roman" w:cs="Times New Roman" w:eastAsia="Times New Roman" w:hAnsi="Times New Roman"/>
          <w:sz w:val="18"/>
          <w:szCs w:val="18"/>
          <w:color w:val="auto"/>
        </w:rPr>
      </w:pPr>
    </w:p>
    <w:p>
      <w:pPr>
        <w:jc w:val="both"/>
        <w:ind w:firstLine="1590"/>
        <w:spacing w:after="0" w:line="236" w:lineRule="auto"/>
        <w:tabs>
          <w:tab w:leader="none" w:pos="20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of breach of warranty that might be made by any Borrower, Agent, Issuer or any Lender against the beneficiary of a Letter of Credit, or the existence of any claim, set-off, recoupment, counterclaim, cross-claim, defense or other right which any Borrower, Agent, Issuer or any Lender may have at any time against a beneficiary, any successor beneficiary or any transferee of any Letter of Credit or assignee of the proceeds thereof (or any Persons for whom any such transferee or assignee may be acting), Issuer, Agent or any Lender or any other Person, whether in connection with this Agreement, the transactions contemplated herein or any unrelated transaction (including any underlying transaction between any Borrower or any Subsidiaries of such Borrower and the beneficiary for which any Letter of Credit was procured);</w:t>
      </w:r>
    </w:p>
    <w:p>
      <w:pPr>
        <w:spacing w:after="0" w:line="145" w:lineRule="exact"/>
        <w:rPr>
          <w:rFonts w:ascii="Times New Roman" w:cs="Times New Roman" w:eastAsia="Times New Roman" w:hAnsi="Times New Roman"/>
          <w:sz w:val="18"/>
          <w:szCs w:val="18"/>
          <w:color w:val="auto"/>
        </w:rPr>
      </w:pPr>
    </w:p>
    <w:p>
      <w:pPr>
        <w:jc w:val="both"/>
        <w:ind w:firstLine="1590"/>
        <w:spacing w:after="0" w:line="238" w:lineRule="auto"/>
        <w:tabs>
          <w:tab w:leader="none" w:pos="20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Issuer or any of Issuer’s Affiliates has been notified thereof;</w:t>
      </w:r>
    </w:p>
    <w:p>
      <w:pPr>
        <w:spacing w:after="0" w:line="146" w:lineRule="exact"/>
        <w:rPr>
          <w:rFonts w:ascii="Times New Roman" w:cs="Times New Roman" w:eastAsia="Times New Roman" w:hAnsi="Times New Roman"/>
          <w:sz w:val="18"/>
          <w:szCs w:val="18"/>
          <w:color w:val="auto"/>
        </w:rPr>
      </w:pPr>
    </w:p>
    <w:p>
      <w:pPr>
        <w:jc w:val="both"/>
        <w:ind w:firstLine="1590"/>
        <w:spacing w:after="0"/>
        <w:tabs>
          <w:tab w:leader="none" w:pos="20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Issuer under any Letter of Credit against presentation of a demand, draft or certificate or other document which is forged or does not fully comply with the terms of such Letter of Credit (provided that the foregoing shall not excuse Issuer from any obligation under the terms of any applicable Letter of Credit to require the presentation of documents that on their face appear to satisfy any applicable requirements for drawing under such Letter of Credit prior to honoring or paying any such draw);</w:t>
      </w:r>
    </w:p>
    <w:p>
      <w:pPr>
        <w:spacing w:after="0" w:line="145" w:lineRule="exact"/>
        <w:rPr>
          <w:rFonts w:ascii="Times New Roman" w:cs="Times New Roman" w:eastAsia="Times New Roman" w:hAnsi="Times New Roman"/>
          <w:sz w:val="18"/>
          <w:szCs w:val="18"/>
          <w:color w:val="auto"/>
        </w:rPr>
      </w:pPr>
    </w:p>
    <w:p>
      <w:pPr>
        <w:jc w:val="both"/>
        <w:ind w:firstLine="1590"/>
        <w:spacing w:after="0" w:line="245" w:lineRule="auto"/>
        <w:tabs>
          <w:tab w:leader="none" w:pos="20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40" w:lineRule="exact"/>
        <w:rPr>
          <w:rFonts w:ascii="Times New Roman" w:cs="Times New Roman" w:eastAsia="Times New Roman" w:hAnsi="Times New Roman"/>
          <w:sz w:val="18"/>
          <w:szCs w:val="18"/>
          <w:color w:val="auto"/>
        </w:rPr>
      </w:pPr>
    </w:p>
    <w:p>
      <w:pPr>
        <w:jc w:val="both"/>
        <w:ind w:firstLine="1590"/>
        <w:spacing w:after="0" w:line="245" w:lineRule="auto"/>
        <w:tabs>
          <w:tab w:leader="none" w:pos="20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Issuer or any of Issuer’s Affiliates to issue any Letter of Credit in the form requested by Borrowing Agent, unless Agent and Issuer have each received written notice from Borrowing Agent of such failure within three (3) Business Days after Issuer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293370</wp:posOffset>
            </wp:positionV>
            <wp:extent cx="631444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880"/>
          </w:cols>
          <w:pgMar w:left="1040" w:top="118" w:right="979" w:bottom="1440" w:gutter="0" w:footer="0" w:header="0"/>
        </w:sectPr>
      </w:pPr>
    </w:p>
    <w:bookmarkStart w:id="275" w:name="page276"/>
    <w:bookmarkEnd w:id="275"/>
    <w:p>
      <w:pPr>
        <w:ind w:left="60"/>
        <w:spacing w:after="0" w:line="258" w:lineRule="auto"/>
        <w:rPr>
          <w:sz w:val="20"/>
          <w:szCs w:val="20"/>
          <w:color w:val="auto"/>
        </w:rPr>
      </w:pPr>
      <w:r>
        <w:rPr>
          <w:rFonts w:ascii="Times New Roman" w:cs="Times New Roman" w:eastAsia="Times New Roman" w:hAnsi="Times New Roman"/>
          <w:sz w:val="18"/>
          <w:szCs w:val="18"/>
          <w:color w:val="auto"/>
        </w:rPr>
        <w:t>shall have furnished Agent and Borrowing Agent a copy of such Letter of Credit and such error is material and no drawing has been made thereon prior to receipt of such notice;</w:t>
      </w:r>
    </w:p>
    <w:p>
      <w:pPr>
        <w:spacing w:after="0" w:line="129" w:lineRule="exact"/>
        <w:rPr>
          <w:sz w:val="20"/>
          <w:szCs w:val="20"/>
          <w:color w:val="auto"/>
        </w:rPr>
      </w:pPr>
    </w:p>
    <w:p>
      <w:pPr>
        <w:ind w:left="2120" w:hanging="470"/>
        <w:spacing w:after="0"/>
        <w:tabs>
          <w:tab w:leader="none" w:pos="21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Material Adverse Effect;</w:t>
      </w:r>
    </w:p>
    <w:p>
      <w:pPr>
        <w:spacing w:after="0" w:line="16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or any Other Document by any party thereto;</w:t>
      </w:r>
    </w:p>
    <w:p>
      <w:pPr>
        <w:spacing w:after="0" w:line="16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continuance of an insolvency proceeding with respect to any Borrower or any Guarantor;</w:t>
      </w:r>
    </w:p>
    <w:p>
      <w:pPr>
        <w:spacing w:after="0" w:line="16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 Default or an Event of Default shall have occurred and be continuing;</w:t>
      </w:r>
    </w:p>
    <w:p>
      <w:pPr>
        <w:spacing w:after="0" w:line="16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Term shall have expired or this Agreement or the obligations of Lenders to make Advances</w:t>
      </w:r>
    </w:p>
    <w:p>
      <w:pPr>
        <w:spacing w:after="0" w:line="1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terminated; and</w:t>
      </w:r>
    </w:p>
    <w:p>
      <w:pPr>
        <w:spacing w:after="0" w:line="14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w:t>
      </w:r>
    </w:p>
    <w:p>
      <w:pPr>
        <w:spacing w:after="0" w:line="16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u w:val="single" w:color="auto"/>
          <w:color w:val="auto"/>
        </w:rPr>
        <w:t>Liability for Acts and Omissions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2" w:lineRule="auto"/>
        <w:tabs>
          <w:tab w:leader="none" w:pos="159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Borrowers and Issuer, Swing Loan Lender, Agent and Lenders, each Borrower assumes all risks of the acts and omissions of, or misuse of the Letters of Credit by, the respective beneficiaries of such Letters of Credit. In furtherance and not in limitation of the foregoing, Issuer shall not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Issuer or any of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Borrower against any beneficiary of such Letter of Credit, or any such transferee, or any dispute between or among any Borrower and any beneficiary of any Letter of Credit or any such transferee; (iv) errors, omissions, interruptions or delays in transmission or delivery of any messages, by mail, cable, facsimile,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Issuer, including any Governmental Acts, and none of the above shall affect or impair, or prevent the vesting of, any of Issuer’s rights or powers hereunder. Nothing in the preceding sentence shall relieve Issuer from liability for Issuer’s gross negligence or willful misconduct (as determined by a court of competent jurisdiction in a final non-appealable judgment) in connection with actions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76" w:name="page277"/>
    <w:bookmarkEnd w:id="276"/>
    <w:p>
      <w:pPr>
        <w:jc w:val="both"/>
        <w:spacing w:after="0" w:line="244" w:lineRule="auto"/>
        <w:rPr>
          <w:sz w:val="20"/>
          <w:szCs w:val="20"/>
          <w:color w:val="auto"/>
        </w:rPr>
      </w:pPr>
      <w:r>
        <w:rPr>
          <w:rFonts w:ascii="Times New Roman" w:cs="Times New Roman" w:eastAsia="Times New Roman" w:hAnsi="Times New Roman"/>
          <w:sz w:val="18"/>
          <w:szCs w:val="18"/>
          <w:color w:val="auto"/>
        </w:rPr>
        <w:t>or omissions described in such clauses (i) through (viii) of such sentence. In no event shall Issuer or Issuer’s Affiliates be liable to any Borrower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142" w:lineRule="exact"/>
        <w:rPr>
          <w:sz w:val="20"/>
          <w:szCs w:val="20"/>
          <w:color w:val="auto"/>
        </w:rPr>
      </w:pPr>
    </w:p>
    <w:p>
      <w:pPr>
        <w:jc w:val="both"/>
        <w:ind w:firstLine="1053"/>
        <w:spacing w:after="0" w:line="233" w:lineRule="auto"/>
        <w:tabs>
          <w:tab w:leader="none" w:pos="159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Issuer and each of its Affiliates: (i) may rely on any oral or other communication believed in good faith by Issuer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Issuer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Issuer or its Affiliate in any way related to any order issued at the applicant’s request to an air carrier, a letter of guarantee or of indemnity issued to a steamship agent or carrier or any document or instrument of like import (each an “Order”)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51"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extension and not in limitation of the specific provisions set forth above, any action taken or omitted by Issuer under or in connection with the Letters of Credit issued by it or any documents and certificates delivered thereunder, if taken or omitted in good faith and without gross negligence (as determined by a court of competent jurisdiction in a final non-appealable judgment), shall not put Issuer under any resulting liability to any Borrower, Agent or any Lender.</w:t>
      </w:r>
    </w:p>
    <w:p>
      <w:pPr>
        <w:spacing w:after="0" w:line="145"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u w:val="single" w:color="auto"/>
          <w:color w:val="auto"/>
        </w:rPr>
        <w:t>Mandatory Prepayments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firstLine="1053"/>
        <w:spacing w:after="0" w:line="235" w:lineRule="auto"/>
        <w:tabs>
          <w:tab w:leader="none" w:pos="159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 hereof, when any Borrower sells or otherwise disposes of any Collateral other than Inventory in the Ordinary Course of Business, Borrowers shall repay the Advances in an amount equal to the net proceeds of such sale (i.e., gross proceeds less the reasonable direct costs of such sales or other dispositions), such repayments to be made promptly but in no event more than three (3) Business Days following receipt of such net proceeds, and until the date of payment, such proceeds shall be held in trust for Agent. The foregoing shall not be deemed to be implied consent to any such sale otherwise prohibited by the terms and conditions hereof. Such repayments shall be applied to the outstanding Advances (including cash collateralization of all Obligations relating to any outstanding Letters of Credit in accordance with the provisions of Section 3.2(b), provided however that if no Default or Event of Default has occurred and is continuing, such repayments shall be applied to cash collateralize any Obligations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77" w:name="page278"/>
    <w:bookmarkEnd w:id="277"/>
    <w:p>
      <w:pPr>
        <w:spacing w:after="0" w:line="258" w:lineRule="auto"/>
        <w:rPr>
          <w:sz w:val="20"/>
          <w:szCs w:val="20"/>
          <w:color w:val="auto"/>
        </w:rPr>
      </w:pPr>
      <w:r>
        <w:rPr>
          <w:rFonts w:ascii="Times New Roman" w:cs="Times New Roman" w:eastAsia="Times New Roman" w:hAnsi="Times New Roman"/>
          <w:sz w:val="18"/>
          <w:szCs w:val="18"/>
          <w:color w:val="auto"/>
        </w:rPr>
        <w:t>related to outstanding Letters of Credit last) in such order as Agent may determine, subject to Borrowers’ ability to reborrow Revolving Advances in accordance with the terms hereof.</w:t>
      </w:r>
    </w:p>
    <w:p>
      <w:pPr>
        <w:spacing w:after="0" w:line="129" w:lineRule="exact"/>
        <w:rPr>
          <w:sz w:val="20"/>
          <w:szCs w:val="20"/>
          <w:color w:val="auto"/>
        </w:rPr>
      </w:pPr>
    </w:p>
    <w:p>
      <w:pPr>
        <w:jc w:val="both"/>
        <w:ind w:firstLine="1053"/>
        <w:spacing w:after="0" w:line="234" w:lineRule="auto"/>
        <w:tabs>
          <w:tab w:leader="none" w:pos="159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(x) any issuance or other incurrence of Indebtedness (other than Indebtedness described in the definition of Permitted Indebtedness) by Borrowers, (y) the issuance of any Equity Interests by any Borrower, or (z) the receipt by any Borrower of the proceeds of any grant, Borrowers shall, no later than three (3) Business Days after the receipt by Borrowers of (i) the cash proceeds from any such issuance or incurrence of Indebtedness, (ii) the net cash proceeds of any issuance of Equity Interests, or (iii) the cash proceeds of any such grants, as applicable, repay the Advances in an amount equal to (x) one hundred percent (100%) of such cash proceeds in the case of such incurrence or issuance of Indebtedness, (y) one hundred percent (100%) of such net cash proceeds in the case of an issuance of Equity Interests, and (z) one hundred percent (100%) of such cash proceeds in the case of receipt of proceeds of grants. Such repayments will be applied in the same manner as set forth in Section 2.20(a) hereof. The foregoing requirements regarding proceeds of grants shall not apply to the extent that they would require Borrowers to violate the terms of any grant agreement restricting the use of proceeds of such grant. All proceeds received by Borrowers or Agent (i) under any insurance policy on account of damage or destruction of any assets or property of any Borrowers, or (ii) as a result of any taking or condemnation of any assets or property shall be applied in accordance with Section 6.6 hereof.</w:t>
      </w:r>
    </w:p>
    <w:p>
      <w:pPr>
        <w:spacing w:after="0" w:line="144"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6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firstLine="1053"/>
        <w:spacing w:after="0" w:line="259" w:lineRule="auto"/>
        <w:tabs>
          <w:tab w:leader="none" w:pos="159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apply the proceeds of Advances to (i) pay fees and expenses relating to this transaction, (ii) partially fund capital expenditures, and (iii) provide for its working capital needs and reimburse drawings under Letters of Credit.</w:t>
      </w:r>
    </w:p>
    <w:p>
      <w:pPr>
        <w:spacing w:after="0" w:line="128"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2.21(a) above, neither the Borrowers, the Guarantors nor any other Person which may in the future become party to this Agreement or the Other Documents as a Borrower or Guarantor, intends to use nor shall they use any portion of the proceeds of the Advances, directly or indirectly, for any purpose in violation of Applicable Law.</w:t>
      </w:r>
    </w:p>
    <w:p>
      <w:pPr>
        <w:spacing w:after="0" w:line="140"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45" w:lineRule="auto"/>
        <w:tabs>
          <w:tab w:leader="none" w:pos="159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the event any Lender is a Defaulting Lender, all rights and obligations hereunder of such Defaulting Lender and of the other parties hereto shall be modified to the extent of the express provisions of this Section 2.22 so long as such Lender is a Defaulting Lender.</w:t>
      </w:r>
    </w:p>
    <w:p>
      <w:pPr>
        <w:spacing w:after="0" w:line="140" w:lineRule="exact"/>
        <w:rPr>
          <w:rFonts w:ascii="Times New Roman" w:cs="Times New Roman" w:eastAsia="Times New Roman" w:hAnsi="Times New Roman"/>
          <w:sz w:val="18"/>
          <w:szCs w:val="18"/>
          <w:color w:val="auto"/>
        </w:rPr>
      </w:pPr>
    </w:p>
    <w:p>
      <w:pPr>
        <w:jc w:val="both"/>
        <w:ind w:firstLine="1053"/>
        <w:spacing w:after="0" w:line="238" w:lineRule="auto"/>
        <w:tabs>
          <w:tab w:leader="none" w:pos="159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otherwise expressly provided for in this Section 2.22, Revolving Advances shall be made pro rata from Lenders holding Revolving Commitments which are not Defaulting Lenders based on their respective Revolving Commitment Percentages, and no Revolving Commitment Percentage of any Lender or any pro rata share of any Revolving Advances required to be advanced by any Lender shall be increased as a result of any Lender being a Defaulting Lender. Amounts received in respect of principal of any type of Revolving Advances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78" w:name="page279"/>
    <w:bookmarkEnd w:id="278"/>
    <w:p>
      <w:pPr>
        <w:jc w:val="both"/>
        <w:ind w:left="9"/>
        <w:spacing w:after="0" w:line="236" w:lineRule="auto"/>
        <w:rPr>
          <w:sz w:val="20"/>
          <w:szCs w:val="20"/>
          <w:color w:val="auto"/>
        </w:rPr>
      </w:pPr>
      <w:r>
        <w:rPr>
          <w:rFonts w:ascii="Times New Roman" w:cs="Times New Roman" w:eastAsia="Times New Roman" w:hAnsi="Times New Roman"/>
          <w:sz w:val="18"/>
          <w:szCs w:val="18"/>
          <w:color w:val="auto"/>
        </w:rPr>
        <w:t>shall be applied to reduce such type of Revolving Advances of each Lender (other than any Defaulting Lender) holding a Revolving Commitment in accordance with their Revolving Commitment Percentages; provided, that, Agent shall not be obligated to transfer to a Defaulting Lender any payments received by Agent for Defaulting Lender’s benefit, nor shall a Defaulting Lender be entitled to the sharing of any payments hereunder (including any principal, interest or fees). Amounts payable to a Defaulting Lender shall instead be paid to or retained by Agent. Agent may hold and, in its discretion, re-lend to a Borrower the amount of such payments received or retained by it for the account of such Defaulting Lender.</w:t>
      </w:r>
    </w:p>
    <w:p>
      <w:pPr>
        <w:spacing w:after="0" w:line="149" w:lineRule="exact"/>
        <w:rPr>
          <w:sz w:val="20"/>
          <w:szCs w:val="20"/>
          <w:color w:val="auto"/>
        </w:rPr>
      </w:pPr>
    </w:p>
    <w:p>
      <w:pPr>
        <w:ind w:left="2129" w:hanging="470"/>
        <w:spacing w:after="0"/>
        <w:tabs>
          <w:tab w:leader="none" w:pos="212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pursuant to Section 3.3(b) hereof shall cease to accrue in favor of such Defaulting Lender.</w:t>
      </w:r>
    </w:p>
    <w:p>
      <w:pPr>
        <w:spacing w:after="0" w:line="169" w:lineRule="exact"/>
        <w:rPr>
          <w:rFonts w:ascii="Times New Roman" w:cs="Times New Roman" w:eastAsia="Times New Roman" w:hAnsi="Times New Roman"/>
          <w:sz w:val="18"/>
          <w:szCs w:val="18"/>
          <w:color w:val="auto"/>
        </w:rPr>
      </w:pPr>
    </w:p>
    <w:p>
      <w:pPr>
        <w:jc w:val="both"/>
        <w:ind w:left="69" w:firstLine="1590"/>
        <w:spacing w:after="0" w:line="245" w:lineRule="auto"/>
        <w:tabs>
          <w:tab w:leader="none" w:pos="212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 Loans are outstanding or any Letters of Credit (or drawings under any Letter of Credit for which Issuer has not been reimbursed) are outstanding or exist at the time any such Lender holding a Revolving Commitment becomes a Defaulting Lender, then:</w:t>
      </w:r>
    </w:p>
    <w:p>
      <w:pPr>
        <w:spacing w:after="0" w:line="140" w:lineRule="exact"/>
        <w:rPr>
          <w:rFonts w:ascii="Times New Roman" w:cs="Times New Roman" w:eastAsia="Times New Roman" w:hAnsi="Times New Roman"/>
          <w:sz w:val="18"/>
          <w:szCs w:val="18"/>
          <w:color w:val="auto"/>
        </w:rPr>
      </w:pPr>
    </w:p>
    <w:p>
      <w:pPr>
        <w:jc w:val="both"/>
        <w:ind w:left="9" w:firstLine="2115"/>
        <w:spacing w:after="0" w:line="235" w:lineRule="auto"/>
        <w:tabs>
          <w:tab w:leader="none" w:pos="2663"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Defaulting Lender’s Participation Commitment in the outstanding Swing Loans and of the Maximum Undrawn Amount of all outstanding Letters of Credit shall be reallocated among Non-Defaulting Lenders holding Revolving Commitments in proportion to the respective Revolving Commitment Percentages of such Non-Defaulting Lenders to the extent (but only to the extent) that (x) such reallocation does not cause the aggregate sum of outstanding Revolving Advances made by any such Non-Defaulting Lender holding a Revolving Commitment plus such Lender’s reallocated Participation Commitment in the outstanding Swing Loans plus such Lender’s reallocated Participation Commitment in the aggregate Maximum Undrawn Amount of all outstanding Letters of Credit to exceed the Revolving Commitment Amount of any such Non-Defaulting Lender, and (y) no Default or Event of Default has occurred and is continuing at such time;</w:t>
      </w:r>
    </w:p>
    <w:p>
      <w:pPr>
        <w:spacing w:after="0" w:line="148" w:lineRule="exact"/>
        <w:rPr>
          <w:rFonts w:ascii="Times New Roman" w:cs="Times New Roman" w:eastAsia="Times New Roman" w:hAnsi="Times New Roman"/>
          <w:sz w:val="18"/>
          <w:szCs w:val="18"/>
          <w:color w:val="auto"/>
        </w:rPr>
      </w:pPr>
    </w:p>
    <w:p>
      <w:pPr>
        <w:jc w:val="both"/>
        <w:ind w:left="9" w:firstLine="2115"/>
        <w:spacing w:after="0" w:line="236" w:lineRule="auto"/>
        <w:tabs>
          <w:tab w:leader="none" w:pos="2663"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clause (A) above cannot, or can only partially, be effected, Borrowers shall within one Business Day following notice by Agent (x) first, prepay any outstanding Swing Loans that cannot be reallocated, and (y) second, cash collateralize for the benefit of Issuer, Borrowers’ obligations corresponding to such Defaulting Lender’s Participation Commitment in the Maximum Undrawn Amount of all Letters of Credit (after giving effect to any partial reallocation pursuant to clause</w:t>
      </w:r>
    </w:p>
    <w:p>
      <w:pPr>
        <w:spacing w:after="0" w:line="2" w:lineRule="exact"/>
        <w:rPr>
          <w:rFonts w:ascii="Times New Roman" w:cs="Times New Roman" w:eastAsia="Times New Roman" w:hAnsi="Times New Roman"/>
          <w:sz w:val="18"/>
          <w:szCs w:val="18"/>
          <w:color w:val="auto"/>
        </w:rPr>
      </w:pPr>
    </w:p>
    <w:p>
      <w:pPr>
        <w:ind w:left="289" w:hanging="289"/>
        <w:spacing w:after="0"/>
        <w:tabs>
          <w:tab w:leader="none" w:pos="28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accordance with Section 3.2(b) for so long as such Obligations are outstanding;</w:t>
      </w:r>
    </w:p>
    <w:p>
      <w:pPr>
        <w:spacing w:after="0" w:line="149" w:lineRule="exact"/>
        <w:rPr>
          <w:rFonts w:ascii="Times New Roman" w:cs="Times New Roman" w:eastAsia="Times New Roman" w:hAnsi="Times New Roman"/>
          <w:sz w:val="18"/>
          <w:szCs w:val="18"/>
          <w:color w:val="auto"/>
        </w:rPr>
      </w:pPr>
    </w:p>
    <w:p>
      <w:pPr>
        <w:jc w:val="both"/>
        <w:ind w:left="9" w:firstLine="2115"/>
        <w:spacing w:after="0" w:line="238" w:lineRule="auto"/>
        <w:tabs>
          <w:tab w:leader="none" w:pos="2663"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Borrowers cash collateralize any portion of such Defaulting Lender’s Participation Commitment in the Maximum Undrawn Amount of all Letters of Credit pursuant to clause (B) above, Borrowers shall not be required to pay any fees to such Defaulting Lender pursuant to Section 3.2(a) with respect to such Defaulting Lender’s Revolving Commitment Percentage of Maximum Undrawn Amount of all Letters of Credit during the period such Defaulting Lender’s Participation Commitment in the Maximum Undrawn Amount of all Letters of Credit are cash collateralized;</w:t>
      </w:r>
    </w:p>
    <w:p>
      <w:pPr>
        <w:spacing w:after="0" w:line="146" w:lineRule="exact"/>
        <w:rPr>
          <w:rFonts w:ascii="Times New Roman" w:cs="Times New Roman" w:eastAsia="Times New Roman" w:hAnsi="Times New Roman"/>
          <w:sz w:val="18"/>
          <w:szCs w:val="18"/>
          <w:color w:val="auto"/>
        </w:rPr>
      </w:pPr>
    </w:p>
    <w:p>
      <w:pPr>
        <w:ind w:left="9" w:firstLine="2115"/>
        <w:spacing w:after="0" w:line="259" w:lineRule="auto"/>
        <w:tabs>
          <w:tab w:leader="none" w:pos="2663"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Defaulting Lender’s Participation Commitment in the Maximum Undrawn Amount of all Letters of Credit is reallocated pursuant to clause (A) above,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79" w:name="page280"/>
    <w:bookmarkEnd w:id="279"/>
    <w:p>
      <w:pPr>
        <w:ind w:right="20"/>
        <w:spacing w:after="0" w:line="258" w:lineRule="auto"/>
        <w:rPr>
          <w:sz w:val="20"/>
          <w:szCs w:val="20"/>
          <w:color w:val="auto"/>
        </w:rPr>
      </w:pPr>
      <w:r>
        <w:rPr>
          <w:rFonts w:ascii="Times New Roman" w:cs="Times New Roman" w:eastAsia="Times New Roman" w:hAnsi="Times New Roman"/>
          <w:sz w:val="18"/>
          <w:szCs w:val="18"/>
          <w:color w:val="auto"/>
        </w:rPr>
        <w:t>then the fees payable to Lenders holding Revolving Commitments pursuant to Section 3.2(a) shall be adjusted and reallocated to Non-Defaulting Lenders holding Revolving Commitments in accordance with such reallocation; and</w:t>
      </w:r>
    </w:p>
    <w:p>
      <w:pPr>
        <w:spacing w:after="0" w:line="129" w:lineRule="exact"/>
        <w:rPr>
          <w:sz w:val="20"/>
          <w:szCs w:val="20"/>
          <w:color w:val="auto"/>
        </w:rPr>
      </w:pPr>
    </w:p>
    <w:p>
      <w:pPr>
        <w:jc w:val="both"/>
        <w:ind w:firstLine="2115"/>
        <w:spacing w:after="0" w:line="237" w:lineRule="auto"/>
        <w:tabs>
          <w:tab w:leader="none" w:pos="265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Participation Commitment in the Maximum Undrawn Amount of all Letters of Credit is neither reallocated nor cash collateralized pursuant to clauses (A) or (B) above, then, without prejudice to any rights or remedies of Issuer or any other Lender hereunder, all Letter of Credit Fees payable under Section 3.2(a) with respect to such Defaulting Lender’s Revolving Commitment Percentage of the Maximum Undrawn Amount of all Letters of Credit shall be payable to the Issuer (and not to such Defaulting Lender) until (and then only to the extent that) such Participation Commitment in the Maximum Undrawn Amount of all Letters of Credit is reallocated and/or cash collateralized; and</w:t>
      </w:r>
    </w:p>
    <w:p>
      <w:pPr>
        <w:spacing w:after="0" w:line="145" w:lineRule="exact"/>
        <w:rPr>
          <w:rFonts w:ascii="Times New Roman" w:cs="Times New Roman" w:eastAsia="Times New Roman" w:hAnsi="Times New Roman"/>
          <w:sz w:val="18"/>
          <w:szCs w:val="18"/>
          <w:color w:val="auto"/>
        </w:rPr>
      </w:pPr>
    </w:p>
    <w:p>
      <w:pPr>
        <w:jc w:val="both"/>
        <w:ind w:firstLine="2115"/>
        <w:spacing w:after="0" w:line="235" w:lineRule="auto"/>
        <w:tabs>
          <w:tab w:leader="none" w:pos="265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Lender holding a Revolving Commitment is a Defaulting Lender, Swing Loan Lender shall not be required to fund any Swing Loans and Issuer shall not be required to issue, amend or increase any Letter of Credit, unless such Issuer is satisfied that the related exposure and Defaulting Lender’s Participation Commitment in the Maximum Undrawn Amount of all Letters of Credit and all Swing Loans (after giving effect to any such issuance, amendment, increase or funding) will be fully allocated to Non-Defaulting Lenders holding Revolving Commitments and/or cash collateral for such Letters of Credit will be provided by Borrowers in accordance with clause (A) and (B) above, and participating interests in any newly made Swing Loan or any newly issued or increased Letter of Credit shall be allocated among Non-Defaulting Lenders in a manner consistent with Section 2.22(b)(iii)(A) above (and such Defaulting Lender shall not participate therein).</w:t>
      </w:r>
    </w:p>
    <w:p>
      <w:pPr>
        <w:spacing w:after="0" w:line="148" w:lineRule="exact"/>
        <w:rPr>
          <w:rFonts w:ascii="Times New Roman" w:cs="Times New Roman" w:eastAsia="Times New Roman" w:hAnsi="Times New Roman"/>
          <w:sz w:val="18"/>
          <w:szCs w:val="18"/>
          <w:color w:val="auto"/>
        </w:rPr>
      </w:pPr>
    </w:p>
    <w:p>
      <w:pPr>
        <w:jc w:val="both"/>
        <w:ind w:firstLine="1053"/>
        <w:spacing w:after="0" w:line="238" w:lineRule="auto"/>
        <w:tabs>
          <w:tab w:leader="none" w:pos="159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Defaulting Lender shall not be entitled to give instructions to Agent or to approve, disapprove, consent to or vote on any matters relating to this Agreement and the Other Documents, and all amendments, waivers and other modifications of this Agreement and the Other Documents may be made without regard to a Defaulting Lender and, for purposes of the definition of “Required Lenders”, a Defaulting Lender shall not be deemed to be a Lender, to have any outstanding Advances or a Revolving Commitment Percentage.</w:t>
      </w:r>
    </w:p>
    <w:p>
      <w:pPr>
        <w:spacing w:after="0" w:line="146" w:lineRule="exact"/>
        <w:rPr>
          <w:rFonts w:ascii="Times New Roman" w:cs="Times New Roman" w:eastAsia="Times New Roman" w:hAnsi="Times New Roman"/>
          <w:sz w:val="18"/>
          <w:szCs w:val="18"/>
          <w:color w:val="auto"/>
        </w:rPr>
      </w:pPr>
    </w:p>
    <w:p>
      <w:pPr>
        <w:jc w:val="both"/>
        <w:ind w:firstLine="1053"/>
        <w:spacing w:after="0" w:line="238" w:lineRule="auto"/>
        <w:tabs>
          <w:tab w:leader="none" w:pos="159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set forth in this Section 2.22, the rights and obligations of a Defaulting Lender (including the obligation to indemnify Agent) and the other parties hereto shall remain unchanged. Nothing in this Section 2.22 shall be deemed to release any Defaulting Lender from its obligations under this Agreement and the Other Documents, shall alter such obligations, shall operate as a waiver of any default by such Defaulting Lender hereunder, or shall prejudice any rights which any Borrower, Agent or any Lender may have against any Defaulting Lender as a result of any default by such Defaulting Lender hereunder.</w:t>
      </w:r>
    </w:p>
    <w:p>
      <w:pPr>
        <w:spacing w:after="0" w:line="146" w:lineRule="exact"/>
        <w:rPr>
          <w:rFonts w:ascii="Times New Roman" w:cs="Times New Roman" w:eastAsia="Times New Roman" w:hAnsi="Times New Roman"/>
          <w:sz w:val="18"/>
          <w:szCs w:val="18"/>
          <w:color w:val="auto"/>
        </w:rPr>
      </w:pPr>
    </w:p>
    <w:p>
      <w:pPr>
        <w:jc w:val="both"/>
        <w:ind w:firstLine="1053"/>
        <w:spacing w:after="0" w:line="238" w:lineRule="auto"/>
        <w:tabs>
          <w:tab w:leader="none" w:pos="159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Agent, Borrowers, Swing Loan Lender and Issuer agree in writing that a Defaulting Lender has adequately remedied all matters that caused such Lender to be a Defaulting Lender, then Agent will so notify the parties hereto, and, if such cured Defaulting Lender is a Lender holding a Revolving Commitment, then Participation Commitments of Lenders holding Revolving Commitments (including such cured Defaulting Lender) of the Swing Loans and Maximum Undrawn Amount of all outstanding Letters of Credit shall be reallocated to reflect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80" w:name="page281"/>
    <w:bookmarkEnd w:id="280"/>
    <w:p>
      <w:pPr>
        <w:jc w:val="both"/>
        <w:ind w:left="9"/>
        <w:spacing w:after="0" w:line="244" w:lineRule="auto"/>
        <w:rPr>
          <w:sz w:val="20"/>
          <w:szCs w:val="20"/>
          <w:color w:val="auto"/>
        </w:rPr>
      </w:pPr>
      <w:r>
        <w:rPr>
          <w:rFonts w:ascii="Times New Roman" w:cs="Times New Roman" w:eastAsia="Times New Roman" w:hAnsi="Times New Roman"/>
          <w:sz w:val="18"/>
          <w:szCs w:val="18"/>
          <w:color w:val="auto"/>
        </w:rPr>
        <w:t>the inclusion of such Lender’s Revolving Commitment, and on such date such Lender shall purchase at par such of the Revolving Advances of the other Lenders as Agent shall determine may be necessary in order for such Lender to hold such Revolving Advances in accordance with its Revolving Commitment Percentage.</w:t>
      </w:r>
    </w:p>
    <w:p>
      <w:pPr>
        <w:spacing w:after="0" w:line="142" w:lineRule="exact"/>
        <w:rPr>
          <w:sz w:val="20"/>
          <w:szCs w:val="20"/>
          <w:color w:val="auto"/>
        </w:rPr>
      </w:pPr>
    </w:p>
    <w:p>
      <w:pPr>
        <w:jc w:val="both"/>
        <w:ind w:left="9" w:firstLine="1053"/>
        <w:spacing w:after="0" w:line="238" w:lineRule="auto"/>
        <w:tabs>
          <w:tab w:leader="none" w:pos="160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Swing Loan Lender or Issuer has a good faith belief that any Lender holding a Revolving Commitment has defaulted in fulfilling its obligations under one or more other agreements in which such Lender commits to extend credit, Swing Loan Lender shall not be required to fund any Swing Loans and Issuer shall not be required to issue, amend or increase any Letter of Credit, unless Swing Loan Lender or Issuer, as the case may be, shall have entered into arrangements with Borrowers or such Lender, satisfactory to Swing Loan Lender or Issuer, as the case may be, to defease any risk to it in respect of such Lender hereunder.</w:t>
      </w:r>
    </w:p>
    <w:p>
      <w:pPr>
        <w:spacing w:after="0" w:line="146" w:lineRule="exact"/>
        <w:rPr>
          <w:sz w:val="20"/>
          <w:szCs w:val="20"/>
          <w:color w:val="auto"/>
        </w:rPr>
      </w:pPr>
    </w:p>
    <w:p>
      <w:pPr>
        <w:jc w:val="both"/>
        <w:ind w:left="9" w:firstLine="531"/>
        <w:spacing w:after="0" w:line="247" w:lineRule="auto"/>
        <w:rPr>
          <w:sz w:val="20"/>
          <w:szCs w:val="20"/>
          <w:color w:val="auto"/>
        </w:rPr>
      </w:pPr>
      <w:r>
        <w:rPr>
          <w:rFonts w:ascii="Times New Roman" w:cs="Times New Roman" w:eastAsia="Times New Roman" w:hAnsi="Times New Roman"/>
          <w:sz w:val="17"/>
          <w:szCs w:val="17"/>
          <w:color w:val="auto"/>
        </w:rPr>
        <w:t xml:space="preserve">2.23. </w:t>
      </w:r>
      <w:r>
        <w:rPr>
          <w:rFonts w:ascii="Times New Roman" w:cs="Times New Roman" w:eastAsia="Times New Roman" w:hAnsi="Times New Roman"/>
          <w:sz w:val="17"/>
          <w:szCs w:val="17"/>
          <w:u w:val="single" w:color="auto"/>
          <w:color w:val="auto"/>
        </w:rPr>
        <w:t>Payment of Obligations</w:t>
      </w:r>
      <w:r>
        <w:rPr>
          <w:rFonts w:ascii="Times New Roman" w:cs="Times New Roman" w:eastAsia="Times New Roman" w:hAnsi="Times New Roman"/>
          <w:sz w:val="17"/>
          <w:szCs w:val="17"/>
          <w:color w:val="auto"/>
        </w:rPr>
        <w:t>. Agent may charge to Borrowers’ Account as a Revolving Advance or, at the discretion of Swing Loan Lender, as a Swing Loan (i) all payments with respect to any of the Obligations required hereunder (including without limitation principal payments, payments of interest, payments of Letter of Credit Fees and all other fees provided for hereunder and payments under Sections 16.5 and 16.9) as and when each such payment shall become due and payable (whether as regularly scheduled, upon or after acceleration, upon maturity or otherwise), (ii) without limiting the generality of the foregoing clause (i), (a) all amounts expended by Agent or any Lender pursuant to Sections 4.2 or 4.3 hereof and (b) all expenses which Agent incurs in connection with the forwarding of Advance proceeds and the establishment and maintenance of any Blocked Accounts or Depository Accounts as provided for in Section 4.8(h), and</w:t>
      </w:r>
    </w:p>
    <w:p>
      <w:pPr>
        <w:spacing w:after="0" w:line="5" w:lineRule="exact"/>
        <w:rPr>
          <w:sz w:val="20"/>
          <w:szCs w:val="20"/>
          <w:color w:val="auto"/>
        </w:rPr>
      </w:pPr>
    </w:p>
    <w:p>
      <w:pPr>
        <w:jc w:val="both"/>
        <w:ind w:left="9" w:hanging="9"/>
        <w:spacing w:after="0" w:line="233" w:lineRule="auto"/>
        <w:tabs>
          <w:tab w:leader="none" w:pos="34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sums expended by Agent or any Lender due to any Borrower’s failure to perform or comply with its obligations under this Agreement or any Other Document including any Borrower’s obligations under Sections 3.3, 3.4, 4.4, 4.7, 6.4, 6.6, 6.7 and 6.8 hereof, and all amounts so charged shall be added to the Obligations and shall be secured by the Collateral. To the extent Revolving Advances are not actually funded by the other Lenders in respect of any such amounts so charged, all such amounts so charged shall be deemed to be Revolving Advances made by and owing to Agent and Agent shall be entitled to all rights (including accrual of interest) and remedies of a Lender under this Agreement and the Other Documents with respect to such Revolving Advances.</w:t>
      </w:r>
    </w:p>
    <w:p>
      <w:pPr>
        <w:spacing w:after="0" w:line="146"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u w:val="single" w:color="auto"/>
          <w:color w:val="auto"/>
        </w:rPr>
        <w:t>Increase in Maximum Revolving Advance Amount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left="9" w:firstLine="1053"/>
        <w:spacing w:after="0" w:line="259" w:lineRule="auto"/>
        <w:tabs>
          <w:tab w:leader="none" w:pos="1601"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may, at any time and from time to time, request that the Maximum Revolving Advance Amount be increased by (1) one or more of the current Lenders increasing their Revolving Commitment Amount (any current Lender which elects to increase its Revolving Commitment Amount shall be referred to as an “Increasing Lender”) or (2) one or more new lenders (each a “New Lender”) joining this Agreement and providing a Revolving Commitment Amount hereunder, subject to the following terms and conditions:</w:t>
      </w:r>
    </w:p>
    <w:p>
      <w:pPr>
        <w:spacing w:after="0" w:line="129" w:lineRule="exact"/>
        <w:rPr>
          <w:rFonts w:ascii="Times New Roman" w:cs="Times New Roman" w:eastAsia="Times New Roman" w:hAnsi="Times New Roman"/>
          <w:sz w:val="17"/>
          <w:szCs w:val="17"/>
          <w:color w:val="auto"/>
        </w:rPr>
      </w:pPr>
    </w:p>
    <w:p>
      <w:pPr>
        <w:ind w:left="9" w:firstLine="1650"/>
        <w:spacing w:after="0" w:line="259" w:lineRule="auto"/>
        <w:tabs>
          <w:tab w:leader="none" w:pos="2132"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Lender shall be obligated to increase its Revolving Commitment Amount and any increase in the Revolving Commitment Amount by any current Lender shall be in the sole discretion of such current Lender;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81" w:name="page282"/>
    <w:bookmarkEnd w:id="281"/>
    <w:p>
      <w:pPr>
        <w:ind w:firstLine="1650"/>
        <w:spacing w:after="0" w:line="258" w:lineRule="auto"/>
        <w:tabs>
          <w:tab w:leader="none" w:pos="21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may not request the addition of a New Lender unless (and then only to the extent that) there is insufficient participation on behalf of the existing Lenders in the increased Revolving Commitments being requested by Borrowers;</w:t>
      </w:r>
    </w:p>
    <w:p>
      <w:pPr>
        <w:spacing w:after="0" w:line="12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exist no Event of Default or Default on the effective date of such increase after giving effect to</w:t>
      </w:r>
    </w:p>
    <w:p>
      <w:pPr>
        <w:spacing w:after="0" w:line="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increase;</w:t>
      </w:r>
    </w:p>
    <w:p>
      <w:pPr>
        <w:spacing w:after="0" w:line="14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such increase, the Maximum Revolving Advance Amount shall not exceed $95,000,000;</w:t>
      </w:r>
    </w:p>
    <w:p>
      <w:pPr>
        <w:spacing w:after="0" w:line="180" w:lineRule="exact"/>
        <w:rPr>
          <w:rFonts w:ascii="Times New Roman" w:cs="Times New Roman" w:eastAsia="Times New Roman" w:hAnsi="Times New Roman"/>
          <w:sz w:val="17"/>
          <w:szCs w:val="17"/>
          <w:color w:val="auto"/>
        </w:rPr>
      </w:pPr>
    </w:p>
    <w:p>
      <w:pPr>
        <w:jc w:val="both"/>
        <w:ind w:firstLine="1650"/>
        <w:spacing w:after="0" w:line="245" w:lineRule="auto"/>
        <w:tabs>
          <w:tab w:leader="none" w:pos="21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may not request an increase in the Maximum Revolving Advance Amount under this Section 2.24 more than one (1) times during any fiscal year, and no single such increase in the Maximum Revolving Advance Amount shall be for an amount less than $5,000,000;</w:t>
      </w:r>
    </w:p>
    <w:p>
      <w:pPr>
        <w:spacing w:after="0" w:line="140" w:lineRule="exact"/>
        <w:rPr>
          <w:rFonts w:ascii="Times New Roman" w:cs="Times New Roman" w:eastAsia="Times New Roman" w:hAnsi="Times New Roman"/>
          <w:sz w:val="18"/>
          <w:szCs w:val="18"/>
          <w:color w:val="auto"/>
        </w:rPr>
      </w:pPr>
    </w:p>
    <w:p>
      <w:pPr>
        <w:jc w:val="both"/>
        <w:ind w:firstLine="1650"/>
        <w:spacing w:after="0" w:line="234" w:lineRule="auto"/>
        <w:tabs>
          <w:tab w:leader="none" w:pos="212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deliver to Agent on or before the effective date of such increase the following documents in form and substance satisfactory to Agent: (1) certifications of their corporate secretaries with attached resolutions certifying that the increase in the Revolving Commitment Amounts has been approved by such Borrowers, (2) certificate dated as of the effective date of such increase certifying that no Default or Event of Default shall have occurred and be continuing and certifying that the representations and warranties made by each Borrower herein and in the Other Documents are true and complete in all respects with the same force and effect as if made on and as of such date (except to the extent any such representation or warranty expressly relates only to any earlier and/or specified date), (3) such other agreements, instruments and information (including supplements or modifications to this Agreement and/or the Other Documents executed by Borrowers as Agent reasonably deems necessary in order to document the increase to the Maximum Revolving Advance Amount and to protect, preserve and continue the perfection and priority of the liens, security interests, rights and remedies of Agent and Lenders hereunder and under the Other Documents in light of such increase, and (4) an opinion of counsel in form and substance satisfactory to Agent which shall cover such matters related to such increase as Agent may reasonably require and each Borrower hereby authorizes and directs such counsel to deliver such opinions to Agent and Lenders;</w:t>
      </w:r>
    </w:p>
    <w:p>
      <w:pPr>
        <w:spacing w:after="0" w:line="144" w:lineRule="exact"/>
        <w:rPr>
          <w:rFonts w:ascii="Times New Roman" w:cs="Times New Roman" w:eastAsia="Times New Roman" w:hAnsi="Times New Roman"/>
          <w:sz w:val="18"/>
          <w:szCs w:val="18"/>
          <w:color w:val="auto"/>
        </w:rPr>
      </w:pPr>
    </w:p>
    <w:p>
      <w:pPr>
        <w:jc w:val="both"/>
        <w:ind w:firstLine="1650"/>
        <w:spacing w:after="0"/>
        <w:tabs>
          <w:tab w:leader="none" w:pos="21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execute and deliver (1) to each Increasing Lender a replacement Note reflecting the new amount of such Increasing Lender’s Revolving Commitment Amount after giving effect to the increase (and the prior Note issued to such Increasing Lender shall be deemed to be cancelled) and (2) to each New Lender a Note reflecting the amount of such New Lender’s Revolving Commitment Amount;</w:t>
      </w:r>
    </w:p>
    <w:p>
      <w:pPr>
        <w:spacing w:after="0" w:line="145"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Lender shall be subject to the approval of Agent and Issuer;</w:t>
      </w:r>
    </w:p>
    <w:p>
      <w:pPr>
        <w:spacing w:after="0" w:line="169" w:lineRule="exact"/>
        <w:rPr>
          <w:rFonts w:ascii="Times New Roman" w:cs="Times New Roman" w:eastAsia="Times New Roman" w:hAnsi="Times New Roman"/>
          <w:sz w:val="18"/>
          <w:szCs w:val="18"/>
          <w:color w:val="auto"/>
        </w:rPr>
      </w:pPr>
    </w:p>
    <w:p>
      <w:pPr>
        <w:jc w:val="both"/>
        <w:ind w:firstLine="1650"/>
        <w:spacing w:after="0" w:line="245" w:lineRule="auto"/>
        <w:tabs>
          <w:tab w:leader="none" w:pos="212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Increasing Lender shall confirm its agreement to increase its Revolving Commitment Amount pursuant to an acknowledgement in a form acceptable to Agent, signed by it and each Borrower and delivered to Agent at least five (5) days before the effective date of such increase;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82" w:name="page283"/>
    <w:bookmarkEnd w:id="282"/>
    <w:p>
      <w:pPr>
        <w:jc w:val="both"/>
        <w:ind w:left="9" w:firstLine="1650"/>
        <w:spacing w:after="0" w:line="244" w:lineRule="auto"/>
        <w:tabs>
          <w:tab w:leader="none" w:pos="2132"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shall execute a lender joinder in substantially the form of Exhibit 2.24 pursuant to which such New Lender shall join and become a party to this Agreement and the Other Documents with a Revolving Commitment Amount as set forth in such lender joinder.</w:t>
      </w:r>
    </w:p>
    <w:p>
      <w:pPr>
        <w:spacing w:after="0" w:line="142" w:lineRule="exact"/>
        <w:rPr>
          <w:rFonts w:ascii="Times New Roman" w:cs="Times New Roman" w:eastAsia="Times New Roman" w:hAnsi="Times New Roman"/>
          <w:sz w:val="18"/>
          <w:szCs w:val="18"/>
          <w:color w:val="auto"/>
        </w:rPr>
      </w:pPr>
    </w:p>
    <w:p>
      <w:pPr>
        <w:jc w:val="both"/>
        <w:ind w:left="9" w:firstLine="1053"/>
        <w:spacing w:after="0" w:line="235" w:lineRule="auto"/>
        <w:tabs>
          <w:tab w:leader="none" w:pos="160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of such increase, (i) Borrowers shall repay all Revolving Advances then outstanding, subject to Borrowers’ obligations under Sections 3.7, 3.9, or 3.10; provided that subject to the other conditions of this Agreement, the Borrowing Agent may request new Revolving Advances on such date and (ii) the Revolving Commitment Percentages of Lenders holding a Revolving Commitment (including each Increasing Lender and/or New Lender) shall be recalculated such that each such Lender’s Revolving Commitment Percentage is equal to (x) the Revolving Commitment Amount of such Lender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(y) the aggregate of the Revolving Commitment Amounts of all Lenders. Each Lender shall participate in any new Revolving Advances made on or after such date in accordance with its Revolving Commitment Percentage after giving effect to the increase in the Maximum Revolving Advance Amount and recalculation of the Revolving Commitment Percentages contemplated by this Section 2.24.</w:t>
      </w:r>
    </w:p>
    <w:p>
      <w:pPr>
        <w:spacing w:after="0" w:line="148" w:lineRule="exact"/>
        <w:rPr>
          <w:rFonts w:ascii="Times New Roman" w:cs="Times New Roman" w:eastAsia="Times New Roman" w:hAnsi="Times New Roman"/>
          <w:sz w:val="18"/>
          <w:szCs w:val="18"/>
          <w:color w:val="auto"/>
        </w:rPr>
      </w:pPr>
    </w:p>
    <w:p>
      <w:pPr>
        <w:jc w:val="both"/>
        <w:ind w:left="9" w:firstLine="1053"/>
        <w:spacing w:after="0" w:line="234" w:lineRule="auto"/>
        <w:tabs>
          <w:tab w:leader="none" w:pos="160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such increase, each Increasing Lender shall be deemed to have purchased an additional/increased participation in, and each New Lender will be deemed to have purchased a new participation in, each then outstanding Letter of Credit and each drawing thereunder and each then outstanding Swing Loan in an amount equal to such Lender’s Revolving Commitment Percentage (as calculated pursuant to Section 2.24(b) above) of the Maximum Undrawn Amount of each such Letter of Credit (as in effect from time to time) and the amount of each drawing and of each such Swing Loan, respectively. As necessary to effectuate the foregoing, each existing Lender holding a Revolving Commitment Percentage that is not an Increasing Lender shall be deemed to have sold to each applicable Increasing Lender and/or New Lender, as necessary, a portion of such existing Lender’s participations in such outstanding Letters of Credit and drawings and such outstanding Swing Loans such that, after giving effect to all such purchases and sales, each Lender holding a Revolving Commitment (including each Increasing Lender and/or New Lender) shall hold a participation in all Letters of Credit (and drawings thereunder) and all Swing Loans in accordance with their respective Revolving Commitment Percentages (as calculated pursuant to Section 2.24(b) above).</w:t>
      </w:r>
    </w:p>
    <w:p>
      <w:pPr>
        <w:spacing w:after="0" w:line="147" w:lineRule="exact"/>
        <w:rPr>
          <w:rFonts w:ascii="Times New Roman" w:cs="Times New Roman" w:eastAsia="Times New Roman" w:hAnsi="Times New Roman"/>
          <w:sz w:val="18"/>
          <w:szCs w:val="18"/>
          <w:color w:val="auto"/>
        </w:rPr>
      </w:pPr>
    </w:p>
    <w:p>
      <w:pPr>
        <w:jc w:val="both"/>
        <w:ind w:left="9" w:firstLine="1053"/>
        <w:spacing w:after="0" w:line="237" w:lineRule="auto"/>
        <w:tabs>
          <w:tab w:leader="none" w:pos="160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such increase, Borrowers shall pay all reasonable cost and expenses incurred by Agent and by each Increasing Lender and New Lender in connection with the negotiations regarding, and the preparation, negotiation, execution and delivery of all agreements and instruments executed and delivered by any of Agent, Borrowers and/or Increasing Lenders and New Lenders in connection with, such increase (including all fees for any supplemental or additional public filings of any Other Documents necessary to protect, preserve and continue the perfection and priority of the liens, security interests, rights and remedies of Agent and Lenders hereunder and under the Other Documents in light of such increase).</w:t>
      </w:r>
    </w:p>
    <w:p>
      <w:pPr>
        <w:spacing w:after="0" w:line="145" w:lineRule="exact"/>
        <w:rPr>
          <w:rFonts w:ascii="Times New Roman" w:cs="Times New Roman" w:eastAsia="Times New Roman" w:hAnsi="Times New Roman"/>
          <w:sz w:val="18"/>
          <w:szCs w:val="18"/>
          <w:color w:val="auto"/>
        </w:rPr>
      </w:pPr>
    </w:p>
    <w:p>
      <w:pPr>
        <w:ind w:left="529" w:hanging="529"/>
        <w:spacing w:after="0"/>
        <w:tabs>
          <w:tab w:leader="none" w:pos="52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FEES.</w:t>
      </w:r>
    </w:p>
    <w:p>
      <w:pPr>
        <w:spacing w:after="0" w:line="169" w:lineRule="exact"/>
        <w:rPr>
          <w:rFonts w:ascii="Times New Roman" w:cs="Times New Roman" w:eastAsia="Times New Roman" w:hAnsi="Times New Roman"/>
          <w:sz w:val="18"/>
          <w:szCs w:val="18"/>
          <w:color w:val="auto"/>
        </w:rPr>
      </w:pPr>
    </w:p>
    <w:p>
      <w:pPr>
        <w:ind w:left="5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Interest on Advances shall be payable in arrears on the first day of each month with respect to Domestic Rate Loans</w:t>
      </w:r>
    </w:p>
    <w:p>
      <w:pPr>
        <w:spacing w:after="0" w:line="12" w:lineRule="exact"/>
        <w:rPr>
          <w:sz w:val="20"/>
          <w:szCs w:val="20"/>
          <w:color w:val="auto"/>
        </w:rPr>
      </w:pPr>
    </w:p>
    <w:p>
      <w:pPr>
        <w:ind w:left="9"/>
        <w:spacing w:after="0" w:line="238" w:lineRule="auto"/>
        <w:rPr>
          <w:sz w:val="20"/>
          <w:szCs w:val="20"/>
          <w:color w:val="auto"/>
        </w:rPr>
      </w:pPr>
      <w:r>
        <w:rPr>
          <w:rFonts w:ascii="Times New Roman" w:cs="Times New Roman" w:eastAsia="Times New Roman" w:hAnsi="Times New Roman"/>
          <w:sz w:val="18"/>
          <w:szCs w:val="18"/>
          <w:color w:val="auto"/>
        </w:rPr>
        <w:t>and, with respect to Term SOFR Rate Loans, at the end of each Interest Period, provided further that all accrued and unpaid interest shall be due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83" w:name="page284"/>
    <w:bookmarkEnd w:id="283"/>
    <w:p>
      <w:pPr>
        <w:jc w:val="both"/>
        <w:spacing w:after="0" w:line="233" w:lineRule="auto"/>
        <w:rPr>
          <w:sz w:val="20"/>
          <w:szCs w:val="20"/>
          <w:color w:val="auto"/>
        </w:rPr>
      </w:pPr>
      <w:r>
        <w:rPr>
          <w:rFonts w:ascii="Times New Roman" w:cs="Times New Roman" w:eastAsia="Times New Roman" w:hAnsi="Times New Roman"/>
          <w:sz w:val="18"/>
          <w:szCs w:val="18"/>
          <w:color w:val="auto"/>
        </w:rPr>
        <w:t>payable at the end of the Term. Interest charges shall be computed on the actual principal amount of Advances outstanding during the month at a rate per annum equal to (i) with respect to Revolving Advances, the applicable Revolving Interest Rate, and (ii) with respect to Swing Loans, the Revolving Interest Rate for Domestic Rate Loans (as applicable, the “Contract Rate”). Except as expressly provided otherwise in this Agreement, any Obligations other than the Advances that are not paid when due shall accrue interest at the Revolving Interest Rate for Domestic Rate Loans, subject to the provision of the final sentence of this Section 3.1 regarding the Default Rate. Whenever, subsequent to the date of this Agreement, the Alternate Base Rate is increased or decreased, the applicable Contract Rate shall be similarly changed without notice or demand of any kind by an amount equal to the amount of such change in the Alternate Base Rate during the time such change or changes remain in effect. The Term SOFR Rate shall be adjusted with respect to Term SOFR Rate Loans without notice or demand of any kind on the effective date of any change in the SOFR Reserve Percentage as of such effective date. Upon and after the occurrence of an Event of Default, and during the continuation thereof, at the option of Agent or at the direction of Required Lenders (or, in the case of any Event of Default under Section 10.7, immediately and automatically upon the occurrence of any such Event of Default without the requirement of any affirmative action by any party), (i) the Obligations other than Term SOFR Rate Loans shall bear interest at the applicable Contract Rate for Domestic Rate Loans plus two percent (2%) per annum and (ii) Term SOFR Rate Loans shall bear interest at the Revolving Interest Rate for Term SOFR Rate Loans plus two percent (2%) per annum (as applicable, the “Default Rate”).</w:t>
      </w:r>
    </w:p>
    <w:p>
      <w:pPr>
        <w:spacing w:after="0" w:line="148"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Letter of Credit Fees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3" w:lineRule="auto"/>
        <w:tabs>
          <w:tab w:leader="none" w:pos="159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pay (x) to Agent, for the ratable benefit of Lenders holding Revolving Commitments, fees for each Letter of Credit for the period from and excluding the date of issuance of same to and including the date of expiration or termination, equal to the average daily face amount of each outstanding Letter of Credit multiplied by the Applicable Margin for Revolving Advances consisting of Term SOFR Rate Loans, such fees to be calculated on the basis of a 360-day year for the actual number of days elapsed and to be payable quarterly in arrears on the first day of each calendar quarter and on the last day of the Term, and (y) to Issuer, a fronting fee of one quarter of one percent (0.25%) per annum times the average daily face amount of each outstanding Letter of Credit for the period from and excluding the date of issuance of same to and including the date of expiration or termination, to be payable quarterly in arrears on the first day of each calendar quarter and on the last day of the Term (all of the foregoing fees, the “Letter of Credit Fees”). In addition, Borrowers shall pay to Agent, for the benefit of Issuer, any and all administrative, issuance, amendment, payment and negotiation charges with respect to Letters of Credit and all fees and expenses as agreed upon by Issuer and the Borrowing Agent in connection with any Letter of Credit, including in connection with the opening, amendment or renewal of any such Letter of Credit and any acceptances created thereunder, all such charges, fees and expenses, if any, to be payable on demand. All such charges shall be deemed earned in full on the date when the same are due and payable hereunder and shall not be subject to rebate or pro-ration upon the termination of this Agreement for any reason. Any such charge in effect at the time of a particular transaction shall be the charge for that transaction, notwithstanding any subsequent change in Issuer’s prevailing charges for that type of transaction. Upon and after the occurrence of an Event of Default, and during the continuation thereof, at the option of Agent or at the direction of Required Lenders (or, in the case of any Event of Default under Section 10.7, immediately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84" w:name="page285"/>
    <w:bookmarkEnd w:id="284"/>
    <w:p>
      <w:pPr>
        <w:ind w:right="20"/>
        <w:spacing w:after="0" w:line="258" w:lineRule="auto"/>
        <w:rPr>
          <w:sz w:val="20"/>
          <w:szCs w:val="20"/>
          <w:color w:val="auto"/>
        </w:rPr>
      </w:pPr>
      <w:r>
        <w:rPr>
          <w:rFonts w:ascii="Times New Roman" w:cs="Times New Roman" w:eastAsia="Times New Roman" w:hAnsi="Times New Roman"/>
          <w:sz w:val="18"/>
          <w:szCs w:val="18"/>
          <w:color w:val="auto"/>
        </w:rPr>
        <w:t>automatically upon the occurrence of any such Event of Default without the requirement of any affirmative action by any party), the Letter of Credit Fees described in clause (x) of this Section 3.2(a) shall be increased by an additional two percent (2.0%) per annum.</w:t>
      </w:r>
    </w:p>
    <w:p>
      <w:pPr>
        <w:spacing w:after="0" w:line="130" w:lineRule="exact"/>
        <w:rPr>
          <w:sz w:val="20"/>
          <w:szCs w:val="20"/>
          <w:color w:val="auto"/>
        </w:rPr>
      </w:pPr>
    </w:p>
    <w:p>
      <w:pPr>
        <w:jc w:val="both"/>
        <w:ind w:firstLine="1053"/>
        <w:spacing w:after="0" w:line="232" w:lineRule="auto"/>
        <w:tabs>
          <w:tab w:leader="none" w:pos="159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occurrence of an Event of Default, at the option of Agent or at the direction of Required Lenders (or, in the case of any Event of Default under Section 10.7, immediately and automatically upon the occurrence of such Event of Default, without the requirement of any affirmative action by any party), or upon the expiration of the Term or any other termination of this Agreement (and also, if applicable, in connection with any mandatory prepayment under Section 2.20), Borrowers will cause cash to be deposited and maintained in an account with Agent, as cash collateral, in an amount equal to one hundred and five percent (105%) of the Maximum Undrawn Amount of all outstanding Letters of Credit, and each Borrower hereby irrevocably authorizes Agent, in its discretion, on such Borrower’s behalf and in such Borrower’s name, to open such an account and to make and maintain deposits therein, or in an account opened by such Borrower, in the amounts required to be made by such Borrower, out of the proceeds of Receivables or other Collateral or out of any other funds of such Borrower coming into any Lender’s possession at any time. Agent may, in its discretion, invest such cash collateral (less applicable reserves) in such short-term money-market items as to which Agent and such Borrower mutually agree (or, in the absence of such agreement, as Agent may reasonably select) and the net return on such investments shall be credited to such account and constitute additional cash collateral, or Agent may (notwithstanding the foregoing) establish the account provided for under this Section 3.2(b) as a non-interest bearing account and in such case Agent shall have no obligation (and Borrowers hereby waive any claim) under Article 9 of the Uniform Commercial Code or under any other Applicable Law to pay interest on such cash collateral being held by Agent. No Borrower may withdraw amounts credited to any such account except upon the occurrence of all of the following: (x) payment and performance in full of all Obligations; (y) expiration of all Letters of Credit; and (z) termination of this Agreement. Borrowers hereby assign, pledge and grant to Agent, for its benefit and the ratable benefit of Issuer, Lenders and each other Secured Party, a continuing security interest in and to and Lien on any such cash collateral and any right, title and interest of Borrowers in any deposit account, securities account or investment account into which such cash collateral may be deposited from time to time to secure the Obligations, specifically including all Obligations with respect to any Letters of Credit. Borrowers agree that upon the coming due of any Reimbursement Obligations (or any other Obligations, including Obligations for Letter of Credit Fees) with respect to the Letters of Credit, Agent may use such cash collateral to pay and satisfy such Obligations.</w:t>
      </w:r>
    </w:p>
    <w:p>
      <w:pPr>
        <w:spacing w:after="0" w:line="155"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Closing Fee and Facility Fee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1580" w:hanging="527"/>
        <w:spacing w:after="0"/>
        <w:tabs>
          <w:tab w:leader="none" w:pos="15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fees owing hereunder on the Closing Date have been paid and satisfied in full.</w:t>
      </w:r>
    </w:p>
    <w:p>
      <w:pPr>
        <w:spacing w:after="0" w:line="169" w:lineRule="exact"/>
        <w:rPr>
          <w:rFonts w:ascii="Times New Roman" w:cs="Times New Roman" w:eastAsia="Times New Roman" w:hAnsi="Times New Roman"/>
          <w:sz w:val="18"/>
          <w:szCs w:val="18"/>
          <w:color w:val="auto"/>
        </w:rPr>
      </w:pPr>
    </w:p>
    <w:p>
      <w:pPr>
        <w:jc w:val="both"/>
        <w:ind w:firstLine="1053"/>
        <w:spacing w:after="0" w:line="238" w:lineRule="auto"/>
        <w:tabs>
          <w:tab w:leader="none" w:pos="159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calendar quarter during the Term, the average daily unpaid balance of the sum of Revolving Advances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Swing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Maximum Undrawn Amount of all outstanding Letters of Credit for each day of such calendar quarter does not equal the Maximum Revolving Advance Amount, then Borrowers shall pay to Agent, for the ratable benefit of Lenders holding the Revolving Commitments based on their Revolving Commitment Percentages, a fee at a rate equal to one quarter of one percent (0.25%) per annum on the amount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85" w:name="page286"/>
    <w:bookmarkEnd w:id="285"/>
    <w:p>
      <w:pPr>
        <w:spacing w:after="0" w:line="258" w:lineRule="auto"/>
        <w:rPr>
          <w:sz w:val="20"/>
          <w:szCs w:val="20"/>
          <w:color w:val="auto"/>
        </w:rPr>
      </w:pPr>
      <w:r>
        <w:rPr>
          <w:rFonts w:ascii="Times New Roman" w:cs="Times New Roman" w:eastAsia="Times New Roman" w:hAnsi="Times New Roman"/>
          <w:sz w:val="18"/>
          <w:szCs w:val="18"/>
          <w:color w:val="auto"/>
        </w:rPr>
        <w:t>by which the Maximum Revolving Advance Amount exceeds such average daily unpaid balance (the “Facility Fee”). Such Facility Fee shall be payable to Agent in arrears on the first day of each calendar quarter with respect to the previous calendar quarter.</w:t>
      </w:r>
    </w:p>
    <w:p>
      <w:pPr>
        <w:spacing w:after="0" w:line="12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Collateral Monitoring Fee and Collateral Evaluation Fee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tabs>
          <w:tab w:leader="none" w:pos="159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pay Agent a collateral monitoring fee equal to $1,500 per month commencing on the first day of the month following the Closing Date and on the first day of each month thereafter during the Term. The collateral monitoring fee shall be deemed earned in full on the date when same is due and payable hereunder and shall not be subject to rebate or proration upon termination of this Agreement for any reason.</w:t>
      </w:r>
    </w:p>
    <w:p>
      <w:pPr>
        <w:spacing w:after="0" w:line="145" w:lineRule="exact"/>
        <w:rPr>
          <w:rFonts w:ascii="Times New Roman" w:cs="Times New Roman" w:eastAsia="Times New Roman" w:hAnsi="Times New Roman"/>
          <w:sz w:val="18"/>
          <w:szCs w:val="18"/>
          <w:color w:val="auto"/>
        </w:rPr>
      </w:pPr>
    </w:p>
    <w:p>
      <w:pPr>
        <w:jc w:val="both"/>
        <w:ind w:firstLine="1053"/>
        <w:spacing w:after="0" w:line="233" w:lineRule="auto"/>
        <w:tabs>
          <w:tab w:leader="none" w:pos="159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pay to Agent promptly at the conclusion of any collateral evaluation performed by or for the benefit of Agent - namely any field examination, collateral analysis or other business analysis permitted under Section 4.6, the need for which is to be determined by Agent and which evaluation is undertaken by Agent or for Agent’s benefit - a collateral evaluation fee in an amount equal to $1,000 (or such other amount customarily charged by Agent to its customers) per day for each person employed to perform such evaluation, plus a per examination manager review fee (whether such examination is performed by Agent’s employees or by a third party retained by agent) in the amount of $1,300 (or such other amount customarily charged by Agent to its customers), plus all reasonable costs and disbursements incurred by Agent in the performance of such examination or analysis, and further provided that if third parties are retained to perform such collateral evaluations, either at the request of another Lender or for extenuating reasons determined by Agent in its Permitted Discretion, then such fees charged by such third parties plus all costs and disbursements incurred by such third party, shall be the responsibility of Borrower and shall not be subject to the foregoing limits, provided that all such fees, costs and disbursements shall be reasonable and further provided that such third party collateral evaluations shall not be duplicative of evaluations otherwise performed by Agent hereunder. So long as no Event of Default has occurred and is continuing, the Borrower shall only be required to bear the cost of and reimburse Agent and the Lenders for the costs and expenses of four (4) such collective visits and examinations per fiscal year by Agent and each Lender that wishes to accompany Agent on such visit and examination.</w:t>
      </w:r>
    </w:p>
    <w:p>
      <w:pPr>
        <w:spacing w:after="0" w:line="151"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Interest and fees hereunder shall be computed on the basis of a year of 360 days and for the actual number of days elapsed. If any payment to be made hereunder becomes due and payable on a day other than a Business Day, the due date thereof shall be extended to the next succeeding Business Day and interest thereon shall be payable at the applicable Contract Rate during such extension.</w:t>
      </w:r>
    </w:p>
    <w:p>
      <w:pPr>
        <w:spacing w:after="0" w:line="145"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Maximum Charges</w:t>
      </w:r>
      <w:r>
        <w:rPr>
          <w:rFonts w:ascii="Times New Roman" w:cs="Times New Roman" w:eastAsia="Times New Roman" w:hAnsi="Times New Roman"/>
          <w:sz w:val="18"/>
          <w:szCs w:val="18"/>
          <w:color w:val="auto"/>
        </w:rPr>
        <w:t>. In no event whatsoever shall interest and other charges charged hereunder exceed the highest rate permissible under Applicable Law. In the event interest and other charges as computed hereunder would otherwise exceed the highest rate permitted under Applicable Law: (i) the interest rates hereunder will be reduced to the maximum rate permitted under Applicable Law; (ii) such excess amount shall be first applied to any unpaid principal balance owed by Borrowers; and (iii) if the then remaining excess amount is greater than the previously unpaid principal balance, Lenders shall promptly refund such excess amount to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t>Borrowers and the provisions hereof shall be deemed amended to provide for such permissible rate.</w:t>
      </w:r>
    </w:p>
    <w:p>
      <w:pPr>
        <w:spacing w:after="0" w:line="168"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In the event that any Applicable Law or any Change in Law or compliance by any Lender (for purposes of this Section 3.7, the term “Lender” shall include Agent, Swing Loan Lender, any Issuer or Lender and any corporation or bank controlling Agent, Swing Loan Lender, any Lender or Issuer and the office or branch where Agent, Swing Loan Lender, any Lender or Issuer (as so defined) makes or maintains any Term SOFR Rate Loans) with any request or directive (whether or not having the force of law) from any central bank or other financial, monetary or other authority, shall:</w:t>
      </w:r>
    </w:p>
    <w:p>
      <w:pPr>
        <w:spacing w:after="0" w:line="146" w:lineRule="exact"/>
        <w:rPr>
          <w:sz w:val="20"/>
          <w:szCs w:val="20"/>
          <w:color w:val="auto"/>
        </w:rPr>
      </w:pPr>
    </w:p>
    <w:p>
      <w:pPr>
        <w:jc w:val="both"/>
        <w:ind w:firstLine="1053"/>
        <w:spacing w:after="0" w:line="238" w:lineRule="auto"/>
        <w:tabs>
          <w:tab w:leader="none" w:pos="159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Agent, Swing Loan Lender, any Lender or Issuer to any tax of any kind whatsoever with respect to this Agreement, any Letter of Credit, any participation in a Letter of Credit or any Term SOFR Rate Loan, or change the basis of taxation of payments to Agent, Swing Loan Lender, such Lender or Issuer in respect thereof (except for Indemnified Taxes or Other Taxes covered by Section 3.10 and the imposition of, or any change in the rate of, any Excluded Tax payable by Agent, Swing Loan Lender, such Lender or the Issuer);</w:t>
      </w:r>
    </w:p>
    <w:p>
      <w:pPr>
        <w:spacing w:after="0" w:line="146"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assessment, special deposit, compulsory loan, insurance charge or similar requirement against assets held by, or deposits in or for the account of, advances or loans by, or other credit extended by, any office of Agent, Swing Loan Lender, Issuer or any Lender, including pursuant to Regulation D of the Board of Governors of the Federal Reserve System; or</w:t>
      </w:r>
    </w:p>
    <w:p>
      <w:pPr>
        <w:spacing w:after="0" w:line="145"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Agent, Swing Loan Lender, any Lender or Issuer or any other condition, loss or expense (other than Taxes) affecting this Agreement or any Other Document or any Advance made by any Lender, or any Letter of Credit or participation therein;</w:t>
      </w:r>
    </w:p>
    <w:p>
      <w:pPr>
        <w:spacing w:after="0" w:line="140"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Agent, Swing Loan Lender, any Lender or Issuer of making, converting to, continuing, renewing or maintaining its Advances hereunder by an amount that Agent, Swing Loan Lender, such Lender or Issuer deems to be material or to reduce the amount of any payment (whether of principal, interest or otherwise) in respect of any of the Advances by an amount that Agent, Swing Loan Lender or such Lender or Issuer deems to be material, then, in any case Borrowers shall promptly pay Agent, Swing Loan Lender, such Lender or Issuer, upon its demand, such additional amount as will compensate Agent, Swing Loan Lender or such Lender or Issuer for such additional cost or such reduction, as the case may be, provided that the foregoing shall not apply to increased costs which are reflected in the Term SOFR Rate, as the case may be. Agent, Swing Loan Lender, such Lender or Issuer shall certify the amount of such additional cost or reduced amount to Borrowing Agent, and such certification shall be conclusive absent manifest error.</w:t>
      </w:r>
    </w:p>
    <w:p>
      <w:pPr>
        <w:spacing w:after="0" w:line="145"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Basis For Determining Interest Rate Inadequate or Unfair</w:t>
      </w:r>
      <w:r>
        <w:rPr>
          <w:rFonts w:ascii="Times New Roman" w:cs="Times New Roman" w:eastAsia="Times New Roman" w:hAnsi="Times New Roman"/>
          <w:sz w:val="17"/>
          <w:szCs w:val="17"/>
          <w:color w:val="auto"/>
        </w:rPr>
        <w:t>. In the event that Agent or any Lender shall have determined that:</w:t>
      </w:r>
    </w:p>
    <w:p>
      <w:pPr>
        <w:spacing w:after="0" w:line="169" w:lineRule="exact"/>
        <w:rPr>
          <w:sz w:val="20"/>
          <w:szCs w:val="20"/>
          <w:color w:val="auto"/>
        </w:rPr>
      </w:pPr>
    </w:p>
    <w:p>
      <w:pPr>
        <w:ind w:left="1580" w:hanging="527"/>
        <w:spacing w:after="0"/>
        <w:tabs>
          <w:tab w:leader="none" w:pos="158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means do not exist for ascertaining the Term SOFR Rate applicable pursuant to Section 2.2 hereof for any</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Interest Period;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87" w:name="page288"/>
    <w:bookmarkEnd w:id="287"/>
    <w:p>
      <w:pPr>
        <w:jc w:val="both"/>
        <w:ind w:firstLine="1053"/>
        <w:spacing w:after="0" w:line="244" w:lineRule="auto"/>
        <w:tabs>
          <w:tab w:leader="none" w:pos="159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deposits in the relevant amount and for the relevant maturity are not available, with respect to an outstanding Term SOFR Rate Loan, a proposed Term SOFR Rate Loan, or a proposed conversion of a Domestic Rate Loan into a Term SOFR Rate Loan; or</w:t>
      </w:r>
    </w:p>
    <w:p>
      <w:pPr>
        <w:spacing w:after="0" w:line="142"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maintenance or funding of any Term SOFR Rate Loan has been made impracticable or unlawful by compliance by Agent or such Lender in good faith with any Applicable Law or any interpretation or application thereof by any Governmental Body or with any request or directive of any such Governmental Body (whether or not having the force of law); or</w:t>
      </w:r>
    </w:p>
    <w:p>
      <w:pPr>
        <w:spacing w:after="0" w:line="140" w:lineRule="exact"/>
        <w:rPr>
          <w:rFonts w:ascii="Times New Roman" w:cs="Times New Roman" w:eastAsia="Times New Roman" w:hAnsi="Times New Roman"/>
          <w:sz w:val="18"/>
          <w:szCs w:val="18"/>
          <w:color w:val="auto"/>
        </w:rPr>
      </w:pPr>
    </w:p>
    <w:p>
      <w:pPr>
        <w:ind w:right="20" w:firstLine="1053"/>
        <w:spacing w:after="0" w:line="259" w:lineRule="auto"/>
        <w:tabs>
          <w:tab w:leader="none" w:pos="159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Rate will not adequately and fairly reflect the cost to such Lender of the establishment or maintenance of any Term SOFR Rate Loan, and Lenders have provided notice of such determination to Agent.</w:t>
      </w:r>
    </w:p>
    <w:p>
      <w:pPr>
        <w:spacing w:after="0" w:line="128"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then Agent shall give Borrowing Agent prompt written or telephonic notice of such determination. If such notice is given prior to a Benchmark Replacement Date (as defined below), (i) any such requested Term SOFR Rate Loan shall be made as a Domestic Rate Loan, unless Borrowing Agent shall notify Agent no later than 1:00 p.m. two (2) Business Days prior to the date of such proposed borrowing, that its request for such borrowing shall be cancelled or made as an unaffected type of Term SOFR Rate Loan, (ii) any Domestic Rate Loan or Term SOFR Rate Loan which was to have been converted to an affected type of Term SOFR Rate Loan shall be continued as or be converted into a Domestic Rate Loan, or, if Borrowing Agent shall notify Agent, no later than 1:00 p.m. two (2) Business Days prior to the proposed conversion, shall be maintained as an unaffected type of Term SOFR Rate Loan, and (iii) any outstanding affected Term SOFR Rate Loans shall be converted into a Domestic Rate Loan, or, if Borrowing Agent shall notify Agent, no later than 1:00 p.m. two (2) Business Days prior to the last Business Day of the then current Interest Period applicable to such affected Term SOFR Rate Loan, shall be converted into an unaffected type of Term SOFR Rate Loan, on the last Business Day of the then current Interest Period for such affected Term SOFR Rate Loans (or sooner, if any Lender cannot continue to lawfully maintain such affected Term SOFR Rate Loan). Until such notice has been withdrawn, Lenders shall have no obligation to make an affected type of Term SOFR Rate Loan or maintain outstanding affected Term SOFR Rate Loans and no Borrower shall have the right to convert a Domestic Rate Loan or an unaffected type of Term SOFR Rate Loan into an affected type of Term SOFR Rate Loan.</w:t>
      </w:r>
    </w:p>
    <w:p>
      <w:pPr>
        <w:spacing w:after="0" w:line="151"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Capital Adequacy</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5" w:lineRule="auto"/>
        <w:tabs>
          <w:tab w:leader="none" w:pos="159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Agent, Swing Loan Lender or any Lender shall have determined that any Applicable Law or guideline regarding capital adequacy, or any Change in Law or any change in the interpretation or administration thereof by any Governmental Body, central bank or comparable agency charged with the interpretation or administration thereof, or compliance by Agent, Swing Loan Lender, Issuer or any Lender (for purposes of this Section 3.9, the term “Lender” shall include Agent, Swing Loan Lender, Issuer or any Lender and any corporation or bank controlling Agent , Swing Loan Lender or any Lender and the office or branch where Agent , Swing Loan Lender or any Lender (as so defined) makes or maintains any Term SOFR Rate Loans) with any request or directive regarding capital adequacy (whether or not having the force of law) of any such authority, central bank or comparable agency, has or would have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88" w:name="page289"/>
    <w:bookmarkEnd w:id="288"/>
    <w:p>
      <w:pPr>
        <w:jc w:val="both"/>
        <w:spacing w:after="0" w:line="234" w:lineRule="auto"/>
        <w:rPr>
          <w:sz w:val="20"/>
          <w:szCs w:val="20"/>
          <w:color w:val="auto"/>
        </w:rPr>
      </w:pPr>
      <w:r>
        <w:rPr>
          <w:rFonts w:ascii="Times New Roman" w:cs="Times New Roman" w:eastAsia="Times New Roman" w:hAnsi="Times New Roman"/>
          <w:sz w:val="18"/>
          <w:szCs w:val="18"/>
          <w:color w:val="auto"/>
        </w:rPr>
        <w:t>effect of reducing the rate of return on Agent, Swing Loan Lender or any Lender’s capital as a consequence of its obligations hereunder (including the making of any Swing Loans) to a level below that which Agent , Swing Loan Lender or such Lender could have achieved but for such adoption, change or compliance (taking into consideration Agent’s, Swing Loan Lender’s and each Lender’s policies with respect to capital adequacy) by an amount deemed by Agent, Swing Loan Lender or any Lender to be material, then, from time to time, Borrowers shall pay upon demand to Agent , Swing Loan Lender or such Lender such additional amount or amounts as will compensate Agent , Swing Loan Lender or such Lender for such reduction. In determining such amount or amounts, Agent, Swing Loan Lender or such Lender may use any reasonable averaging or attribution methods. The protection of this Section 3.9 shall be available to Agent, Swing Loan Lender and each Lender regardless of any possible contention of invalidity or inapplicability with respect to the Applicable Law, rule, regulation, guideline or condition.</w:t>
      </w:r>
    </w:p>
    <w:p>
      <w:pPr>
        <w:spacing w:after="0" w:line="152" w:lineRule="exact"/>
        <w:rPr>
          <w:sz w:val="20"/>
          <w:szCs w:val="20"/>
          <w:color w:val="auto"/>
        </w:rPr>
      </w:pPr>
    </w:p>
    <w:p>
      <w:pPr>
        <w:jc w:val="both"/>
        <w:ind w:right="20" w:firstLine="1053"/>
        <w:spacing w:after="0" w:line="245" w:lineRule="auto"/>
        <w:tabs>
          <w:tab w:leader="none" w:pos="159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Agent, Swing Loan Lender or such Lender setting forth such amount or amounts as shall be necessary to compensate Agent, Swing Loan Lender or such Lender with respect to Section 3.9(a) hereof when delivered to Borrowing Agent shall be conclusive absent manifest error.</w:t>
      </w:r>
    </w:p>
    <w:p>
      <w:pPr>
        <w:spacing w:after="0" w:line="140"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w:t>
      </w:r>
    </w:p>
    <w:p>
      <w:pPr>
        <w:spacing w:after="0" w:line="169" w:lineRule="exact"/>
        <w:rPr>
          <w:sz w:val="20"/>
          <w:szCs w:val="20"/>
          <w:color w:val="auto"/>
        </w:rPr>
      </w:pPr>
    </w:p>
    <w:p>
      <w:pPr>
        <w:jc w:val="both"/>
        <w:ind w:firstLine="1053"/>
        <w:spacing w:after="0" w:line="236" w:lineRule="auto"/>
        <w:tabs>
          <w:tab w:leader="none" w:pos="159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Obligations hereunder or under any Other Document shall be made free and clear of and without reduction or withholding for any Indemnified Taxes or Other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Borrowers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Agent, Swing Loan Lender, Lender, Issuer or Participant, as the case may be, receives an amount equal to the sum it would have received had no such deductions been made, (ii) Borrowers shall make such deductions and (iii) Borrowers shall timely pay the full amount deducted to the relevant Governmental Body in accordance with Applicable Law.</w:t>
      </w:r>
    </w:p>
    <w:p>
      <w:pPr>
        <w:spacing w:after="0" w:line="145" w:lineRule="exact"/>
        <w:rPr>
          <w:rFonts w:ascii="Times New Roman" w:cs="Times New Roman" w:eastAsia="Times New Roman" w:hAnsi="Times New Roman"/>
          <w:sz w:val="18"/>
          <w:szCs w:val="18"/>
          <w:color w:val="auto"/>
        </w:rPr>
      </w:pPr>
    </w:p>
    <w:p>
      <w:pPr>
        <w:ind w:right="20" w:firstLine="1053"/>
        <w:spacing w:after="0" w:line="259" w:lineRule="auto"/>
        <w:tabs>
          <w:tab w:leader="none" w:pos="159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Section 3.10(a) above, Borrowers shall timely pay (except as shall be Properly Contested) any Other Taxes to the relevant Governmental Body in accordance with Applicable Law.</w:t>
      </w:r>
    </w:p>
    <w:p>
      <w:pPr>
        <w:spacing w:after="0" w:line="128" w:lineRule="exact"/>
        <w:rPr>
          <w:rFonts w:ascii="Times New Roman" w:cs="Times New Roman" w:eastAsia="Times New Roman" w:hAnsi="Times New Roman"/>
          <w:sz w:val="18"/>
          <w:szCs w:val="18"/>
          <w:color w:val="auto"/>
        </w:rPr>
      </w:pPr>
    </w:p>
    <w:p>
      <w:pPr>
        <w:jc w:val="both"/>
        <w:ind w:firstLine="1053"/>
        <w:spacing w:after="0" w:line="236" w:lineRule="auto"/>
        <w:tabs>
          <w:tab w:leader="none" w:pos="159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indemnify Agent, Swing Loan Lender, each Lender, Issuer and any Participant, within ten (10) days after demand therefor, for the full amount of any Indemnified Taxes or Other Taxes (including Indemnified Taxes or Other Taxes imposed or asserted on or attributable to amounts payable under this Section) paid by Agent, Swing Loan Lender, such Lender, Issuer, or such Participant, as the case may be, and any penalties, interest and reasonable expenses arising therefrom or with respect thereto. A certificate as to the amount of such payment or liability delivered to Borrowers by any Lender, Swing Loan Lender, Participant, or Issuer (with a copy to Agent), or by Agent on its own behalf or on behalf of Swing Loan Lender, a Lender or Issuer, shall be conclusive absent manifest error.</w:t>
      </w:r>
    </w:p>
    <w:p>
      <w:pPr>
        <w:spacing w:after="0" w:line="145" w:lineRule="exact"/>
        <w:rPr>
          <w:rFonts w:ascii="Times New Roman" w:cs="Times New Roman" w:eastAsia="Times New Roman" w:hAnsi="Times New Roman"/>
          <w:sz w:val="18"/>
          <w:szCs w:val="18"/>
          <w:color w:val="auto"/>
        </w:rPr>
      </w:pPr>
    </w:p>
    <w:p>
      <w:pPr>
        <w:ind w:firstLine="1053"/>
        <w:spacing w:after="0" w:line="259" w:lineRule="auto"/>
        <w:tabs>
          <w:tab w:leader="none" w:pos="159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or Other Taxes by any Borrower to a Governmental Body, Borrowers shall deliver to Agent the original 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89" w:name="page290"/>
    <w:bookmarkEnd w:id="289"/>
    <w:p>
      <w:pPr>
        <w:ind w:right="20"/>
        <w:spacing w:after="0" w:line="258" w:lineRule="auto"/>
        <w:rPr>
          <w:sz w:val="20"/>
          <w:szCs w:val="20"/>
          <w:color w:val="auto"/>
        </w:rPr>
      </w:pPr>
      <w:r>
        <w:rPr>
          <w:rFonts w:ascii="Times New Roman" w:cs="Times New Roman" w:eastAsia="Times New Roman" w:hAnsi="Times New Roman"/>
          <w:sz w:val="18"/>
          <w:szCs w:val="18"/>
          <w:color w:val="auto"/>
        </w:rPr>
        <w:t>a certified copy of a receipt issued by such Governmental Body evidencing such payment, a copy of the return reporting such payment or other evidence of such payment reasonably satisfactory to Agent.</w:t>
      </w:r>
    </w:p>
    <w:p>
      <w:pPr>
        <w:spacing w:after="0" w:line="130" w:lineRule="exact"/>
        <w:rPr>
          <w:sz w:val="20"/>
          <w:szCs w:val="20"/>
          <w:color w:val="auto"/>
        </w:rPr>
      </w:pPr>
    </w:p>
    <w:p>
      <w:pPr>
        <w:jc w:val="both"/>
        <w:ind w:firstLine="1053"/>
        <w:spacing w:after="0" w:line="232" w:lineRule="auto"/>
        <w:tabs>
          <w:tab w:leader="none" w:pos="159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that is entitled to an exemption from or reduction of withholding tax under the law of the jurisdiction in which any Borrower is resident for tax purposes, or under any treaty to which such jurisdiction is a party, with respect to payments hereunder or under any Other Document shall deliver to Borrowers (with a copy to Agent), at the time or times prescribed by Applicable Law or reasonably requested by Borrowers or Agent, such properly completed and executed documentation prescribed by Applicable Law as will permit such payments to be made without withholding or at a reduced rate of withholding. Notwithstanding the submission of such documentation claiming a reduced rate of or exemption from U.S. withholding tax, Agent shall be entitled to withhold United States federal income taxes at the full 30% withholding rate if in its reasonable judgment it is required to do so under the due diligence requirements imposed upon a withholding agent under § 1.1441-7(b) of the United States Income Tax Regulations or other Applicable Law. Further, Agent is indemnified under § 1.1461-1(e) of the United States Income Tax Regulations against any claims and demands of any Lender, Issuer or assignee or participant of a Lender or Issuer for the amount of any tax it deducts and withholds in accordance with regulations under § 1441 of the Code. In addition, any Lender, if requested by Borrowers or Agent, shall deliver such other documentation prescribed by Applicable Law or reasonably requested by the Borrowers or Agent as will enable Borrowers or Agent to determine whether or not such Lender is subject to backup withholding or information reporting requirements. Without limiting the generality of the foregoing, in the event that any Borrower is resident for tax purposes in the United States of America, any Foreign Lender (or other Lender) shall deliver to Borrowers and Agent (in such number of copies as shall be requested by the recipient) on or prior to the date on which such Foreign Lender (or other Lender) becomes a Lender under this Agreement (and from time to time thereafter upon the request of Borrowers or Agent, but only if such Foreign Lender (or other Lender) is legally entitled to do so), whichever of the following is applicable: two (2) duly completed valid originals of IRS Form W-8BEN claiming eligibility for benefits of an income tax treaty to which the United States of America is a party,</w:t>
      </w:r>
    </w:p>
    <w:p>
      <w:pPr>
        <w:spacing w:after="0" w:line="158"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duly completed valid originals of IRS Form W-8ECI,</w:t>
      </w:r>
    </w:p>
    <w:p>
      <w:pPr>
        <w:spacing w:after="0" w:line="169" w:lineRule="exact"/>
        <w:rPr>
          <w:rFonts w:ascii="Times New Roman" w:cs="Times New Roman" w:eastAsia="Times New Roman" w:hAnsi="Times New Roman"/>
          <w:sz w:val="18"/>
          <w:szCs w:val="18"/>
          <w:color w:val="auto"/>
        </w:rPr>
      </w:pPr>
    </w:p>
    <w:p>
      <w:pPr>
        <w:jc w:val="both"/>
        <w:ind w:left="60" w:firstLine="1590"/>
        <w:spacing w:after="0"/>
        <w:tabs>
          <w:tab w:leader="none" w:pos="2117"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Borrowers within the meaning of section 881(c)(3)(B) of the Code, or (C) a “controlled foreign corporation” described in section 881(c)(3)(C) of the Code and (y) two duly completed valid originals of IRS Form W-8BEN,</w:t>
      </w:r>
    </w:p>
    <w:p>
      <w:pPr>
        <w:spacing w:after="0" w:line="145" w:lineRule="exact"/>
        <w:rPr>
          <w:rFonts w:ascii="Times New Roman" w:cs="Times New Roman" w:eastAsia="Times New Roman" w:hAnsi="Times New Roman"/>
          <w:sz w:val="18"/>
          <w:szCs w:val="18"/>
          <w:color w:val="auto"/>
        </w:rPr>
      </w:pPr>
    </w:p>
    <w:p>
      <w:pPr>
        <w:jc w:val="both"/>
        <w:ind w:left="60" w:firstLine="1590"/>
        <w:spacing w:after="0" w:line="245" w:lineRule="auto"/>
        <w:tabs>
          <w:tab w:leader="none" w:pos="2117"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prescribed by Applicable Law as a basis for claiming exemption from or a reduction in United States Federal withholding tax duly completed together with such supplementary documentation as may be prescribed by Applicable Law to permit the Borrowers to determine the withholding or deduction required to be made,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90" w:name="page291"/>
    <w:bookmarkEnd w:id="290"/>
    <w:p>
      <w:pPr>
        <w:ind w:left="69" w:right="20" w:firstLine="1590"/>
        <w:spacing w:after="0" w:line="258" w:lineRule="auto"/>
        <w:tabs>
          <w:tab w:leader="none" w:pos="2126"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Lender is not a Foreign Lender, such Lender shall submit to Agent two (2) originals of an IRS Form W-9 or any other form prescribed by Applicable Law demonstrating that such Lender is not a Foreign Lender.</w:t>
      </w:r>
    </w:p>
    <w:p>
      <w:pPr>
        <w:spacing w:after="0" w:line="129" w:lineRule="exact"/>
        <w:rPr>
          <w:rFonts w:ascii="Times New Roman" w:cs="Times New Roman" w:eastAsia="Times New Roman" w:hAnsi="Times New Roman"/>
          <w:sz w:val="18"/>
          <w:szCs w:val="18"/>
          <w:color w:val="auto"/>
        </w:rPr>
      </w:pPr>
    </w:p>
    <w:p>
      <w:pPr>
        <w:jc w:val="both"/>
        <w:ind w:left="9" w:firstLine="1053"/>
        <w:spacing w:after="0" w:line="249" w:lineRule="auto"/>
        <w:tabs>
          <w:tab w:leader="none" w:pos="1601"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Swing Loan Lender, Participant, Issuer, or Agent under this Agreement or any Other Document would be subject to U.S. Federal withholding Tax imposed by FATCA if such Person fails to comply with the applicable reporting requirements of FATCA (including those contained in Section 1471(b) or 1472(b) of the Code, as applicable), such Lender, Swing Loan Lender, Participant, Issuer, or Agent shall deliver to the Agent (in the case of Swing Loan Lender, a Lender, Participant or Issuer) and Borrowers (A) a certification signed by the chief financial officer, principal accounting officer, treasurer or controller of such Person, and</w:t>
      </w:r>
    </w:p>
    <w:p>
      <w:pPr>
        <w:spacing w:after="0" w:line="1" w:lineRule="exact"/>
        <w:rPr>
          <w:rFonts w:ascii="Times New Roman" w:cs="Times New Roman" w:eastAsia="Times New Roman" w:hAnsi="Times New Roman"/>
          <w:sz w:val="17"/>
          <w:szCs w:val="17"/>
          <w:color w:val="auto"/>
        </w:rPr>
      </w:pPr>
    </w:p>
    <w:p>
      <w:pPr>
        <w:jc w:val="both"/>
        <w:ind w:left="9" w:hanging="9"/>
        <w:spacing w:after="0" w:line="235" w:lineRule="auto"/>
        <w:tabs>
          <w:tab w:leader="none" w:pos="33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documentation reasonably requested by Agent or any Borrower sufficient for Agent and Borrowers to comply with their obligations under FATCA and to determine that Swing Loan Lender, such Lender, Participant, Issuer, or Agent has complied with such applicable reporting requirements.</w:t>
      </w:r>
    </w:p>
    <w:p>
      <w:pPr>
        <w:spacing w:after="0" w:line="146" w:lineRule="exact"/>
        <w:rPr>
          <w:sz w:val="20"/>
          <w:szCs w:val="20"/>
          <w:color w:val="auto"/>
        </w:rPr>
      </w:pPr>
    </w:p>
    <w:p>
      <w:pPr>
        <w:jc w:val="both"/>
        <w:ind w:left="9" w:firstLine="531"/>
        <w:spacing w:after="0" w:line="23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(an “Affected Lender”) (a) makes demand upon Borrowers for (or if Borrowers are otherwise required to pay) amounts pursuant to Section 3.7 or 3.9 hereof, (b) is unable to make or maintain Term SOFR Rate Loans as a result of a condition described in Section 2.2(h) hereof, (c) is a Defaulting Lender, or (d) denies any consent requested by the Agent pursuant to Section 16.2(b) hereof, Borrowers may, within ninety (90) days of receipt of such demand, notice (or the occurrence of such other event causing Borrowers to be required to pay such compensation or causing Section 2.2(h) hereof to be applicable), or such Lender becoming a Defaulting Lender or denial of a request by Agent pursuant to Section 16.2(b) hereof, as the case may be, by notice in writing to the Agent and such Affected Lender (i) request the Affected Lender to cooperate with Borrowers in obtaining a replacement Lender satisfactory to Agent and Borrowers (the “Replacement Lender”); (ii) request the non-Affected Lenders to acquire and assume all of the Affected Lender’s Advances and its Revolving Commitment Percentage, as provided herein, but none of such Lenders shall be under any obligation to do so; or (iii) propose a Replacement Lender subject to approval by Agent in its good faith business judgment. If any satisfactory Replacement Lender shall be obtained, and/or if any one or more of the non-Affected Lenders shall agree to acquire and assume all of the Affected Lender’s Advances and its Revolving Commitment Percentage, then such Affected Lender shall assign, in accordance with Section 16.3 hereof, all of its Advances and its Revolving Commitment Percentage, and other rights and obligations under this Loan Agreement and the Other Documents to such Replacement Lender or non-Affected Lenders, as the case may be, in exchange for payment of the principal amount so assigned and all interest and fees accrued on the amount so assigned,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other Obligations then due and payable to the Affected Lender.</w:t>
      </w:r>
    </w:p>
    <w:p>
      <w:pPr>
        <w:spacing w:after="0" w:line="147"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auto"/>
        </w:rPr>
        <w:t>Successor Term SOFR Rate Index</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jc w:val="both"/>
        <w:ind w:left="9" w:firstLine="1053"/>
        <w:spacing w:after="0" w:line="238" w:lineRule="auto"/>
        <w:tabs>
          <w:tab w:leader="none" w:pos="160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Document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executed in connection with an Interest Rate Hedge shall be deemed not to be an “Other Document” for purposes of this Section titled “Benchmark Replacement Setting”), if a Benchmark Transition Event and related Benchmark Replacement Date have occurred prior to the Reference Time in respect of any setting of the then-current Benchmark, then (A) if a Benchmark Replacement is determined in accordance with clause (1) of</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91" w:name="page292"/>
    <w:bookmarkEnd w:id="291"/>
    <w:p>
      <w:pPr>
        <w:jc w:val="both"/>
        <w:spacing w:after="0" w:line="234" w:lineRule="auto"/>
        <w:rPr>
          <w:sz w:val="20"/>
          <w:szCs w:val="20"/>
          <w:color w:val="auto"/>
        </w:rPr>
      </w:pPr>
      <w:r>
        <w:rPr>
          <w:rFonts w:ascii="Times New Roman" w:cs="Times New Roman" w:eastAsia="Times New Roman" w:hAnsi="Times New Roman"/>
          <w:sz w:val="18"/>
          <w:szCs w:val="18"/>
          <w:color w:val="auto"/>
        </w:rPr>
        <w:t>the definition of “Benchmark Replacement” for such Benchmark Replacement Date, such Benchmark Replacement will replace such Benchmark for all purposes hereunder and under any Other Document in respect of such Benchmark setting and subsequent Benchmark settings without any amendment to, or further action or consent of any other party to, this Agreement or any Other Document and (B) if a Benchmark Replacement is determined in accordance with clause (2) of the definition of “Benchmark Replacement” for such Benchmark Replacement Date, such Benchmark Replacement will replace such Benchmark for all purposes hereunder and under any Other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Document so long as the Agent has not received, by such time, written notice of objection to such Benchmark Replacement from Lenders comprising the Required Lenders.</w:t>
      </w:r>
    </w:p>
    <w:p>
      <w:pPr>
        <w:spacing w:after="0" w:line="150" w:lineRule="exact"/>
        <w:rPr>
          <w:sz w:val="20"/>
          <w:szCs w:val="20"/>
          <w:color w:val="auto"/>
        </w:rPr>
      </w:pPr>
    </w:p>
    <w:p>
      <w:pPr>
        <w:jc w:val="both"/>
        <w:ind w:firstLine="1053"/>
        <w:spacing w:after="0" w:line="241" w:lineRule="auto"/>
        <w:tabs>
          <w:tab w:leader="none" w:pos="159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the Benchmark Replacement, the Agent will have the right to make Conforming Changes from time to time and, notwithstanding anything to the contrary herein or in the Other Documents, any amendments implementing such Conforming Changes will become effective without any further action or consent of any other party to this Agreement.</w:t>
      </w:r>
    </w:p>
    <w:p>
      <w:pPr>
        <w:spacing w:after="0" w:line="141" w:lineRule="exact"/>
        <w:rPr>
          <w:rFonts w:ascii="Times New Roman" w:cs="Times New Roman" w:eastAsia="Times New Roman" w:hAnsi="Times New Roman"/>
          <w:sz w:val="18"/>
          <w:szCs w:val="18"/>
          <w:color w:val="auto"/>
        </w:rPr>
      </w:pPr>
    </w:p>
    <w:p>
      <w:pPr>
        <w:jc w:val="both"/>
        <w:ind w:firstLine="1053"/>
        <w:spacing w:after="0" w:line="252" w:lineRule="auto"/>
        <w:tabs>
          <w:tab w:leader="none" w:pos="1593"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Notices; Standards for Decisions and Determinations</w:t>
      </w:r>
      <w:r>
        <w:rPr>
          <w:rFonts w:ascii="Times New Roman" w:cs="Times New Roman" w:eastAsia="Times New Roman" w:hAnsi="Times New Roman"/>
          <w:sz w:val="17"/>
          <w:szCs w:val="17"/>
          <w:color w:val="auto"/>
        </w:rPr>
        <w:t>. The Agent will promptly notify the Borrowers and the Lenders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(i) the implementation of any Benchmark Replacement, (ii) the effectiveness of any Conforming Changes in connection with the use, administration, adoption or implementation of a Benchmark Replacement, and (iii) the commencement of any Benchmark Unavailability Period. Any determination, decision or election that may be made by the Agent or Lenders pursuant to this Section 3.12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3.12.</w:t>
      </w:r>
    </w:p>
    <w:p>
      <w:pPr>
        <w:spacing w:after="0" w:line="133" w:lineRule="exact"/>
        <w:rPr>
          <w:rFonts w:ascii="Times New Roman" w:cs="Times New Roman" w:eastAsia="Times New Roman" w:hAnsi="Times New Roman"/>
          <w:sz w:val="17"/>
          <w:szCs w:val="17"/>
          <w:color w:val="auto"/>
        </w:rPr>
      </w:pPr>
    </w:p>
    <w:p>
      <w:pPr>
        <w:jc w:val="both"/>
        <w:ind w:firstLine="1053"/>
        <w:spacing w:after="0" w:line="249" w:lineRule="auto"/>
        <w:tabs>
          <w:tab w:leader="none" w:pos="1593"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Unavailability of Tenor of Benchmark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Notwithstanding anything to the contrary herein or in any of the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Documents,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of such Benchmark is or will be no longer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(or any similar 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color w:val="auto"/>
        </w:rPr>
        <w:t>analogous definition) for all Benchmark settings at or after such time to reinstate such previously removed tenor.</w:t>
      </w:r>
    </w:p>
    <w:p>
      <w:pPr>
        <w:spacing w:after="0" w:line="166" w:lineRule="exact"/>
        <w:rPr>
          <w:sz w:val="20"/>
          <w:szCs w:val="20"/>
          <w:color w:val="auto"/>
        </w:rPr>
      </w:pPr>
    </w:p>
    <w:p>
      <w:pPr>
        <w:jc w:val="both"/>
        <w:ind w:firstLine="1053"/>
        <w:spacing w:after="0" w:line="236" w:lineRule="auto"/>
        <w:tabs>
          <w:tab w:leader="none" w:pos="159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Unavailability Period, the Borrowers may revoke any request for an Advance bearing interest based on the Term SOFR Rate, conversion to or continuation of Advances bearing interest based on the Term SOFR Rate to be made, converted or continued during any Benchmark Unavailability Period and, failing that, the Borrowers will be deemed to have converted any such request into a request for a Domestic Rate Loan.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45"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Certain Defined Terms</w:t>
      </w:r>
      <w:r>
        <w:rPr>
          <w:rFonts w:ascii="Times New Roman" w:cs="Times New Roman" w:eastAsia="Times New Roman" w:hAnsi="Times New Roman"/>
          <w:sz w:val="18"/>
          <w:szCs w:val="18"/>
          <w:color w:val="auto"/>
        </w:rPr>
        <w:t>. As used in this Section 3.12:</w:t>
      </w:r>
    </w:p>
    <w:p>
      <w:pPr>
        <w:spacing w:after="0" w:line="167" w:lineRule="exact"/>
        <w:rPr>
          <w:sz w:val="20"/>
          <w:szCs w:val="20"/>
          <w:color w:val="auto"/>
        </w:rPr>
      </w:pPr>
    </w:p>
    <w:p>
      <w:pPr>
        <w:jc w:val="both"/>
        <w:ind w:right="20" w:firstLine="1062"/>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“Available Tenor” </w:t>
      </w:r>
      <w:r>
        <w:rPr>
          <w:rFonts w:ascii="Times New Roman" w:cs="Times New Roman" w:eastAsia="Times New Roman" w:hAnsi="Times New Roman"/>
          <w:sz w:val="18"/>
          <w:szCs w:val="18"/>
          <w:color w:val="auto"/>
        </w:rPr>
        <w:t>means, as of any date of determination and with respect to the then-current Benchmark, as applicable (x)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then current Benchmark is a term rate or is based on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64" w:lineRule="exact"/>
        <w:rPr>
          <w:sz w:val="20"/>
          <w:szCs w:val="20"/>
          <w:color w:val="auto"/>
        </w:rPr>
      </w:pPr>
    </w:p>
    <w:p>
      <w:pPr>
        <w:jc w:val="both"/>
        <w:ind w:firstLine="1062"/>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“Benchmark” </w:t>
      </w:r>
      <w:r>
        <w:rPr>
          <w:rFonts w:ascii="Times New Roman" w:cs="Times New Roman" w:eastAsia="Times New Roman" w:hAnsi="Times New Roman"/>
          <w:sz w:val="18"/>
          <w:szCs w:val="18"/>
          <w:color w:val="auto"/>
        </w:rPr>
        <w:t>means, initially, the Term SOFR Rate; provided that if a Benchmark Transition Event and its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Benchmark Replacement Date have occurred with respect to the Term SOFR Rate or the then-current Benchmark, then “Benchmark” means the applicable Benchmark Replacement to the extent that such Benchmark Replacement has replaced such prior benchmark rate pursuant to this Section. Any reference to “Benchmark” shall include, as applicable, the published component used in the calculation thereof.</w:t>
      </w:r>
    </w:p>
    <w:p>
      <w:pPr>
        <w:spacing w:after="0" w:line="164" w:lineRule="exact"/>
        <w:rPr>
          <w:sz w:val="20"/>
          <w:szCs w:val="20"/>
          <w:color w:val="auto"/>
        </w:rPr>
      </w:pPr>
    </w:p>
    <w:p>
      <w:pPr>
        <w:jc w:val="both"/>
        <w:ind w:firstLine="1062"/>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“Benchmark Replacement” </w:t>
      </w:r>
      <w:r>
        <w:rPr>
          <w:rFonts w:ascii="Times New Roman" w:cs="Times New Roman" w:eastAsia="Times New Roman" w:hAnsi="Times New Roman"/>
          <w:sz w:val="18"/>
          <w:szCs w:val="18"/>
          <w:color w:val="auto"/>
        </w:rPr>
        <w:t>means, for any Available Tenor, the first alternative set forth in the order below that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by the Agent for the applicable Benchmark Replacement Date:</w:t>
      </w:r>
    </w:p>
    <w:p>
      <w:pPr>
        <w:spacing w:after="0" w:line="146" w:lineRule="exact"/>
        <w:rPr>
          <w:sz w:val="20"/>
          <w:szCs w:val="20"/>
          <w:color w:val="auto"/>
        </w:rPr>
      </w:pPr>
    </w:p>
    <w:p>
      <w:pPr>
        <w:ind w:left="1340" w:hanging="287"/>
        <w:spacing w:after="0"/>
        <w:tabs>
          <w:tab w:leader="none" w:pos="1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w:t>
      </w:r>
    </w:p>
    <w:p>
      <w:pPr>
        <w:spacing w:after="0" w:line="191" w:lineRule="exact"/>
        <w:rPr>
          <w:rFonts w:ascii="Times New Roman" w:cs="Times New Roman" w:eastAsia="Times New Roman" w:hAnsi="Times New Roman"/>
          <w:sz w:val="18"/>
          <w:szCs w:val="18"/>
          <w:color w:val="auto"/>
        </w:rPr>
      </w:pPr>
    </w:p>
    <w:p>
      <w:pPr>
        <w:jc w:val="both"/>
        <w:ind w:left="1320" w:hanging="267"/>
        <w:spacing w:after="0" w:line="238" w:lineRule="auto"/>
        <w:tabs>
          <w:tab w:leader="none" w:pos="137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Agent and the Borrowers as the replacement for the then-current Benchmark for the applicable Corresponding Tenor giving due consideration to any evolving or then-prevailing market convention, including any applicable recommendations made by the Relevant Governmental Body, for U.S. dollar-denominated syndicated credit facilities at such time and (B) the related Benchmark Replacement Adjustment;</w:t>
      </w:r>
    </w:p>
    <w:p>
      <w:pPr>
        <w:spacing w:after="0" w:line="168" w:lineRule="exact"/>
        <w:rPr>
          <w:sz w:val="20"/>
          <w:szCs w:val="20"/>
          <w:color w:val="auto"/>
        </w:rPr>
      </w:pPr>
    </w:p>
    <w:p>
      <w:pPr>
        <w:ind w:left="1320" w:right="20"/>
        <w:spacing w:after="0" w:line="259"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clause (1) or (2) above would be less than the Floor, the Benchmark Replacement will be deemed to be the Floor for the purposes of this Agreement and the Other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93" w:name="page294"/>
    <w:bookmarkEnd w:id="293"/>
    <w:p>
      <w:pPr>
        <w:ind w:left="1320"/>
        <w:spacing w:after="0" w:line="258" w:lineRule="auto"/>
        <w:rPr>
          <w:sz w:val="20"/>
          <w:szCs w:val="20"/>
          <w:color w:val="auto"/>
        </w:rPr>
      </w:pPr>
      <w:r>
        <w:rPr>
          <w:rFonts w:ascii="Times New Roman" w:cs="Times New Roman" w:eastAsia="Times New Roman" w:hAnsi="Times New Roman"/>
          <w:sz w:val="18"/>
          <w:szCs w:val="18"/>
          <w:color w:val="auto"/>
        </w:rPr>
        <w:t>Documents; provided further that any such Benchmark Replacement shall be administratively feasible as determined by the Agent in its sole discretion.</w:t>
      </w:r>
    </w:p>
    <w:p>
      <w:pPr>
        <w:spacing w:after="0" w:line="147" w:lineRule="exact"/>
        <w:rPr>
          <w:sz w:val="20"/>
          <w:szCs w:val="20"/>
          <w:color w:val="auto"/>
        </w:rPr>
      </w:pPr>
    </w:p>
    <w:p>
      <w:pPr>
        <w:jc w:val="both"/>
        <w:ind w:firstLine="1062"/>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“Benchmark Replacement Adjustment” </w:t>
      </w:r>
      <w:r>
        <w:rPr>
          <w:rFonts w:ascii="Times New Roman" w:cs="Times New Roman" w:eastAsia="Times New Roman" w:hAnsi="Times New Roman"/>
          <w:sz w:val="18"/>
          <w:szCs w:val="18"/>
          <w:color w:val="auto"/>
        </w:rPr>
        <w:t>means, with respect to any replacement of the then-current Benchmark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Unadjusted Benchmark Replacement for any applicable Available Tenor for any setting of such Unadjusted Benchmark Replacement the spread adjustment, or method for calculating or determining such spread adjustments, (which may be a positive or negative value or zero) that has been selected by the Agent and the Borrowers for the applicable Corresponding Tenor giving due consideration to any evolving or then-prevailing market convention, including any applicable recommendations made by the Relevant Governmental Body for U.S. dollar-denominated syndicated credit facilities at such time; provided that,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w:t>
      </w:r>
    </w:p>
    <w:p>
      <w:pPr>
        <w:spacing w:after="0" w:line="1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“Benchmark Replacement Date” </w:t>
      </w:r>
      <w:r>
        <w:rPr>
          <w:rFonts w:ascii="Times New Roman" w:cs="Times New Roman" w:eastAsia="Times New Roman" w:hAnsi="Times New Roman"/>
          <w:sz w:val="18"/>
          <w:szCs w:val="18"/>
          <w:color w:val="auto"/>
        </w:rPr>
        <w:t>means a date and time determined by the Agent, which date shall be at the end of 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 and no later than the earliest to occur of the following events with respect to the then-current Benchmark:</w:t>
      </w:r>
    </w:p>
    <w:p>
      <w:pPr>
        <w:spacing w:after="0" w:line="171" w:lineRule="exact"/>
        <w:rPr>
          <w:sz w:val="20"/>
          <w:szCs w:val="20"/>
          <w:color w:val="auto"/>
        </w:rPr>
      </w:pPr>
    </w:p>
    <w:p>
      <w:pPr>
        <w:jc w:val="both"/>
        <w:ind w:firstLine="1053"/>
        <w:spacing w:after="0"/>
        <w:tabs>
          <w:tab w:leader="none" w:pos="159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67" w:lineRule="exact"/>
        <w:rPr>
          <w:rFonts w:ascii="Times New Roman" w:cs="Times New Roman" w:eastAsia="Times New Roman" w:hAnsi="Times New Roman"/>
          <w:sz w:val="18"/>
          <w:szCs w:val="18"/>
          <w:color w:val="auto"/>
        </w:rPr>
      </w:pPr>
    </w:p>
    <w:p>
      <w:pPr>
        <w:ind w:right="20" w:firstLine="1053"/>
        <w:spacing w:after="0" w:line="259" w:lineRule="auto"/>
        <w:tabs>
          <w:tab w:leader="none" w:pos="159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determined by the Agent, which date shall promptly follow the date of the public statement or publication of information referenced therein.</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4" w:lineRule="exact"/>
        <w:rPr>
          <w:sz w:val="20"/>
          <w:szCs w:val="20"/>
          <w:color w:val="auto"/>
        </w:rPr>
      </w:pPr>
    </w:p>
    <w:p>
      <w:pPr>
        <w:jc w:val="both"/>
        <w:ind w:firstLine="1062"/>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“Benchmark Transition Event” </w:t>
      </w:r>
      <w:r>
        <w:rPr>
          <w:rFonts w:ascii="Times New Roman" w:cs="Times New Roman" w:eastAsia="Times New Roman" w:hAnsi="Times New Roman"/>
          <w:sz w:val="18"/>
          <w:szCs w:val="18"/>
          <w:color w:val="auto"/>
        </w:rPr>
        <w:t>means the occurrence of one or more of the following events with respect to the then-current Benchmark:</w:t>
      </w:r>
    </w:p>
    <w:p>
      <w:pPr>
        <w:spacing w:after="0" w:line="146" w:lineRule="exact"/>
        <w:rPr>
          <w:sz w:val="20"/>
          <w:szCs w:val="20"/>
          <w:color w:val="auto"/>
        </w:rPr>
      </w:pPr>
    </w:p>
    <w:p>
      <w:pPr>
        <w:ind w:firstLine="1053"/>
        <w:spacing w:after="0" w:line="259" w:lineRule="auto"/>
        <w:tabs>
          <w:tab w:leader="none" w:pos="159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94" w:name="page295"/>
    <w:bookmarkEnd w:id="294"/>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4" w:lineRule="exact"/>
        <w:rPr>
          <w:sz w:val="20"/>
          <w:szCs w:val="20"/>
          <w:color w:val="auto"/>
        </w:rPr>
      </w:pPr>
    </w:p>
    <w:p>
      <w:pPr>
        <w:jc w:val="both"/>
        <w:ind w:firstLine="1053"/>
        <w:spacing w:after="0" w:line="250" w:lineRule="auto"/>
        <w:tabs>
          <w:tab w:leader="none" w:pos="1593"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a Governmental Body having jurisdiction over the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or</w:t>
      </w:r>
    </w:p>
    <w:p>
      <w:pPr>
        <w:spacing w:after="0" w:line="162" w:lineRule="exact"/>
        <w:rPr>
          <w:rFonts w:ascii="Times New Roman" w:cs="Times New Roman" w:eastAsia="Times New Roman" w:hAnsi="Times New Roman"/>
          <w:sz w:val="17"/>
          <w:szCs w:val="17"/>
          <w:color w:val="auto"/>
        </w:rPr>
      </w:pPr>
    </w:p>
    <w:p>
      <w:pPr>
        <w:jc w:val="both"/>
        <w:ind w:firstLine="1053"/>
        <w:spacing w:after="0" w:line="245" w:lineRule="auto"/>
        <w:tabs>
          <w:tab w:leader="none" w:pos="159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or a Governmental Body having jurisdiction over the Agent announcing that all Available Tenors of such Benchmark (or such component thereof) are no longer representative.</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8" w:lineRule="exact"/>
        <w:rPr>
          <w:sz w:val="20"/>
          <w:szCs w:val="20"/>
          <w:color w:val="auto"/>
        </w:rPr>
      </w:pPr>
    </w:p>
    <w:p>
      <w:pPr>
        <w:jc w:val="both"/>
        <w:ind w:firstLine="1062"/>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“Benchmark Unavailability Period” </w:t>
      </w:r>
      <w:r>
        <w:rPr>
          <w:rFonts w:ascii="Times New Roman" w:cs="Times New Roman" w:eastAsia="Times New Roman" w:hAnsi="Times New Roman"/>
          <w:sz w:val="18"/>
          <w:szCs w:val="18"/>
          <w:color w:val="auto"/>
        </w:rPr>
        <w:t>means the period (if any) (x) beginning at the time that a Benchmark Replacement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pursuant to clauses (1) or (2) of that definition has occurred if, at such time, no Benchmark Replacement has replaced the then-current Benchmark for all purposes hereunder and under any Other Document in accordance with this Section titled “Benchmark Replacement Setting” and (y) ending at the time that a Benchmark Replacement has replaced the then-current Benchmark for all purposes hereunder and under any Other Document in accordance with this Section titled “Benchmark Replacement Setting.”</w:t>
      </w:r>
    </w:p>
    <w:p>
      <w:pPr>
        <w:spacing w:after="0" w:line="164" w:lineRule="exact"/>
        <w:rPr>
          <w:sz w:val="20"/>
          <w:szCs w:val="20"/>
          <w:color w:val="auto"/>
        </w:rPr>
      </w:pPr>
    </w:p>
    <w:p>
      <w:pPr>
        <w:jc w:val="both"/>
        <w:ind w:firstLine="1062"/>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“Corresponding Tenor” </w:t>
      </w:r>
      <w:r>
        <w:rPr>
          <w:rFonts w:ascii="Times New Roman" w:cs="Times New Roman" w:eastAsia="Times New Roman" w:hAnsi="Times New Roman"/>
          <w:sz w:val="18"/>
          <w:szCs w:val="18"/>
          <w:color w:val="auto"/>
        </w:rPr>
        <w:t>with respect to any Available Tenor means, as applicable, either a tenor (including overnight)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payment period having approximately the same length (disregarding business day adjustment) as such Available Tenor.</w:t>
      </w:r>
    </w:p>
    <w:p>
      <w:pPr>
        <w:spacing w:after="0" w:line="142" w:lineRule="exact"/>
        <w:rPr>
          <w:sz w:val="20"/>
          <w:szCs w:val="20"/>
          <w:color w:val="auto"/>
        </w:rPr>
      </w:pPr>
    </w:p>
    <w:p>
      <w:pPr>
        <w:jc w:val="both"/>
        <w:ind w:firstLine="1062"/>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“Floor” </w:t>
      </w:r>
      <w:r>
        <w:rPr>
          <w:rFonts w:ascii="Times New Roman" w:cs="Times New Roman" w:eastAsia="Times New Roman" w:hAnsi="Times New Roman"/>
          <w:sz w:val="18"/>
          <w:szCs w:val="18"/>
          <w:color w:val="auto"/>
        </w:rPr>
        <w:t>means the benchmark rate floor, if any, provided in this Agreement initially (as of the execution of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modification, amendment or renewal of this Agreement or otherwise) with respect to the Term SOFR Rate or, if no floor is specified, zero.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95" w:name="page296"/>
    <w:bookmarkEnd w:id="295"/>
    <w:p>
      <w:pPr>
        <w:jc w:val="both"/>
        <w:ind w:left="9" w:firstLine="1062"/>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“Reference Time” </w:t>
      </w:r>
      <w:r>
        <w:rPr>
          <w:rFonts w:ascii="Times New Roman" w:cs="Times New Roman" w:eastAsia="Times New Roman" w:hAnsi="Times New Roman"/>
          <w:sz w:val="18"/>
          <w:szCs w:val="18"/>
          <w:color w:val="auto"/>
        </w:rPr>
        <w:t>means, with respect to any setting of the then-current Benchmark, the time determined by the Agent in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discretion.</w:t>
      </w:r>
    </w:p>
    <w:p>
      <w:pPr>
        <w:spacing w:after="0" w:line="143" w:lineRule="exact"/>
        <w:rPr>
          <w:sz w:val="20"/>
          <w:szCs w:val="20"/>
          <w:color w:val="auto"/>
        </w:rPr>
      </w:pPr>
    </w:p>
    <w:p>
      <w:pPr>
        <w:jc w:val="both"/>
        <w:ind w:left="9" w:firstLine="1062"/>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“Relevant Governmental Body” </w:t>
      </w:r>
      <w:r>
        <w:rPr>
          <w:rFonts w:ascii="Times New Roman" w:cs="Times New Roman" w:eastAsia="Times New Roman" w:hAnsi="Times New Roman"/>
          <w:sz w:val="18"/>
          <w:szCs w:val="18"/>
          <w:color w:val="auto"/>
        </w:rPr>
        <w:t>means the Board of Governors of the Federal Reserve System or the Federal Reserve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New York, or a committee officially endorsed or convened by the Board of Governors of the Federal Reserve System or the Federal Reserve Bank of New York, or any successor thereto.</w:t>
      </w:r>
    </w:p>
    <w:p>
      <w:pPr>
        <w:spacing w:after="0" w:line="161" w:lineRule="exact"/>
        <w:rPr>
          <w:sz w:val="20"/>
          <w:szCs w:val="20"/>
          <w:color w:val="auto"/>
        </w:rPr>
      </w:pPr>
    </w:p>
    <w:p>
      <w:pPr>
        <w:ind w:left="9"/>
        <w:spacing w:after="0"/>
        <w:tabs>
          <w:tab w:leader="none" w:pos="508"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COLLATERAL: GENERAL TERMS</w:t>
      </w:r>
    </w:p>
    <w:p>
      <w:pPr>
        <w:spacing w:after="0" w:line="169" w:lineRule="exact"/>
        <w:rPr>
          <w:sz w:val="20"/>
          <w:szCs w:val="20"/>
          <w:color w:val="auto"/>
        </w:rPr>
      </w:pPr>
    </w:p>
    <w:p>
      <w:pPr>
        <w:jc w:val="both"/>
        <w:ind w:left="9" w:firstLine="531"/>
        <w:spacing w:after="0" w:line="23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Security Interest in the Collateral</w:t>
      </w:r>
      <w:r>
        <w:rPr>
          <w:rFonts w:ascii="Times New Roman" w:cs="Times New Roman" w:eastAsia="Times New Roman" w:hAnsi="Times New Roman"/>
          <w:sz w:val="18"/>
          <w:szCs w:val="18"/>
          <w:color w:val="auto"/>
        </w:rPr>
        <w:t>. To secure the prompt payment and performance to Agent, Issuer and each Lender (and each other holder of any Obligations) of the Obligations, each Borrower hereby assigns, pledges and grants to Agent for its benefit and for the ratable benefit of each Lender, Issuer and each other Secured Party, a continuing security interest in and to and Lien on all of its Collateral, whether now owned or existing or hereafter created, acquired or arising and wheresoever located. Each Borrower shall mark its books and records as may be necessary or appropriate to evidence, protect and perfect Agent’s security interest and shall cause its financial statements to reflect such security interest. Each Borrower shall provide Agent with written notice of all commercial tort claims promptly upon the occurrence of any events giving rise to any such claim(s) (regardless of whether legal proceedings have yet been commenced), such notice to contain a brief description of the claim(s), the events out of which such claim(s) arose and the parties against which such claims may be asserted and, if applicable in any case where legal proceedings regarding such claim(s) have been commenced, the case title together with the applicable court and docket number. Upon delivery of each such notice, such Borrower shall be deemed to thereby grant to Agent a security interest and lien in and to such commercial tort claims described therein and all proceeds thereof. Each Borrower shall provide Agent with written notice promptly upon becoming the beneficiary under any letter of credit or otherwise obtaining any right, title or interest in any letter of credit rights, and at Agent’s request shall take such actions as Agent may reasonably request for the perfection of Agent’s security interest therein.</w:t>
      </w:r>
    </w:p>
    <w:p>
      <w:pPr>
        <w:spacing w:after="0" w:line="151" w:lineRule="exact"/>
        <w:rPr>
          <w:sz w:val="20"/>
          <w:szCs w:val="20"/>
          <w:color w:val="auto"/>
        </w:rPr>
      </w:pPr>
    </w:p>
    <w:p>
      <w:pPr>
        <w:jc w:val="both"/>
        <w:ind w:left="9" w:firstLine="531"/>
        <w:spacing w:after="0" w:line="250"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Perfection of Security Interest</w:t>
      </w:r>
      <w:r>
        <w:rPr>
          <w:rFonts w:ascii="Times New Roman" w:cs="Times New Roman" w:eastAsia="Times New Roman" w:hAnsi="Times New Roman"/>
          <w:sz w:val="17"/>
          <w:szCs w:val="17"/>
          <w:color w:val="auto"/>
        </w:rPr>
        <w:t>. Each Borrower shall take all commercially reasonable action that may be necessary or desirable, or that Agent may reasonably request, so as at all times to maintain the validity, perfection, enforceability and priority of Agent’s security interest in and Lien on the Collateral or to enable Agent to protect, exercise or enforce its rights hereunder and in the Collateral, including, but not limited to, (i) promptly discharging all Liens other than Permitted Encumbrances, (ii) obtaining Lien Waiver Agreements,</w:t>
      </w:r>
    </w:p>
    <w:p>
      <w:pPr>
        <w:spacing w:after="0" w:line="2" w:lineRule="exact"/>
        <w:rPr>
          <w:sz w:val="20"/>
          <w:szCs w:val="20"/>
          <w:color w:val="auto"/>
        </w:rPr>
      </w:pPr>
    </w:p>
    <w:p>
      <w:pPr>
        <w:jc w:val="both"/>
        <w:ind w:left="9" w:hanging="9"/>
        <w:spacing w:after="0" w:line="232" w:lineRule="auto"/>
        <w:tabs>
          <w:tab w:leader="none" w:pos="32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Agent, endorsed or accompanied by such instruments of assignment as Agent may specify, and stamping or marking, in such manner as Agent may specify, any and all chattel paper, instruments, letters of credits and advices thereof and documents evidencing or forming a part of the Collateral, (iv) entering into warehousing, lockbox, customs and freight agreements and other custodial arrangements satisfactory to Agent, and (v) executing and delivering financing statements, control agreements, instruments of pledge, mortgages, notices and assignments, in each case in form and substance satisfactory to Agent, relating to the creation, validity, perfection, maintenance or continuation of Agent’s security interest and Lien under the Uniform Commercial Code or other Applicable Law. By its signature hereto, each Borrower hereby authorizes Agent to file against such Borrower, one or more financing, continuation or amendment statements pursuant to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4" w:right="979" w:bottom="1440" w:gutter="0" w:footer="0" w:header="0"/>
        </w:sectPr>
      </w:pPr>
    </w:p>
    <w:bookmarkStart w:id="296" w:name="page297"/>
    <w:bookmarkEnd w:id="296"/>
    <w:p>
      <w:pPr>
        <w:jc w:val="both"/>
        <w:ind w:left="9"/>
        <w:spacing w:after="0" w:line="238" w:lineRule="auto"/>
        <w:rPr>
          <w:sz w:val="20"/>
          <w:szCs w:val="20"/>
          <w:color w:val="auto"/>
        </w:rPr>
      </w:pPr>
      <w:r>
        <w:rPr>
          <w:rFonts w:ascii="Times New Roman" w:cs="Times New Roman" w:eastAsia="Times New Roman" w:hAnsi="Times New Roman"/>
          <w:sz w:val="18"/>
          <w:szCs w:val="18"/>
          <w:color w:val="auto"/>
        </w:rPr>
        <w:t>Uniform Commercial Code in form and substance satisfactory to Agent (which statements may have a description of collateral which is broader than that set forth herein, including without limitation a description of Collateral as “all assets” and/or “all personal property” of any Borrower). All charges, expenses and fees Agent may incur in doing any of the foregoing, and any local taxes relating thereto, shall be charged to Borrowers’ Account as a Revolving Advance of a Domestic Rate Loan and added to the Obligations, or, at Agent’s option, shall be paid by Borrowers to Agent for its benefit and for the ratable benefit of Lenders promptly upon demand.</w:t>
      </w:r>
    </w:p>
    <w:p>
      <w:pPr>
        <w:spacing w:after="0" w:line="145" w:lineRule="exact"/>
        <w:rPr>
          <w:sz w:val="20"/>
          <w:szCs w:val="20"/>
          <w:color w:val="auto"/>
        </w:rPr>
      </w:pPr>
    </w:p>
    <w:p>
      <w:pPr>
        <w:jc w:val="both"/>
        <w:ind w:left="9" w:firstLine="531"/>
        <w:spacing w:after="0" w:line="23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Preservation of Collateral</w:t>
      </w:r>
      <w:r>
        <w:rPr>
          <w:rFonts w:ascii="Times New Roman" w:cs="Times New Roman" w:eastAsia="Times New Roman" w:hAnsi="Times New Roman"/>
          <w:sz w:val="18"/>
          <w:szCs w:val="18"/>
          <w:color w:val="auto"/>
        </w:rPr>
        <w:t>. Following the occurrence of a Default or Event of Default, in addition to the rights and remedies set forth in Section 11.1 hereof, Agent: (a) may at any time take such steps as Agent deems necessary to protect Agent’s interest in and to preserve the Collateral, including the hiring of security guards or the placing of other security protection measures as Agent may deem appropriate; (b) may employ and maintain at any of any Borrower’s premises a custodian who shall have full authority to do all acts necessary to protect Agent’s interests in the Collateral; (c) may lease warehouse facilities to which Agent may move all or part of the Collateral; (d) may use any Borrower’s owned or leased lifts, hoists, trucks and other facilities or equipment for handling or removing the Collateral; and (e) shall have, and is hereby granted, a right of ingress and egress to the places where the Collateral is located, and may proceed over and through any of Borrowers’ owned or leased property. Each Borrower shall cooperate fully with all of Agent’s efforts to preserve the Collateral and will take such actions to preserve the Collateral as Agent may reasonably direct. All of Agent’s reasonable expenses of preserving the Collateral, including any expenses relating to the bonding of a custodian, shall be charged to Borrowers’ Account as a Revolving Advance maintained as a Domestic Rate Loan and added to the Obligations.</w:t>
      </w:r>
    </w:p>
    <w:p>
      <w:pPr>
        <w:spacing w:after="0" w:line="147"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Ownership and Location of Collateral</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left="9" w:firstLine="1053"/>
        <w:spacing w:after="0" w:line="235" w:lineRule="auto"/>
        <w:tabs>
          <w:tab w:leader="none" w:pos="1601"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Collateral, at the time the Collateral becomes subject to Agent’s security interest: (i) each Borrower shall be the sole owner of and fully authorized and able to sell, transfer, pledge and/or grant a first priority security interest in each and every item of its respective Collateral to Agent; and, except for Permitted Encumbrances the Collateral shall be free and clear of all Liens whatsoever; (ii) each document and agreement executed by each Borrower or delivered to Agent or any Lender in connection with such Collateral shall be true and correct in all material respects; (iii) all signatures and endorsements of each Borrower that appear on such documents and agreements shall be genuine and each Borrower shall have full capacity to execute same; and (iv) each Borrower’s equipment shall be located as set forth on Schedule 4.4, as such Schedule may be updated from time to time, and shall not be removed from such location(s) without the prior written consent of Agent except with respect to the sale or disposition of property in the Ordinary Course of Business and equipment to the extent permitted in Section 7.1(b) hereof.</w:t>
      </w:r>
    </w:p>
    <w:p>
      <w:pPr>
        <w:spacing w:after="0" w:line="144" w:lineRule="exact"/>
        <w:rPr>
          <w:rFonts w:ascii="Times New Roman" w:cs="Times New Roman" w:eastAsia="Times New Roman" w:hAnsi="Times New Roman"/>
          <w:sz w:val="18"/>
          <w:szCs w:val="18"/>
          <w:color w:val="auto"/>
        </w:rPr>
      </w:pPr>
    </w:p>
    <w:p>
      <w:pPr>
        <w:ind w:left="1589" w:hanging="527"/>
        <w:spacing w:after="0"/>
        <w:tabs>
          <w:tab w:leader="none" w:pos="1589"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is no location at which any Borrower has any Collateral other than those locations listed on Schedule 4.4;</w:t>
      </w:r>
    </w:p>
    <w:p>
      <w:pPr>
        <w:spacing w:after="0" w:line="12" w:lineRule="exact"/>
        <w:rPr>
          <w:rFonts w:ascii="Times New Roman" w:cs="Times New Roman" w:eastAsia="Times New Roman" w:hAnsi="Times New Roman"/>
          <w:sz w:val="18"/>
          <w:szCs w:val="18"/>
          <w:color w:val="auto"/>
        </w:rPr>
      </w:pPr>
    </w:p>
    <w:p>
      <w:pPr>
        <w:jc w:val="both"/>
        <w:ind w:left="9" w:hanging="9"/>
        <w:spacing w:after="0" w:line="234" w:lineRule="auto"/>
        <w:tabs>
          <w:tab w:leader="none" w:pos="27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4.4 hereto sets forth a correct and complete list as of the Closing Date of (A) each place of business of each Borrower and (B) the chief executive office of each Borrower; and (iii) Schedule 4.4 hereto sets forth a correct and complete list as of the Closing Date of the location, by state and street address, of all Real Property owned or leased by each Borrower, identifying which properties are owned and which are leased, together with the names and addresses of any landlords.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297" w:name="page298"/>
    <w:bookmarkEnd w:id="297"/>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Defense of Agent’s and Lenders’ Interests</w:t>
      </w:r>
      <w:r>
        <w:rPr>
          <w:rFonts w:ascii="Times New Roman" w:cs="Times New Roman" w:eastAsia="Times New Roman" w:hAnsi="Times New Roman"/>
          <w:sz w:val="18"/>
          <w:szCs w:val="18"/>
          <w:color w:val="auto"/>
        </w:rPr>
        <w:t>. Until (a) payment and performance in full of all of the Obligations and (b) termination of this Agreement, Agent’s interests in the Collateral shall continue in full force and effect. During such period no Borrower shall, without Agent’s prior written consent, pledge, sell (except for sales or other dispositions otherwise permitted in Section 7.1(b) hereof), assign, transfer, create or suffer to exist a Lien upon or encumber or allow or suffer to be encumbered in any way except for Permitted Encumbrances, any part of the Collateral. Each Borrower shall defend Agent’s interests in the Collateral against any and all Persons whatsoever. At any time following demand by Agent for payment of all Obligations, Agent shall have the right to take possession of the indicia of the Collateral and the Collateral in whatever physical form contained, including: labels, stationery, documents, instruments and advertising materials. If Agent exercises this right to take possession of the Collateral, Borrowers shall, upon demand, assemble it in the best manner possible and make it available to Agent at a place reasonably convenient to Agent. In addition, with respect to all Collateral, Agent and Lenders shall be entitled to all of the rights and remedies set forth herein and further provided by the Uniform Commercial Code or other Applicable Law. Each Borrower shall, and Agent may, at its option, instruct all suppliers, carriers, forwarders, warehousers or others receiving or holding cash, checks, Inventory, documents or instruments in which Agent holds a security interest to deliver same to Agent and/or subject to Agent’s order and if they shall come into any Borrower’s possession, they, and each of them, shall be held by such Borrower in trust as Agent’s trustee, and such Borrower will promptly deliver them to Agent in their original form together with any necessary endorsement.</w:t>
      </w:r>
    </w:p>
    <w:p>
      <w:pPr>
        <w:spacing w:after="0" w:line="148"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Inspection of Premises</w:t>
      </w:r>
      <w:r>
        <w:rPr>
          <w:rFonts w:ascii="Times New Roman" w:cs="Times New Roman" w:eastAsia="Times New Roman" w:hAnsi="Times New Roman"/>
          <w:sz w:val="18"/>
          <w:szCs w:val="18"/>
          <w:color w:val="auto"/>
        </w:rPr>
        <w:t xml:space="preserve">. Subject to Section 3.4(b), at such reasonable times and from time to time as Agent or any Lender may request, Agent and each Lender shall have the right to audit, check, inspect and make abstracts and copies from each Borrower’s books, records, audits, correspondence and all other papers relating to the Collateral and the operation of each Borrower’s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prior written notice of any such visit, inspection, or examination shall be provided to Borrower and such visit, inspection or examination shall be performed at reasonable times to be agreed to by Borrower, which agreement will not be unreasonably withheld. Agent, any Lender and their agents may enter upon any premises of any Borrower, subject to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for the purposes of such visits, inspection or examinations. If an Event of Default shall have occurred and be continuing, Agent, any Lender and their agents may enter upon any premises of any Borrower, at any time during business hours and at any other reasonable time, and from time to time as often as Agent shall elect in its sole discretion, for the purpose of inspecting the Collateral and any and all records pertaining thereto and the operation of such Borrower’s business.</w:t>
      </w:r>
    </w:p>
    <w:p>
      <w:pPr>
        <w:spacing w:after="0" w:line="150"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u w:val="single" w:color="auto"/>
          <w:color w:val="auto"/>
        </w:rPr>
        <w:t>Receivables; Deposit Accounts and Securities Accounts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8" w:lineRule="auto"/>
        <w:tabs>
          <w:tab w:leader="none" w:pos="159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Receivables shall be a bona fide and valid account representing a bona fide indebtedness incurred by the Customer therein named, for a fixed sum as set forth in the invoice relating thereto (provided immaterial or unintentional invoice errors shall not be deemed to be a breach hereof) with respect to an absolute sale or lease and delivery of goods upon stated terms of a Borrower, or work, labor or services theretofore rendered by a Borrower as of the date each Receivable is created. Same shall be due and owing in accordance with the applicable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98" w:name="page299"/>
    <w:bookmarkEnd w:id="298"/>
    <w:p>
      <w:pPr>
        <w:spacing w:after="0" w:line="258" w:lineRule="auto"/>
        <w:rPr>
          <w:sz w:val="20"/>
          <w:szCs w:val="20"/>
          <w:color w:val="auto"/>
        </w:rPr>
      </w:pPr>
      <w:r>
        <w:rPr>
          <w:rFonts w:ascii="Times New Roman" w:cs="Times New Roman" w:eastAsia="Times New Roman" w:hAnsi="Times New Roman"/>
          <w:sz w:val="18"/>
          <w:szCs w:val="18"/>
          <w:color w:val="auto"/>
        </w:rPr>
        <w:t>Borrower’s standard terms of sale without dispute, setoff or counterclaim except as may be stated on the accounts receivable schedules delivered by Borrowers to Agent.</w:t>
      </w:r>
    </w:p>
    <w:p>
      <w:pPr>
        <w:spacing w:after="0" w:line="129" w:lineRule="exact"/>
        <w:rPr>
          <w:sz w:val="20"/>
          <w:szCs w:val="20"/>
          <w:color w:val="auto"/>
        </w:rPr>
      </w:pPr>
    </w:p>
    <w:p>
      <w:pPr>
        <w:jc w:val="both"/>
        <w:ind w:firstLine="1053"/>
        <w:spacing w:after="0"/>
        <w:tabs>
          <w:tab w:leader="none" w:pos="159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Customer, to the best of each Borrower’s knowledge, as of the date each Receivable is created, is and will be solvent and able to pay all Receivables on which the Customer is obligated in full when due. With respect to such Customers of any Borrower who are not solvent, such Borrower has set up on its books and in its financial records bad debt reserves adequate to cover such Receivables.</w:t>
      </w:r>
    </w:p>
    <w:p>
      <w:pPr>
        <w:spacing w:after="0" w:line="145"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Borrower’s chief executive office is located as set forth on Schedule 4.4(b)(iii). Until written notice is given to Agent by Borrowing Agent of any other office at which any Borrower keeps its records pertaining to Receivables, all such records shall be kept at such executive office, with backup data storage maintained at Borrower’s places of business located at Hampton, VA and Pittsburg, PA, as set forth on Schedule 4.4.</w:t>
      </w:r>
    </w:p>
    <w:p>
      <w:pPr>
        <w:spacing w:after="0" w:line="145" w:lineRule="exact"/>
        <w:rPr>
          <w:rFonts w:ascii="Times New Roman" w:cs="Times New Roman" w:eastAsia="Times New Roman" w:hAnsi="Times New Roman"/>
          <w:sz w:val="18"/>
          <w:szCs w:val="18"/>
          <w:color w:val="auto"/>
        </w:rPr>
      </w:pPr>
    </w:p>
    <w:p>
      <w:pPr>
        <w:jc w:val="both"/>
        <w:ind w:firstLine="1053"/>
        <w:spacing w:after="0" w:line="234" w:lineRule="auto"/>
        <w:tabs>
          <w:tab w:leader="none" w:pos="159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shall instruct their Customers to deliver all remittances upon Receivables (whether paid by check or by wire transfer of funds) to such Blocked Account(s) and/or Depository Accounts (and any associated lockboxes) as Agent shall designate from time to time as contemplated by Section 4.8(h) or as otherwise agreed to from time to time by Agent. Notwithstanding the foregoing, to the extent any Borrower directly receives any remittances upon Receivables, such Borrower shall, at such Borrower’s sole cost and expense, but on Agent’s behalf and for Agent’s account, collect as Agent’s property and in trust for Agent all amounts received on Receivables, and shall not commingle such collections with any Borrower’s funds or use the same except to pay Obligations, and shall as soon as possible and in any event no later than one (1) Business Day after the receipt thereof (i) in the case of remittances paid by check, deposit all such remittances in their original form (after supplying any necessary endorsements) and (ii) in the case of remittances paid by wire transfer of funds, transfer all such remittances, in each case, into such Blocked Accounts(s) and/or Depository Account(s). Each Borrower shall deposit in the Blocked Account and/or Depository Account or, upon request by Agent, deliver to Agent, in original form and on the date of receipt thereof, all checks, drafts, notes, money orders, acceptances, cash and other evidences of Indebtedness.</w:t>
      </w:r>
    </w:p>
    <w:p>
      <w:pPr>
        <w:spacing w:after="0" w:line="147" w:lineRule="exact"/>
        <w:rPr>
          <w:rFonts w:ascii="Times New Roman" w:cs="Times New Roman" w:eastAsia="Times New Roman" w:hAnsi="Times New Roman"/>
          <w:sz w:val="18"/>
          <w:szCs w:val="18"/>
          <w:color w:val="auto"/>
        </w:rPr>
      </w:pPr>
    </w:p>
    <w:p>
      <w:pPr>
        <w:jc w:val="both"/>
        <w:ind w:firstLine="1053"/>
        <w:spacing w:after="0" w:line="237" w:lineRule="auto"/>
        <w:tabs>
          <w:tab w:leader="none" w:pos="159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occurrence of an Event of Default or a Default, or when Agent reasonably believes that proceeds of Collateral are being diverted, Agent shall have the right to send notice of the assignment of, and Agent’s security interest in and Lien on, the Receivables to any and all Customers or any third party holding or otherwise concerned with any of the Collateral. Thereafter, Agent shall have the sole right to collect the Receivables, take possession of the Collateral, or both. Agent’s actual collection expenses, including, but not limited to, stationery and postage, telephone, facsimile, telegraph, secretarial and clerical expenses and the salaries of any collection personnel used for collection, may be charged to Borrowers’ Account and added to the Obligations.</w:t>
      </w:r>
    </w:p>
    <w:p>
      <w:pPr>
        <w:spacing w:after="0" w:line="145"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the right to receive, endorse, assign and/or deliver in the name of Agent or any Borrower any and all checks, drafts and other instruments for the payment of money relating to the Receivables, and each Borrower hereby waives notice of presentment, protest and non-payment of any instrument so endorsed. Each Borrower hereby constitutes Agent or Agent’s designee as such Borrower’s attorney with power (i) at any time: (A) to endorse such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99" w:name="page300"/>
    <w:bookmarkEnd w:id="299"/>
    <w:p>
      <w:pPr>
        <w:jc w:val="both"/>
        <w:ind w:left="9"/>
        <w:spacing w:after="0" w:line="247" w:lineRule="auto"/>
        <w:rPr>
          <w:sz w:val="20"/>
          <w:szCs w:val="20"/>
          <w:color w:val="auto"/>
        </w:rPr>
      </w:pPr>
      <w:r>
        <w:rPr>
          <w:rFonts w:ascii="Times New Roman" w:cs="Times New Roman" w:eastAsia="Times New Roman" w:hAnsi="Times New Roman"/>
          <w:sz w:val="17"/>
          <w:szCs w:val="17"/>
          <w:color w:val="auto"/>
        </w:rPr>
        <w:t>Borrower’s name upon any notes, acceptances, checks, drafts, money orders or other evidences of payment or Collateral; (B) to sign such Borrower’s name on any invoice or bill of lading relating to any of the Receivables, drafts against Customers, assignments and verifications of Receivables; (C) to send verifications of Receivables to any Customer; (D) to sign such Borrower’s name on all financing statements or any other documents or instruments deemed necessary or appropriate by Agent to preserve, protect, or perfect Agent’s interest in the Collateral and to file same; and (E) to receive, open and dispose of all mail addressed to any Borrower at any post office box/lockbox maintained by Agent for Borrowers or at any other business premises of Agent; and (ii) at any time following the occurrence of a Default or an Event of Default: (A) to demand payment of the Receivables; (B) to enforce payment of the Receivables by legal proceedings or otherwise; (C) to exercise all of such Borrower’s rights and remedies with respect to the collection of the Receivables and any other Collateral; (D) to sue upon or otherwise collect, extend the time of payment of, settle, adjust, compromise, extend or renew the Receivables;</w:t>
      </w:r>
    </w:p>
    <w:p>
      <w:pPr>
        <w:spacing w:after="0" w:line="1" w:lineRule="exact"/>
        <w:rPr>
          <w:sz w:val="20"/>
          <w:szCs w:val="20"/>
          <w:color w:val="auto"/>
        </w:rPr>
      </w:pPr>
    </w:p>
    <w:p>
      <w:pPr>
        <w:jc w:val="both"/>
        <w:ind w:left="9" w:hanging="9"/>
        <w:spacing w:after="0" w:line="247" w:lineRule="auto"/>
        <w:tabs>
          <w:tab w:leader="none" w:pos="281"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settle, adjust or compromise any legal proceedings brought to collect Receivables; (F) to prepare, file and sign such Borrower’s name on a proof of claim in bankruptcy or similar document against any Customer; (G) to prepare, file and sign such Borrower’s name on any notice of Lien, assignment or satisfaction of Lien or similar document in connection with the Receivables; (H) to accept the return of goods represented by any of the Receivables; (I) to change the address for delivery of mail addressed to any Borrower to such address as Agent may designate; and (J) to do all other acts and things necessary to carry out this Agreement. All acts of said attorney or designee are hereby ratified and approved, and said attorney or designee shall not be liable for any acts of omission or commission nor for any error of judgment or mistake of fact or of law, unless done maliciously or with gross (not mere) negligence (as determined by a court of competent jurisdiction in a final non-appealable judgment); this power being coupled with an interest is irrevocable while any of the Obligations remain unpaid.</w:t>
      </w:r>
    </w:p>
    <w:p>
      <w:pPr>
        <w:spacing w:after="0" w:line="140" w:lineRule="exact"/>
        <w:rPr>
          <w:rFonts w:ascii="Times New Roman" w:cs="Times New Roman" w:eastAsia="Times New Roman" w:hAnsi="Times New Roman"/>
          <w:sz w:val="17"/>
          <w:szCs w:val="17"/>
          <w:color w:val="auto"/>
        </w:rPr>
      </w:pPr>
    </w:p>
    <w:p>
      <w:pPr>
        <w:jc w:val="both"/>
        <w:ind w:left="9" w:firstLine="1053"/>
        <w:spacing w:after="0" w:line="245" w:lineRule="auto"/>
        <w:tabs>
          <w:tab w:leader="none" w:pos="160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Agent nor any Lender shall, under any circumstances or in any event whatsoever, have any liability for any error or omission or delay of any kind occurring in the settlement, collection or payment of any of the Receivables or any instrument received in payment thereof, or for any damage resulting therefrom.</w:t>
      </w:r>
    </w:p>
    <w:p>
      <w:pPr>
        <w:spacing w:after="0" w:line="140" w:lineRule="exact"/>
        <w:rPr>
          <w:rFonts w:ascii="Times New Roman" w:cs="Times New Roman" w:eastAsia="Times New Roman" w:hAnsi="Times New Roman"/>
          <w:sz w:val="18"/>
          <w:szCs w:val="18"/>
          <w:color w:val="auto"/>
        </w:rPr>
      </w:pPr>
    </w:p>
    <w:p>
      <w:pPr>
        <w:jc w:val="both"/>
        <w:ind w:left="9" w:firstLine="1053"/>
        <w:spacing w:after="0" w:line="234" w:lineRule="auto"/>
        <w:tabs>
          <w:tab w:leader="none" w:pos="160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Collateral shall be deposited by Borrowers into either (i) a lockbox account, dominion account or such other “blocked account” (“Blocked Accounts”) established at a bank or banks (each such bank, a “Blocked Account Bank”) pursuant to an arrangement with such Blocked Account Bank as may be acceptable to Agent or (ii) depository accounts (“Depository Accounts”) established at Agent for the deposit of such proceeds. Each applicable Borrower, Agent and each Blocked Account Bank shall enter into a deposit account control agreement in form and substance satisfactory to Agent that is sufficient to give Agent “control” (for purposes of Articles 8 and 9 of the Uniform Commercial Code) over such accounts and which directs such Blocked Account Bank to transfer such funds so deposited on a daily basis or at other times acceptable to Agent to Agent, either to any account maintained by Agent at said Blocked Account Bank or by wire transfer to appropriate account(s) at Agent; provided, however, that Borrowers shall not be required to give “control” to Agent with respect to any Excluded Accounts. All funds deposited in such Blocked Accounts or Depository Accounts shall immediately become subject to the security interest of Agent for its own benefit and the ratable benefit of Issuer, Lenders and all other holders of the Obligations, and Borrowing Agent shall obtain the agreement by such Blocked Account Bank to waive any offset rights against the funds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00" w:name="page301"/>
    <w:bookmarkEnd w:id="300"/>
    <w:p>
      <w:pPr>
        <w:jc w:val="both"/>
        <w:spacing w:after="0" w:line="236" w:lineRule="auto"/>
        <w:rPr>
          <w:sz w:val="20"/>
          <w:szCs w:val="20"/>
          <w:color w:val="auto"/>
        </w:rPr>
      </w:pPr>
      <w:r>
        <w:rPr>
          <w:rFonts w:ascii="Times New Roman" w:cs="Times New Roman" w:eastAsia="Times New Roman" w:hAnsi="Times New Roman"/>
          <w:sz w:val="18"/>
          <w:szCs w:val="18"/>
          <w:color w:val="auto"/>
        </w:rPr>
        <w:t>so deposited. Neither Agent nor any Lender assumes any responsibility for such blocked account arrangement, including any claim of accord and satisfaction or release with respect to deposits accepted by any Blocked Account Bank thereunder. Upon the occurrence and during the continuance of any Springing Dominion Event, through and including the occurrence of any Springing Termination Event (Cash Dominion), Agent shall apply all funds received by it from the Blocked Accounts and/or Depository Accounts to the satisfaction of the Obligations (including the cash collateralization of the Letters of Credit) in such order as Agent shall determine in its sole discretion, provided that, in the absence of any Event of Default, Agent shall apply all such funds representing collection of Receivables first to the prepayment of the principal amount of the Swing Loans, if any, and then to the Revolving Advances.</w:t>
      </w:r>
    </w:p>
    <w:p>
      <w:pPr>
        <w:spacing w:after="0" w:line="145" w:lineRule="exact"/>
        <w:rPr>
          <w:sz w:val="20"/>
          <w:szCs w:val="20"/>
          <w:color w:val="auto"/>
        </w:rPr>
      </w:pPr>
    </w:p>
    <w:p>
      <w:pPr>
        <w:jc w:val="both"/>
        <w:ind w:firstLine="1053"/>
        <w:spacing w:after="0"/>
        <w:tabs>
          <w:tab w:leader="none" w:pos="159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without Agent’s consent, compromise or adjust any material amount of the Receivables (or extend the time for payment thereof) or accept any material returns of merchandise or grant any additional discounts, allowances or credits thereon except for those compromises, adjustments, returns, discounts, credits and allowances as have been heretofore customary in the Ordinary Course of Business of such Borrower.</w:t>
      </w:r>
    </w:p>
    <w:p>
      <w:pPr>
        <w:spacing w:after="0" w:line="145" w:lineRule="exact"/>
        <w:rPr>
          <w:rFonts w:ascii="Times New Roman" w:cs="Times New Roman" w:eastAsia="Times New Roman" w:hAnsi="Times New Roman"/>
          <w:sz w:val="18"/>
          <w:szCs w:val="18"/>
          <w:color w:val="auto"/>
        </w:rPr>
      </w:pPr>
    </w:p>
    <w:p>
      <w:pPr>
        <w:jc w:val="both"/>
        <w:ind w:firstLine="1053"/>
        <w:spacing w:after="0" w:line="236" w:lineRule="auto"/>
        <w:tabs>
          <w:tab w:leader="none" w:pos="159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 (including all Blocked Accounts and Depository Accounts), securities accounts and investment accounts of each Borrower and its Subsidiaries as of the Closing Date are set forth on Schedule 4.8(j). No Borrower shall open any new deposit account, securities account or investment account unless (i) Borrowers shall have given at least thirty (30) days prior written notice to Agent and (ii) if such account is to be maintained with a bank, depository institution or securities intermediary that is not the Agent, such bank, depository institution or securities intermediary, each applicable Borrower and Agent shall first have entered into an account control agreement in form and substance satisfactory to Agent sufficient to give Agent “control” (for purposes of Articles 8 and 9 of the Uniform Commercial Code) over such account.</w:t>
      </w:r>
    </w:p>
    <w:p>
      <w:pPr>
        <w:spacing w:after="0" w:line="146"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To the extent Inventory held for sale or lease has been produced by any Borrower, it has been and will be produced by such Borrower in accordance with the Federal Fair Labor Standards Act of 1938, as amended, and all rules, regulations and orders thereunder.</w:t>
      </w:r>
    </w:p>
    <w:p>
      <w:pPr>
        <w:spacing w:after="0" w:line="140"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Maintenance of Equipment</w:t>
      </w:r>
      <w:r>
        <w:rPr>
          <w:rFonts w:ascii="Times New Roman" w:cs="Times New Roman" w:eastAsia="Times New Roman" w:hAnsi="Times New Roman"/>
          <w:sz w:val="18"/>
          <w:szCs w:val="18"/>
          <w:color w:val="auto"/>
        </w:rPr>
        <w:t>. The equipment shall be maintained in good operating condition and repair (reasonable wear and tear excepted) and all necessary replacements of and repairs thereto shall be made so that the value and operating efficiency of the equipment shall be maintained and preserved. No Borrower shall use or operate the equipment in violation of any law, statute, ordinance, code, rule or regulation.</w:t>
      </w:r>
    </w:p>
    <w:p>
      <w:pPr>
        <w:spacing w:after="0" w:line="145" w:lineRule="exact"/>
        <w:rPr>
          <w:sz w:val="20"/>
          <w:szCs w:val="20"/>
          <w:color w:val="auto"/>
        </w:rPr>
      </w:pPr>
    </w:p>
    <w:p>
      <w:pPr>
        <w:jc w:val="both"/>
        <w:ind w:firstLine="531"/>
        <w:spacing w:after="0" w:line="237"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Exculpation of Liability</w:t>
      </w:r>
      <w:r>
        <w:rPr>
          <w:rFonts w:ascii="Times New Roman" w:cs="Times New Roman" w:eastAsia="Times New Roman" w:hAnsi="Times New Roman"/>
          <w:sz w:val="18"/>
          <w:szCs w:val="18"/>
          <w:color w:val="auto"/>
        </w:rPr>
        <w:t>. Nothing herein contained shall be construed to constitute Agent or any Lender as any Borrower’s agent for any purpose whatsoever, nor shall Agent or any Lender be responsible or liable for any shortage, discrepancy, damage, loss or destruction of any part of the Collateral wherever the same may be located and regardless of the cause thereof. Neither Agent nor any Lender, whether by anything herein or in any assignment or otherwise, assume any of any Borrower’s obligations under any contract or agreement assigned to Agent or such Lender, and neither Agent nor any Lender shall be responsible in any way for the performance by any Borrower of any of the terms and conditions thereof.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01" w:name="page302"/>
    <w:bookmarkEnd w:id="301"/>
    <w:p>
      <w:pPr>
        <w:jc w:val="both"/>
        <w:ind w:left="9" w:firstLine="531"/>
        <w:spacing w:after="0" w:line="258"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Financing Statements</w:t>
      </w:r>
      <w:r>
        <w:rPr>
          <w:rFonts w:ascii="Times New Roman" w:cs="Times New Roman" w:eastAsia="Times New Roman" w:hAnsi="Times New Roman"/>
          <w:sz w:val="17"/>
          <w:szCs w:val="17"/>
          <w:color w:val="auto"/>
        </w:rPr>
        <w:t>. Except as respects the financing statements filed by Agent, financing statements described on Schedule 1.2, and financing statements filed in connection with Permitted Encumbrances, Borrower shall not authorize any other financing statement covering any of the Collateral or any proceeds thereof to be on file in any public office (and to the extent any such financing statement is filed, Borrower will exercise commercially reasonable efforts to terminate or have terminated such financing statement.)</w:t>
      </w:r>
    </w:p>
    <w:p>
      <w:pPr>
        <w:spacing w:after="0" w:line="132" w:lineRule="exact"/>
        <w:rPr>
          <w:sz w:val="20"/>
          <w:szCs w:val="20"/>
          <w:color w:val="auto"/>
        </w:rPr>
      </w:pPr>
    </w:p>
    <w:p>
      <w:pPr>
        <w:ind w:left="529" w:right="5820" w:hanging="529"/>
        <w:spacing w:after="0" w:line="461" w:lineRule="auto"/>
        <w:tabs>
          <w:tab w:leader="none" w:pos="529"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REPRESENTATIONS AND WARRANTIES. Each Borrower represents and warrants as follows:</w:t>
      </w:r>
    </w:p>
    <w:p>
      <w:pPr>
        <w:spacing w:after="0" w:line="1" w:lineRule="exact"/>
        <w:rPr>
          <w:sz w:val="20"/>
          <w:szCs w:val="20"/>
          <w:color w:val="auto"/>
        </w:rPr>
      </w:pPr>
    </w:p>
    <w:p>
      <w:pPr>
        <w:jc w:val="both"/>
        <w:ind w:left="9" w:firstLine="531"/>
        <w:spacing w:after="0" w:line="23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Borrower has full power, authority and legal right to enter into this Agreement and the Other Documents to which it is a party and to perform all its respective Obligations hereunder and thereunder. This Agreement and the Other Documents to which it is a party have been duly executed and delivered by each Borrower, and this Agreement and the Other Documents to which it is a party constitute the legal, valid and binding obligation of such Borrower enforceable in accordance with their terms, except as such enforceability may be limited by any applicable bankruptcy, insolvency, moratorium or similar laws affecting creditors’ rights generally. The execution, delivery and performance of this Agreement and of the Other Documents to which it is a party (a) are within such Borrower’s corporate or company powers, as applicable, have been duly authorized by all necessary corporate or company action, as applicable, are not in contravention of law or the terms of such Borrower’s Organizational Documents or to the conduct of such Borrower’s business or of any Material Contract or undertaking to which such Borrower is a party or by which such Borrower is bound, (b) will not conflict with or violate any law or regulation, or any judgment, order or decree of any Governmental Body, (c) will not require the Consent of any Governmental Body, any party to a Material Contract or any other Person, except those Consents set forth on Schedule 5.1 hereto, all of which will have been duly obtained, made or compiled prior to the Closing Date and which are in full force and effect and (d) will not conflict with, nor result in any breach in any of the provisions of or constitute a default under or result in the creation of any Lien except Permitted Encumbrances upon any asset of such Borrower under the provisions of any agreement, instrument, or other document to which such Borrower is a party or by which it or its property is a party or by which it may be bound.</w:t>
      </w:r>
    </w:p>
    <w:p>
      <w:pPr>
        <w:spacing w:after="0" w:line="149"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Formation and Qualification</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left="9" w:firstLine="1053"/>
        <w:spacing w:after="0" w:line="238" w:lineRule="auto"/>
        <w:tabs>
          <w:tab w:leader="none" w:pos="160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is duly incorporated or formed, as applicable, and in good standing under the laws of the state listed on Schedule 5.2(a) and is qualified to do business and is in good standing in the states listed on Schedule 5.2(a) which constitute all states in which qualification and good standing are necessary for such Borrower to conduct its business and own its property and where the failure to so qualify could reasonably be expected to have a Material Adverse Effect on such Borrower. Each Borrower has delivered to Agent true and complete copies of its Organizational Documents and will promptly notify Agent of any amendment or changes thereto.</w:t>
      </w:r>
    </w:p>
    <w:p>
      <w:pPr>
        <w:spacing w:after="0" w:line="146" w:lineRule="exact"/>
        <w:rPr>
          <w:rFonts w:ascii="Times New Roman" w:cs="Times New Roman" w:eastAsia="Times New Roman" w:hAnsi="Times New Roman"/>
          <w:sz w:val="18"/>
          <w:szCs w:val="18"/>
          <w:color w:val="auto"/>
        </w:rPr>
      </w:pPr>
    </w:p>
    <w:p>
      <w:pPr>
        <w:ind w:left="1589" w:hanging="527"/>
        <w:spacing w:after="0"/>
        <w:tabs>
          <w:tab w:leader="none" w:pos="158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Subsidiaries of Holdings and each Borrower are listed on Schedule 5.2(b).</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02" w:name="page303"/>
    <w:bookmarkEnd w:id="302"/>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of such Borrower contained in this Agreement and the Other Documents to which it is a party shall be true at the time of such Borrower’s execution of this Agreement and the Other Documents to which it is a party, and shall survive the execution, delivery and acceptance thereof by the parties thereto and the closing of the transactions described therein or related thereto.</w:t>
      </w:r>
    </w:p>
    <w:p>
      <w:pPr>
        <w:spacing w:after="0" w:line="145"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Each Borrower’s federal tax identification number is set forth on Schedule 5.4. Each Borrower has filed all federal, state and local tax returns and other reports each is required by law to file and has paid all taxes, assessments, fees and other governmental charges that are due and payable, in each case, except as such filing or payment is being Properly Contested. The provision for taxes on the books of each Borrower is adequate for all years not closed by applicable statutes, and for its current fiscal year, and no Borrower has any knowledge of any deficiency or additional assessment in connection therewith not provided for on its books.</w:t>
      </w:r>
    </w:p>
    <w:p>
      <w:pPr>
        <w:spacing w:after="0" w:line="146"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6" w:lineRule="auto"/>
        <w:tabs>
          <w:tab w:leader="none" w:pos="159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balance sheet of Borrowers on a Consolidated Basis (the “Pro Forma Balance Sheet”) furnished to Agent on the Closing Date reflects the consummation of the transactions contemplated under this Agreement (collectively, the “Transactions”) and is accurate, complete and correct and fairly reflects the financial condition of Borrowers on a Consolidated Basis as of the Closing Date after giving effect to the Transactions, and has been prepared in accordance with IFRS, consistently applied. The Pro Forma Balance Sheet has been certified as accurate, complete and correct in all material respects by the President and Chief Financial Officer of Borrowing Agent. All financial statements referred to in this subsection 5.5(a), including the related schedules and notes thereto, have been prepared in accordance with IFRS, except as may be disclosed in such financial statements.</w:t>
      </w:r>
    </w:p>
    <w:p>
      <w:pPr>
        <w:spacing w:after="0" w:line="145" w:lineRule="exact"/>
        <w:rPr>
          <w:rFonts w:ascii="Times New Roman" w:cs="Times New Roman" w:eastAsia="Times New Roman" w:hAnsi="Times New Roman"/>
          <w:sz w:val="18"/>
          <w:szCs w:val="18"/>
          <w:color w:val="auto"/>
        </w:rPr>
      </w:pPr>
    </w:p>
    <w:p>
      <w:pPr>
        <w:jc w:val="both"/>
        <w:ind w:firstLine="1053"/>
        <w:spacing w:after="0" w:line="238" w:lineRule="auto"/>
        <w:tabs>
          <w:tab w:leader="none" w:pos="159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twelve-month cash flow and balance sheet projections of Borrowers on a Consolidated Basis, copies of which are annexed hereto as Exhibit 5.5(b) (the “Projections”) were prepared by the Controller of Borrowing Agent, are based on underlying assumptions which provide a reasonable basis for the projections contained therein and reflect Borrowers’ judgment based on present circumstances of the most likely set of conditions and course of action for the projected period. The cash flow Projections together with the Pro Forma Balance Sheet are referred to as the “Pro Forma Financial Statements”.</w:t>
      </w:r>
    </w:p>
    <w:p>
      <w:pPr>
        <w:spacing w:after="0" w:line="146" w:lineRule="exact"/>
        <w:rPr>
          <w:rFonts w:ascii="Times New Roman" w:cs="Times New Roman" w:eastAsia="Times New Roman" w:hAnsi="Times New Roman"/>
          <w:sz w:val="18"/>
          <w:szCs w:val="18"/>
          <w:color w:val="auto"/>
        </w:rPr>
      </w:pPr>
    </w:p>
    <w:p>
      <w:pPr>
        <w:jc w:val="both"/>
        <w:ind w:firstLine="1053"/>
        <w:spacing w:after="0" w:line="250" w:lineRule="auto"/>
        <w:tabs>
          <w:tab w:leader="none" w:pos="1593"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and consolidating balance sheets of Borrowers, and such other Persons described therein, as of June 30, 2013, and the related statements of income, changes in stockholder’s equity, and changes in cash flow for the period ended on such date, all accompanied by reports thereon containing opinions without qualification by independent certified public accountants, copies of which have been delivered to Agent, have been prepared in accordance with IFRS, consistently applied (except for changes in application to which such accountants concur and present fairly the financial position of Borrowers at such date and the results of their operations for such period. Since June 30, 2013 there has been no change in the condition, financial or otherwise, of Borrowers as shown on the consolidated balance sheet as of such date and no change in the aggregate value of machinery, equipment and Real Property owned by Borrowers, except changes in the Ordinary Course of Business, none of which individually or in the aggregate has been materially adverse.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03" w:name="page304"/>
    <w:bookmarkEnd w:id="303"/>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Entity Names</w:t>
      </w:r>
      <w:r>
        <w:rPr>
          <w:rFonts w:ascii="Times New Roman" w:cs="Times New Roman" w:eastAsia="Times New Roman" w:hAnsi="Times New Roman"/>
          <w:sz w:val="18"/>
          <w:szCs w:val="18"/>
          <w:color w:val="auto"/>
        </w:rPr>
        <w:t>. No Borrower has been known by any other company or corporate name, as applicable, in the past five (5) years and does not sell Inventory under any other name except as set forth on Schedule 5.6, nor has any Borrower been the surviving corporation or company, as applicable, of a merger or consolidation or acquired all or substantially all of the assets of any Person during the preceding five (5) years.</w:t>
      </w:r>
    </w:p>
    <w:p>
      <w:pPr>
        <w:spacing w:after="0" w:line="144"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O.S.H.A. Environmental Compliance; Flood Insurance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tabs>
          <w:tab w:leader="none" w:pos="159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is in material compliance with, and its facilities, business, assets, property, leaseholds, Real Property and equipment are in material compliance with the Federal Occupational Safety and Health Act, and Environmental Laws and there are no outstanding citations, notices or orders of non-compliance issued to any Borrower or relating to its business, assets, property, leaseholds or equipment under any such laws, rules or regulations.</w:t>
      </w:r>
    </w:p>
    <w:p>
      <w:pPr>
        <w:spacing w:after="0" w:line="145" w:lineRule="exact"/>
        <w:rPr>
          <w:rFonts w:ascii="Times New Roman" w:cs="Times New Roman" w:eastAsia="Times New Roman" w:hAnsi="Times New Roman"/>
          <w:sz w:val="18"/>
          <w:szCs w:val="18"/>
          <w:color w:val="auto"/>
        </w:rPr>
      </w:pPr>
    </w:p>
    <w:p>
      <w:pPr>
        <w:ind w:firstLine="1053"/>
        <w:spacing w:after="0" w:line="259" w:lineRule="auto"/>
        <w:tabs>
          <w:tab w:leader="none" w:pos="159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has been issued all required federal, state and local licenses, certificates or permits (collectively, “Approvals”) relating to all applicable Environmental Laws and all such Approvals are current and in full force and effect.</w:t>
      </w:r>
    </w:p>
    <w:p>
      <w:pPr>
        <w:spacing w:after="0" w:line="128" w:lineRule="exact"/>
        <w:rPr>
          <w:rFonts w:ascii="Times New Roman" w:cs="Times New Roman" w:eastAsia="Times New Roman" w:hAnsi="Times New Roman"/>
          <w:sz w:val="18"/>
          <w:szCs w:val="18"/>
          <w:color w:val="auto"/>
        </w:rPr>
      </w:pPr>
    </w:p>
    <w:p>
      <w:pPr>
        <w:jc w:val="both"/>
        <w:ind w:firstLine="1053"/>
        <w:spacing w:after="0" w:line="249" w:lineRule="auto"/>
        <w:tabs>
          <w:tab w:leader="none" w:pos="1593"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there have been no releases, spills, discharges, leaks or disposal (collectively referred to as “Releases”) of Hazardous Materials at, upon, under or migrating from or onto any Real Property owned, leased or occupied by any Borrower, except for those Releases which are in full compliance with Environmental Laws; (ii) there are no underground storage tanks or polychlorinated biphenyls on any Real Property owned, leased or occupied by any Borrower, except for such underground storage tanks or polychlorinated biphenyls that are present in compliance with Environmental Laws; (iii) the Real Property including any premises owned, leased or occupied by any Borrower has never been used by any Borrower to dispose of Hazardous Materials, except as authorized by Environmental Laws; and (iv) no Hazardous Materials are managed by any Borrower on any Real Property including any premises owned, leased or occupied by any Borrower, excepting such quantities as are managed in accordance with all applicable manufacturer’s instructions and compliance with Environmental Laws and as are necessary for the operation of the commercial business of any Borrower or of its tenants.</w:t>
      </w:r>
    </w:p>
    <w:p>
      <w:pPr>
        <w:spacing w:after="0" w:line="143" w:lineRule="exact"/>
        <w:rPr>
          <w:rFonts w:ascii="Times New Roman" w:cs="Times New Roman" w:eastAsia="Times New Roman" w:hAnsi="Times New Roman"/>
          <w:sz w:val="17"/>
          <w:szCs w:val="17"/>
          <w:color w:val="auto"/>
        </w:rPr>
      </w:pPr>
    </w:p>
    <w:p>
      <w:pPr>
        <w:jc w:val="both"/>
        <w:ind w:firstLine="1053"/>
        <w:spacing w:after="0" w:line="235" w:lineRule="auto"/>
        <w:tabs>
          <w:tab w:leader="none" w:pos="159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owned by Borrowers is insured pursuant to policies and other bonds which are valid and in full force and effect and which provide adequate coverage from reputable and financially sound insurers in amounts sufficient to insure the assets and risks of each such Borrower in accordance with prudent business practice in the industry of such Borrower. Each Borrower has taken all actions required under the Flood Laws and/or requested by Agent to assist in ensuring that each Lender is in compliance with the Flood Laws applicable to the Collateral, including, but not limited to, providing Agent with the address and/or GPS coordinates of each structure located upon any Real Property that will be subject to a mortgage in favor of Agent, for the benefit of Lenders, and, to the extent required, obtaining flood insurance for such property, structures and contents prior to such property, structures and contents becoming Collateral.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04" w:name="page305"/>
    <w:bookmarkEnd w:id="304"/>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Solvency; No Litigation, Violation, Indebtedness or Default; ERISA Compliance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1053"/>
        <w:spacing w:after="0"/>
        <w:tabs>
          <w:tab w:leader="none" w:pos="159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After giving effect to the Transactions, each Borrower will be solvent, able to pay its debts as they mature, will have capital sufficient to carry on its business and all businesses in which it is about to engage, (ii) as of the Closing Date, the fair present saleable value of its assets, calculated on a going concern basis, is in excess of the amount of its liabilities, and (iii) subsequent to the Closing Date, the fair saleable value of its assets (calculated on a going concern basis) will be in excess of the amount of its liabilities.</w:t>
      </w:r>
    </w:p>
    <w:p>
      <w:pPr>
        <w:spacing w:after="0" w:line="145" w:lineRule="exact"/>
        <w:rPr>
          <w:rFonts w:ascii="Times New Roman" w:cs="Times New Roman" w:eastAsia="Times New Roman" w:hAnsi="Times New Roman"/>
          <w:sz w:val="18"/>
          <w:szCs w:val="18"/>
          <w:color w:val="auto"/>
        </w:rPr>
      </w:pPr>
    </w:p>
    <w:p>
      <w:pPr>
        <w:jc w:val="both"/>
        <w:ind w:right="20" w:firstLine="1053"/>
        <w:spacing w:after="0" w:line="245" w:lineRule="auto"/>
        <w:tabs>
          <w:tab w:leader="none" w:pos="159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5.8(b)(i), no Borrower has any pending or threatened litigation, arbitration, actions or proceedings. No Borrower has any outstanding Indebtedness other than the Obligations, except for (i) Indebtedness disclosed in Schedule 5.8(b)(ii) and (ii) Indebtedness otherwise permitted under Section 7.8 hereof.</w:t>
      </w:r>
    </w:p>
    <w:p>
      <w:pPr>
        <w:spacing w:after="0" w:line="140"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is in violation of any applicable statute, law, rule, regulation or ordinance in any respect which could reasonably be expected to have a Material Adverse Effect, nor is any Borrower in violation of any order of any court, Governmental Body or arbitration board or tribunal. Each Plan is in compliance in all material respects with the applicable provisions of ERISA, the Code and other federal or state laws.</w:t>
      </w:r>
    </w:p>
    <w:p>
      <w:pPr>
        <w:spacing w:after="0" w:line="145" w:lineRule="exact"/>
        <w:rPr>
          <w:rFonts w:ascii="Times New Roman" w:cs="Times New Roman" w:eastAsia="Times New Roman" w:hAnsi="Times New Roman"/>
          <w:sz w:val="18"/>
          <w:szCs w:val="18"/>
          <w:color w:val="auto"/>
        </w:rPr>
      </w:pPr>
    </w:p>
    <w:p>
      <w:pPr>
        <w:jc w:val="both"/>
        <w:ind w:firstLine="1053"/>
        <w:spacing w:after="0" w:line="246" w:lineRule="auto"/>
        <w:tabs>
          <w:tab w:leader="none" w:pos="1593"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Borrower or any member of the Controlled Group maintains or is required to contribute to any Plan other than those listed on Schedule 5.8(d) hereto. (i) Each Borrower and each member of the Controlled Group has met all applicable minimum funding requirements under Section 302 of ERISA and Section 412 of the Code in respect of each Plan, and each Plan is in compliance with Sections 412, 430 and 436 of the Code and Sections 206(g), 302 and 303 of ERISA, without regard to waivers and variances; (ii) each Plan which is intended to be a qualified plan under Section 401(a) of the Code as currently in effect has been determined by the Internal Revenue Service to be qualified under Section 401(a) of the Code and the trust related thereto is exempt from federal income tax under Section 501(a) of the Code or an application for such a determination is currently being processed by the Internal Revenue Code; (iii) neither any Borrower nor any member of the Controlled Group has incurred any liability to the PBGC other than for the payment of premiums, and there are no premium payments which have become due which are unpaid; (iv) no Plan has been terminated by the plan administrator thereof nor by the PBGC, and there is no occurrence which would cause the PBGC to institute proceedings under Title IV of ERISA to terminate any Plan; (v) the current value of the assets of each Plan exceeds the present value of the accrued benefits and other liabilities of such Plan and neither any Borrower nor any member of the Controlled Group knows of any facts or circumstances which would materially change the value of such assets and accrued benefits and other liabilities; (vi) neither any Borrower nor any member of the Controlled Group has breached any of the responsibilities, obligations or duties imposed on it by ERISA with respect to any Plan; (vii) neither any Borrower nor any member of a Controlled Group has incurred any liability for any excise tax arising under Section 4971, 4972 or 4980B of the Code, and no fact exists which could give rise to any such liability; (viii) neither any Borrower nor any member of the Controlled Group nor any fiduciary of, nor any trustee to, any Plan, has engaged in a “prohibited transaction” described in Section 406 of the ERISA or Section 4975 of the Code nor taken any action which would constitute or result in a Termination Event with respect to any such Plan which is subject to ERISA; (ix) no Termination Event has occurred or is reasonably expected to occur; (x) there exists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05" w:name="page306"/>
    <w:bookmarkEnd w:id="305"/>
    <w:p>
      <w:pPr>
        <w:jc w:val="both"/>
        <w:spacing w:after="0" w:line="234" w:lineRule="auto"/>
        <w:rPr>
          <w:sz w:val="20"/>
          <w:szCs w:val="20"/>
          <w:color w:val="auto"/>
        </w:rPr>
      </w:pPr>
      <w:r>
        <w:rPr>
          <w:rFonts w:ascii="Times New Roman" w:cs="Times New Roman" w:eastAsia="Times New Roman" w:hAnsi="Times New Roman"/>
          <w:sz w:val="18"/>
          <w:szCs w:val="18"/>
          <w:color w:val="auto"/>
        </w:rPr>
        <w:t>no event described in Section 4043 of ERISA, for which the thirty (30) day notice period has not been waived; (xi) neither any Borrower nor any member of the Controlled Group has engaged in a transaction that could be subject to Section 4069 or 4212(c) of ERISA; (xii) neither any Borrower nor any member of the Controlled Group maintains or is required to contribute to any Plan which provides health, accident or life insurance benefits to former employees, their spouses or dependents, other than in accordance with Section 4980B of the Code; (xiii) neither any Borrower nor any member of the Controlled Group has withdrawn, completely or partially, within the meaning of Section 4203 or 4205 of ERISA, from any Multiemployer Plan so as to incur liability under the Multiemployer Pension Plan Amendments Act of 1980 and there exists no fact which would reasonably be expected to result in any such liability; and (xiv) no Plan fiduciary (as defined in Section 3(21) of ERISA) has any liability for breach of fiduciary duty or for any failure in connection with the administration or investment of the assets of a Plan.</w:t>
      </w:r>
    </w:p>
    <w:p>
      <w:pPr>
        <w:spacing w:after="0" w:line="152"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Patents, Trademarks, Copyrights and Licenses</w:t>
      </w:r>
      <w:r>
        <w:rPr>
          <w:rFonts w:ascii="Times New Roman" w:cs="Times New Roman" w:eastAsia="Times New Roman" w:hAnsi="Times New Roman"/>
          <w:sz w:val="18"/>
          <w:szCs w:val="18"/>
          <w:color w:val="auto"/>
        </w:rPr>
        <w:t>. All Intellectual Property owned by any Borrower: (i) is set forth on Schedule 5.9; (ii) is valid and has been duly registered or filed with all appropriate Governmental Bodies; and (iii) constitutes all of the intellectual property rights which are necessary for the operation of its business. There is no objection to, pending challenge to the validity of, or proceeding by any Governmental Body to suspend, revoke, terminate or adversely modify, any such Intellectual Property and no Borrower is aware of any grounds for any challenge or proceedings, except as set forth in Schedule 5.9 hereto. All Intellectual Property owned or held by any Borrower consists of original material or property developed by such Borrower or was lawfully acquired by such Borrower from the proper and lawful owner thereof. Each of such items has been maintained so as to preserve the value thereof from the date of creation or acquisition thereof.</w:t>
      </w:r>
    </w:p>
    <w:p>
      <w:pPr>
        <w:spacing w:after="0" w:line="148"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Except as set forth in Schedule 5.10, each Borrower (a) is in compliance with and (b) has procured and is now in possession of, all material licenses or permits required by any applicable federal, state, or local law, rule or regulation for the operation of its business in each jurisdiction wherein it is now conducting or proposes to conduct business and where the failure to procure such licenses or permits could reasonably be expected to have a Material Adverse Effect.</w:t>
      </w:r>
    </w:p>
    <w:p>
      <w:pPr>
        <w:spacing w:after="0" w:line="145"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Default of Indebtedness</w:t>
      </w:r>
      <w:r>
        <w:rPr>
          <w:rFonts w:ascii="Times New Roman" w:cs="Times New Roman" w:eastAsia="Times New Roman" w:hAnsi="Times New Roman"/>
          <w:sz w:val="18"/>
          <w:szCs w:val="18"/>
          <w:color w:val="auto"/>
        </w:rPr>
        <w:t>. No Borrower is in default in the payment of the principal of or interest on any Indebtedness or under any instrument or agreement under or subject to which any Indebtedness has been issued and no event has occurred under the provisions of any such instrument or agreement which with or without the lapse of time or the giving of notice, or both, constitutes or would constitute an event of default thereunder.</w:t>
      </w:r>
    </w:p>
    <w:p>
      <w:pPr>
        <w:spacing w:after="0" w:line="145"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Borrower is in default in the payment or performance of any of its contractual obligations and no Default or Event of Default has occurred.</w:t>
      </w:r>
    </w:p>
    <w:p>
      <w:pPr>
        <w:spacing w:after="0" w:line="128"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 Burdensome Restrictions</w:t>
      </w:r>
      <w:r>
        <w:rPr>
          <w:rFonts w:ascii="Times New Roman" w:cs="Times New Roman" w:eastAsia="Times New Roman" w:hAnsi="Times New Roman"/>
          <w:sz w:val="18"/>
          <w:szCs w:val="18"/>
          <w:color w:val="auto"/>
        </w:rPr>
        <w:t>. No Borrower is party to any contract or agreement the performance of which could reasonably be expected to have a Material Adverse Effect. Each Borrower has heretofore delivered to Agent true and complete copies of all Material Contracts to which it is a party or to which it or any of its properties is subject. No Borrower has agreed or consented to cause or permit in the future (upon the happening of a contingency or otherwise) 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color w:val="auto"/>
        </w:rPr>
        <w:t>of its property, whether now owned or hereafter acquired, to be subject to a Lien which is not a Permitted Encumbrance.</w:t>
      </w:r>
    </w:p>
    <w:p>
      <w:pPr>
        <w:spacing w:after="0" w:line="168"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Borrower is involved in any labor dispute; there are no strikes or walkouts or union organization of any Borrower’s employees threatened or in existence and no labor contract is scheduled to expire during the Term other than as set forth on Schedule 5.14 hereto.</w:t>
      </w:r>
    </w:p>
    <w:p>
      <w:pPr>
        <w:spacing w:after="0" w:line="140"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Borrower is engaged, nor will it engage, principally or as one of its important activities, in the business of extending credit for the purpose of “purchasing” or “carrying” any “margin stock” within the respective meanings of each of the quoted terms under Regulation U of the Board of Governors of the Federal Reserve System as now and from time to time hereafter in effect. No part of the proceeds of any Advance will be used for “purchasing” or “carrying” “margin stock” as defined in Regulation U of such Board of Governors.</w:t>
      </w:r>
    </w:p>
    <w:p>
      <w:pPr>
        <w:spacing w:after="0" w:line="146"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Borrower is an “investment company” registered or required to be registered under the Investment Company Act of 1940, as amended, nor is it controlled by such a company.</w:t>
      </w:r>
    </w:p>
    <w:p>
      <w:pPr>
        <w:spacing w:after="0" w:line="128" w:lineRule="exact"/>
        <w:rPr>
          <w:sz w:val="20"/>
          <w:szCs w:val="20"/>
          <w:color w:val="auto"/>
        </w:rPr>
      </w:pPr>
    </w:p>
    <w:p>
      <w:pPr>
        <w:jc w:val="both"/>
        <w:ind w:firstLine="531"/>
        <w:spacing w:after="0" w:line="255"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No representation or warranty made by any Borrower in this Agreement, the Other Documents, or in any financial statement, report, certificate or any other document furnished in connection herewith or therewith contains any untrue statement of a material fact or omits to state any material fact necessary to make the statements herein or therein not misleading. There is no fact known to any Borrower or which reasonably should be known to such Borrower which such Borrower has not disclosed to Agent in writing with respect to the transactions contemplated by this Agreement which could reasonably be expected to have a Material Adverse Effect.</w:t>
      </w:r>
    </w:p>
    <w:p>
      <w:pPr>
        <w:spacing w:after="0" w:line="134"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Delivery of Royalty Agreements</w:t>
      </w:r>
      <w:r>
        <w:rPr>
          <w:rFonts w:ascii="Times New Roman" w:cs="Times New Roman" w:eastAsia="Times New Roman" w:hAnsi="Times New Roman"/>
          <w:sz w:val="18"/>
          <w:szCs w:val="18"/>
          <w:color w:val="auto"/>
        </w:rPr>
        <w:t>. Agent has received complete copies of the Royalty Agreements and related documents (including all exhibits, schedules and disclosure letters referred to therein or delivered pursuant thereto, if any) and all amendments thereto, waivers relating thereto and other side letters or agreements affecting the terms thereof. None of such documents and agreements has been amended or supplemented, nor have any of the provisions thereof been waived, except pursuant to a written agreement or instrument which has heretofore been delivered to Agent.</w:t>
      </w:r>
    </w:p>
    <w:p>
      <w:pPr>
        <w:spacing w:after="0" w:line="146"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Swaps</w:t>
      </w:r>
      <w:r>
        <w:rPr>
          <w:rFonts w:ascii="Times New Roman" w:cs="Times New Roman" w:eastAsia="Times New Roman" w:hAnsi="Times New Roman"/>
          <w:sz w:val="18"/>
          <w:szCs w:val="18"/>
          <w:color w:val="auto"/>
        </w:rPr>
        <w:t>. No Borrower is a party to, nor will it be a party to, any swap agreement whereby such Borrower has agreed or will agree to swap interest rates or currencies unless same provides that damages upon termination following an event of default thereunder are payable on an unlimited “two-way basis” without regard to fault on the part of either party.</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Business and Property of Borrowers</w:t>
      </w:r>
      <w:r>
        <w:rPr>
          <w:rFonts w:ascii="Times New Roman" w:cs="Times New Roman" w:eastAsia="Times New Roman" w:hAnsi="Times New Roman"/>
          <w:sz w:val="18"/>
          <w:szCs w:val="18"/>
          <w:color w:val="auto"/>
        </w:rPr>
        <w:t>. Upon and after the Closing Date, Borrowers do not propose to engage in any business other than business process outsourcing and activities necessary to conduct the foregoing. On the Closing Date, each Borrower will own all the property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color w:val="auto"/>
        </w:rPr>
        <w:t>and possess all of the rights and Consents necessary for the conduct of the business of such Borrower.</w:t>
      </w:r>
    </w:p>
    <w:p>
      <w:pPr>
        <w:spacing w:after="0" w:line="168"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Ineligible Securities</w:t>
      </w:r>
      <w:r>
        <w:rPr>
          <w:rFonts w:ascii="Times New Roman" w:cs="Times New Roman" w:eastAsia="Times New Roman" w:hAnsi="Times New Roman"/>
          <w:sz w:val="18"/>
          <w:szCs w:val="18"/>
          <w:color w:val="auto"/>
        </w:rPr>
        <w:t>. Borrowers do not intend to use and shall not use any portion of the proceeds of the Advances, directly or indirectly, to purchase during the underwriting period, or for 30 days thereafter, Ineligible Securities being underwritten by a securities Affiliate of Agent or any Lender.</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No Borrower, Holdings, or any of their Subsidiaries (i) is required to file periodic reports under the Exchange Act, (ii) has any securities registered under the Exchange Act or (iii) has filed a registration statement that has not yet become effective under the Securities Act.</w:t>
      </w:r>
    </w:p>
    <w:p>
      <w:pPr>
        <w:spacing w:after="0" w:line="140"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The authorized and outstanding Equity Interests of each Borrower, and each legal and beneficial holder thereof as of the Closing Date, are as set forth on Schedule 5.24(a) hereto. All of the Equity Interests of each Borrower have been duly and validly authorized and issued and are fully paid and non-assessable and have been sold and delivered to the holders hereof in compliance with, or under valid exemption from, all federal and state laws and the rules and regulations of each Governmental Body governing the sale and delivery of securities. Except for the rights and obligations set forth on Schedule 5.24(b), there are no subscriptions, warrants, options, calls, commitments, rights or agreement by which any Borrower or any of the shareholders of any Borrower is bound relating to the issuance, transfer, voting or redemption of shares of its Equity Interests or any pre-emptive rights held by any Person with respect to the Equity Interests of Borrowers. Except as set forth on Schedule 5.24(c), Borrowers have not issued any securities convertible into or exchangeable for shares of its Equity Interests or any options, warrants or other rights to acquire such shares or securities convertible into or exchangeable for such shares.</w:t>
      </w:r>
    </w:p>
    <w:p>
      <w:pPr>
        <w:spacing w:after="0" w:line="150"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5.25.</w:t>
      </w:r>
      <w:r>
        <w:rPr>
          <w:sz w:val="20"/>
          <w:szCs w:val="20"/>
          <w:color w:val="auto"/>
        </w:rPr>
        <w:tab/>
      </w:r>
      <w:r>
        <w:rPr>
          <w:rFonts w:ascii="Times New Roman" w:cs="Times New Roman" w:eastAsia="Times New Roman" w:hAnsi="Times New Roman"/>
          <w:sz w:val="17"/>
          <w:szCs w:val="17"/>
          <w:u w:val="single" w:color="auto"/>
          <w:color w:val="auto"/>
        </w:rPr>
        <w:t>Commercial Tort Claims</w:t>
      </w:r>
      <w:r>
        <w:rPr>
          <w:rFonts w:ascii="Times New Roman" w:cs="Times New Roman" w:eastAsia="Times New Roman" w:hAnsi="Times New Roman"/>
          <w:sz w:val="17"/>
          <w:szCs w:val="17"/>
          <w:color w:val="auto"/>
        </w:rPr>
        <w:t>. No Borrower has any commercial tort claims.</w:t>
      </w:r>
    </w:p>
    <w:p>
      <w:pPr>
        <w:spacing w:after="0" w:line="16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5.26.</w:t>
      </w:r>
      <w:r>
        <w:rPr>
          <w:sz w:val="20"/>
          <w:szCs w:val="20"/>
          <w:color w:val="auto"/>
        </w:rPr>
        <w:tab/>
      </w:r>
      <w:r>
        <w:rPr>
          <w:rFonts w:ascii="Times New Roman" w:cs="Times New Roman" w:eastAsia="Times New Roman" w:hAnsi="Times New Roman"/>
          <w:sz w:val="17"/>
          <w:szCs w:val="17"/>
          <w:u w:val="single" w:color="auto"/>
          <w:color w:val="auto"/>
        </w:rPr>
        <w:t>Letter of Credit Rights</w:t>
      </w:r>
      <w:r>
        <w:rPr>
          <w:rFonts w:ascii="Times New Roman" w:cs="Times New Roman" w:eastAsia="Times New Roman" w:hAnsi="Times New Roman"/>
          <w:sz w:val="17"/>
          <w:szCs w:val="17"/>
          <w:color w:val="auto"/>
        </w:rPr>
        <w:t>. As of the Closing Date, no Borrower has any letter of credit rights.</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Schedule 5.27 sets forth all Material Contracts of the Borrowers as of the Closing Date. All Material Contracts are in full force and effect and no material defaults currently exist thereunder. No Borrower has (i) received any notice of termination or non-renewal of any Material Contract, or (ii) exercised any option to terminate or not to renew any Material Contract.</w:t>
      </w:r>
    </w:p>
    <w:p>
      <w:pPr>
        <w:spacing w:after="0" w:line="14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color w:val="auto"/>
        </w:rPr>
        <w:t>AFFIRMATIVE COVENANTS.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Borrower shall, until payment in full of the Obligations and termination of this Agreement:</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Comply in all material respects with all Applicable Laws with respect to the Collateral or any part thereof or to the operation of such Borrower’s business the non-compliance with which could reasonably be expected to have a Material Adverse Effect (except to the extent any separate provision of this Agreement shall expressly require compliance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08" w:name="page309"/>
    <w:bookmarkEnd w:id="308"/>
    <w:p>
      <w:pPr>
        <w:jc w:val="both"/>
        <w:spacing w:after="0" w:line="244" w:lineRule="auto"/>
        <w:rPr>
          <w:sz w:val="20"/>
          <w:szCs w:val="20"/>
          <w:color w:val="auto"/>
        </w:rPr>
      </w:pPr>
      <w:r>
        <w:rPr>
          <w:rFonts w:ascii="Times New Roman" w:cs="Times New Roman" w:eastAsia="Times New Roman" w:hAnsi="Times New Roman"/>
          <w:sz w:val="18"/>
          <w:szCs w:val="18"/>
          <w:color w:val="auto"/>
        </w:rPr>
        <w:t>with any particular Applicable Law(s) pursuant to another standard). Each Borrower may, however, contest or dispute any Applicable Laws in any reasonable manner, provided that any related Lien is inchoate or stayed and sufficient reserves are established to the reasonable satisfaction of Agent to protect Agent’s Lien on or security interest in the Collateral.</w:t>
      </w:r>
    </w:p>
    <w:p>
      <w:pPr>
        <w:spacing w:after="0" w:line="142"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Conduct of Business and Maintenance of Existence and Assets</w:t>
      </w:r>
      <w:r>
        <w:rPr>
          <w:rFonts w:ascii="Times New Roman" w:cs="Times New Roman" w:eastAsia="Times New Roman" w:hAnsi="Times New Roman"/>
          <w:sz w:val="18"/>
          <w:szCs w:val="18"/>
          <w:color w:val="auto"/>
        </w:rPr>
        <w:t>. (a) Conduct continuously and operate actively its business according to good business practices and maintain all of its properties useful or necessary in its business in good working order and condition (reasonable wear and tear excepted and except as may be disposed of in accordance with the terms of this Agreement), including all Intellectual Property and take all actions necessary to enforce and protect the validity of any intellectual property right or other right included in the Collateral; (b) keep in full force and effect its existence and comply in all material respects with the laws and regulations governing the conduct of its business where the failure to do so could reasonably be expected to have a Material Adverse Effect; and (c) make all such reports and pay all such franchise and other taxes and license fees and do all such other acts and things as may be lawfully required to maintain its rights, licenses, leases, powers and franchises under the laws of the United States or any political subdivision thereof where the failure to do so could reasonably be expected to have a Material Adverse Effect.</w:t>
      </w:r>
    </w:p>
    <w:p>
      <w:pPr>
        <w:spacing w:after="0" w:line="145"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Keep proper books of record and account in which full, true and correct entries will be made of all dealings or transactions of or in relation to its business and affairs (including without limitation accruals for taxes, assessments, Charges, levies and claims, allowances against doubtful Receivables and accruals for depreciation, obsolescence or amortization of assets), all in accordance with, or as required by, IFRS consistently applied in the opinion of such independent public accountant as shall then be regularly engaged by Borrowers.</w:t>
      </w:r>
    </w:p>
    <w:p>
      <w:pPr>
        <w:spacing w:after="0" w:line="146"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when due (unless Property Contested), all taxes, assessments and other Charges lawfully levied or assessed upon such Borrower or any of the Collateral, including real and personal property taxes, assessments and charges and all franchise, income, employment, social security benefits, withholding, and sales taxes. If any tax by any Governmental Body is or may be imposed on or as a result of any transaction between any Borrower and Agent or any Lender which Agent or any Lender may be required to withhold or pay or if any taxes, assessments, or other Charges remain unpaid after the date fixed for their payment, or if any claim shall be made which, in Agent’s or any Lender’s opinion, may possibly create a valid Lien on the Collateral, Agent may without notice to Borrowers pay the taxes, assessments or other Charges and each Borrower hereby indemnifies and holds Agent and each Lender harmless in respect thereof. Agent will not pay any taxes, assessments or Charges to the extent that any applicable Borrower has Properly Contested those taxes, assessments or Charges. The amount of any payment by Agent under this Section 6.4 shall be charged to Borrowers’ Account as a Revolving Advance maintained as a Domestic Rate Loan and added to the Obligations and, until Borrowers shall furnish Agent with an indemnity therefor (or supply Agent with evidence satisfactory to Agent that due provision for the payment thereof has been made), Agent may hold without interest any balance standing to Borrowers’ credit and Agent shall retain its security interest in and Lien on any and all Collateral held by Agent.</w:t>
      </w:r>
    </w:p>
    <w:p>
      <w:pPr>
        <w:spacing w:after="0" w:line="153"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Upon the occurrence of any Springing Covenant Event and until the occurrence of a Springing Termination Event, cause to be maintained as of the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09" w:name="page310"/>
    <w:bookmarkEnd w:id="309"/>
    <w:p>
      <w:pPr>
        <w:jc w:val="both"/>
        <w:spacing w:after="0" w:line="244" w:lineRule="auto"/>
        <w:rPr>
          <w:sz w:val="20"/>
          <w:szCs w:val="20"/>
          <w:color w:val="auto"/>
        </w:rPr>
      </w:pPr>
      <w:r>
        <w:rPr>
          <w:rFonts w:ascii="Times New Roman" w:cs="Times New Roman" w:eastAsia="Times New Roman" w:hAnsi="Times New Roman"/>
          <w:sz w:val="18"/>
          <w:szCs w:val="18"/>
          <w:color w:val="auto"/>
        </w:rPr>
        <w:t>end of each fiscal quarter, a Fixed Charge Coverage Ratio of not less than 1.00 to 1.00, measured on a rolling four (4) quarter basis, except as set forth below. For the avoidance of doubt, upon the occurrence of a Springing Covenant Event, the Fixed Charge Coverage Ratio shall be tested for the immediately preceding fiscal quarter.</w:t>
      </w:r>
    </w:p>
    <w:p>
      <w:pPr>
        <w:spacing w:after="0" w:line="142"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47" w:lineRule="auto"/>
        <w:tabs>
          <w:tab w:leader="none" w:pos="159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Keep all its insurable properties and properties in which such Borrower has an interest insured against the hazards of fire, flood, sprinkler leakage, those hazards covered by extended coverage insurance and such other hazards, and for such amounts, as is customary in the case of companies engaged in businesses similar to such Borrower’s including business interruption insurance; (ii) maintain a bond in such amounts as is customary in the case of companies engaged in businesses similar to such Borrower insuring against larceny, embezzlement or other criminal misappropriation of insured’s officers and employees who may either singly or jointly with others at any time have access to the assets or funds of such Borrower either directly or through authority to draw upon such funds or to direct generally the disposition of such assets; (iii) maintain public and product liability insurance against claims for personal injury, death or property damage suffered by others; (iv) maintain all such worker’s compensation or similar insurance as may be required under the laws of any state or jurisdiction in which such Borrower is engaged in business; (v) furnish Agent with (A) copies of all policies and evidence of the maintenance of such policies by the renewal thereof at least ten (10) days before any expiration date, and (B) appropriate loss payable endorsements in form and substance satisfactory to Agent, naming Agent as an additional insured and mortgagee and/or lender loss payee (as applicable) as its interests may appear with respect to all insurance coverage referred to in clauses (i), and (iii) above, and providing (I) that all proceeds thereunder shall be payable to Agent, (II) no such insurance shall be affected by any act or neglect of the insured or owner of the property described in such policy, and (III) that such policy and loss payable clauses may not be cancelled, amended or terminated unless at least ten (10) days prior written notice is given to Agent. In the event of any loss thereunder, the carriers named therein hereby are directed by Agent and the applicable Borrower to make payment for such loss to Agent and not to such Borrower and Agent jointly. If any insurance losses are paid by check, draft or other instrument payable to any Borrower and Agent jointly, Agent may endorse such Borrower’s name thereon and do such other things as Agent may deem advisable to reduce the same to cash.</w:t>
      </w:r>
    </w:p>
    <w:p>
      <w:pPr>
        <w:spacing w:after="0" w:line="139" w:lineRule="exact"/>
        <w:rPr>
          <w:rFonts w:ascii="Times New Roman" w:cs="Times New Roman" w:eastAsia="Times New Roman" w:hAnsi="Times New Roman"/>
          <w:sz w:val="17"/>
          <w:szCs w:val="17"/>
          <w:color w:val="auto"/>
        </w:rPr>
      </w:pPr>
    </w:p>
    <w:p>
      <w:pPr>
        <w:jc w:val="both"/>
        <w:ind w:firstLine="1053"/>
        <w:spacing w:after="0" w:line="237" w:lineRule="auto"/>
        <w:tabs>
          <w:tab w:leader="none" w:pos="159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take all actions required under the Flood Laws and/or requested by Agent to assist in ensuring that each Lender is in compliance with the Flood Laws applicable to the Collateral, including, but not limited to, providing Agent with the address and/or GPS coordinates of each structure on any real property that will be subject to a mortgage in favor of Agent, for the benefit of Lenders, and, to the extent required, obtaining flood insurance for such property, structures and contents prior to such property, structures and contents becoming Collateral, and thereafter maintaining such flood insurance in full force and effect for so long as required by the Flood Laws.</w:t>
      </w:r>
    </w:p>
    <w:p>
      <w:pPr>
        <w:spacing w:after="0" w:line="145"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is hereby authorized to adjust and compromise claims under insurance coverage referred to in Sections 6.6(a) (i), and (iii) and 6.6(b) above. All loss recoveries received by Agent under any such insurance may be applied to the Obligations, in such order as Agent in its sole discretion shall determine. Any surplus shall be paid by Agent to Borrowers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0" w:name="page311"/>
    <w:bookmarkEnd w:id="310"/>
    <w:p>
      <w:pPr>
        <w:jc w:val="both"/>
        <w:spacing w:after="0"/>
        <w:rPr>
          <w:sz w:val="20"/>
          <w:szCs w:val="20"/>
          <w:color w:val="auto"/>
        </w:rPr>
      </w:pPr>
      <w:r>
        <w:rPr>
          <w:rFonts w:ascii="Times New Roman" w:cs="Times New Roman" w:eastAsia="Times New Roman" w:hAnsi="Times New Roman"/>
          <w:sz w:val="18"/>
          <w:szCs w:val="18"/>
          <w:color w:val="auto"/>
        </w:rPr>
        <w:t>applied as may be otherwise required by law. Any deficiency thereon shall be paid by Borrowers to Agent, on demand. If any Borrower fails to obtain insurance as hereinabove provided, or to keep the same in force, Agent, if Agent so elects, may obtain such insurance and pay the premium therefor on behalf of such Borrower, which payments shall be charged to Borrowers’ Account and constitute part of the obligations.</w:t>
      </w:r>
    </w:p>
    <w:p>
      <w:pPr>
        <w:spacing w:after="0" w:line="145"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Payment of Indebtedness and Leasehold Obligations</w:t>
      </w:r>
      <w:r>
        <w:rPr>
          <w:rFonts w:ascii="Times New Roman" w:cs="Times New Roman" w:eastAsia="Times New Roman" w:hAnsi="Times New Roman"/>
          <w:sz w:val="18"/>
          <w:szCs w:val="18"/>
          <w:color w:val="auto"/>
        </w:rPr>
        <w:t>. Pay, discharge or otherwise satisfy (i) at or before maturity (subject, where applicable, to specified grace periods) all its Indebtedness, except when the failure to do so could not reasonably be expected to have a Material Adverse Effect or when the amount or validity thereof is currently being Properly Contested, subject at all times to any applicable subordination arrangement in favor of Lenders and (ii) when due its rental obligations under all leases under which it is a tenant, and shall otherwise comply, in all material respects, with all other terms of such leases and keep them in full force and effect.</w:t>
      </w:r>
    </w:p>
    <w:p>
      <w:pPr>
        <w:spacing w:after="0" w:line="146"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45" w:lineRule="auto"/>
        <w:tabs>
          <w:tab w:leader="none" w:pos="159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Real Property and all operations and businesses conducted thereon are in compliance and remain in compliance with all Environmental Laws and it shall manage any and all Hazardous Materials on any Real Property in compliance with Environmental Laws.</w:t>
      </w:r>
    </w:p>
    <w:p>
      <w:pPr>
        <w:spacing w:after="0" w:line="140" w:lineRule="exact"/>
        <w:rPr>
          <w:rFonts w:ascii="Times New Roman" w:cs="Times New Roman" w:eastAsia="Times New Roman" w:hAnsi="Times New Roman"/>
          <w:sz w:val="18"/>
          <w:szCs w:val="18"/>
          <w:color w:val="auto"/>
        </w:rPr>
      </w:pPr>
    </w:p>
    <w:p>
      <w:pPr>
        <w:jc w:val="both"/>
        <w:ind w:firstLine="1053"/>
        <w:spacing w:after="0" w:line="238" w:lineRule="auto"/>
        <w:tabs>
          <w:tab w:leader="none" w:pos="159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an environmental management and compliance system to assure and monitor continued compliance with all applicable Environmental Laws which system shall include periodic environmental compliance audits to be conducted by knowledgeable environmental professionals. All potential violations and violations of Environmental Laws shall be reviewed with legal counsel to determine any required reporting to applicable Governmental Bodies and any required corrective actions to address such potential violations or violations.</w:t>
      </w:r>
    </w:p>
    <w:p>
      <w:pPr>
        <w:spacing w:after="0" w:line="146" w:lineRule="exact"/>
        <w:rPr>
          <w:rFonts w:ascii="Times New Roman" w:cs="Times New Roman" w:eastAsia="Times New Roman" w:hAnsi="Times New Roman"/>
          <w:sz w:val="18"/>
          <w:szCs w:val="18"/>
          <w:color w:val="auto"/>
        </w:rPr>
      </w:pPr>
    </w:p>
    <w:p>
      <w:pPr>
        <w:jc w:val="both"/>
        <w:ind w:firstLine="1053"/>
        <w:spacing w:after="0" w:line="234" w:lineRule="auto"/>
        <w:tabs>
          <w:tab w:leader="none" w:pos="159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promptly to any Hazardous Discharge or Environmental Complaint and take all necessary action in order to safeguard the health of any Person and to avoid subjecting the Collateral or Real Property to any Lien. If any Borrower shall fail to respond promptly to any Hazardous Discharge or Environmental Complaint or any Borrower shall fail to comply with any of the requirements of any Environmental Laws, Agent on behalf of Lenders may, but without the obligation to do so, for the sole purpose of protecting Agent’s interest in the Collateral: (i) give such notices or (ii) enter onto the Real Property (or authorize third parties to enter onto the Real Property) and take such actions as Agent (or such third parties as directed by Agent) deem reasonably necessary or advisable, to remediate, remove, mitigate or otherwise manage with any such Hazardous Discharge or Environmental Complaint. All reasonable costs and expenses incurred by Agent and Lenders (or such third parties) in the exercise of any such rights, including any sums paid in connection with any judicial or administrative investigation or proceedings, fines and penalties, together with interest thereon from the date expended at the Default Rate for Domestic Rate Loans constituting Revolving Advances shall be paid upon demand by Borrowers, and until paid shall be added to and become a part of the Obligations secured by the Liens created by the terms of this Agreement or any other agreement between Agent, any Lender and any Borrower.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1" w:name="page312"/>
    <w:bookmarkEnd w:id="311"/>
    <w:p>
      <w:pPr>
        <w:jc w:val="both"/>
        <w:ind w:firstLine="1053"/>
        <w:spacing w:after="0" w:line="236" w:lineRule="auto"/>
        <w:tabs>
          <w:tab w:leader="none" w:pos="159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written request of Agent from time to time, Borrowers shall provide Agent, at Borrowers’ expense, with an environmental site assessment or environmental compliance audit report prepared by an environmental engineering firm acceptable in the reasonable opinion of Agent, to assess with a reasonable degree of certainty the existence of a Hazardous Discharge and the potential costs in connection with abatement, remediation and removal of any Hazardous Materials found on, under, at or within the Real Property. Any report or investigation of such Hazardous Discharge proposed and acceptable to the responsible Governmental Body shall be acceptable to Agent. If such estimates, individually or in the aggregate, exceed $100,000, Agent shall have the right to require Borrowers to post a bond, letter of credit or other security reasonably satisfactory to Agent to secure payment of these costs and expenses.</w:t>
      </w:r>
    </w:p>
    <w:p>
      <w:pPr>
        <w:spacing w:after="0" w:line="145"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u w:val="single" w:color="auto"/>
          <w:color w:val="auto"/>
        </w:rPr>
        <w:t>Standards of Financial Statements</w:t>
      </w:r>
      <w:r>
        <w:rPr>
          <w:rFonts w:ascii="Times New Roman" w:cs="Times New Roman" w:eastAsia="Times New Roman" w:hAnsi="Times New Roman"/>
          <w:sz w:val="17"/>
          <w:szCs w:val="17"/>
          <w:color w:val="auto"/>
        </w:rPr>
        <w:t>. Cause all financial statements referred to in Sections 9.7, 9.8, 9.9, 9.10, 9.11, 9.12, and 9.13 as to which IFRS is applicable to be complete and correct in all material respects (subject, in the case of interim financial statements, to normal year-end audit adjustments) and to be prepared in reasonable detail and in accordance with IFRS applied consistently throughout the periods reflected therein (except as disclosed therein and agreed to by such reporting accountants or officer, as applicable).</w:t>
      </w:r>
    </w:p>
    <w:p>
      <w:pPr>
        <w:spacing w:after="0" w:line="130" w:lineRule="exact"/>
        <w:rPr>
          <w:sz w:val="20"/>
          <w:szCs w:val="20"/>
          <w:color w:val="auto"/>
        </w:rPr>
      </w:pPr>
    </w:p>
    <w:p>
      <w:pPr>
        <w:jc w:val="both"/>
        <w:ind w:right="20" w:firstLine="531"/>
        <w:spacing w:after="0" w:line="24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Promptly notify Agent in writing if Holdings, any Borrower, or any of their Subsidiaries (i) is required to file periodic reports under the Exchange Act, (ii) registers any securities under the Exchange Act or (iii) files a registration statement under the Securities Act.</w:t>
      </w:r>
    </w:p>
    <w:p>
      <w:pPr>
        <w:spacing w:after="0" w:line="140"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Execution of Supplemental Instruments</w:t>
      </w:r>
      <w:r>
        <w:rPr>
          <w:rFonts w:ascii="Times New Roman" w:cs="Times New Roman" w:eastAsia="Times New Roman" w:hAnsi="Times New Roman"/>
          <w:sz w:val="18"/>
          <w:szCs w:val="18"/>
          <w:color w:val="auto"/>
        </w:rPr>
        <w:t>. Execute and deliver to Agent from time to time, upon demand, such supplemental agreements, statements, assignments and transfers, or instructions or documents relating to the Collateral, and such other instruments as Agent may reasonably request, in order that the full intent of this Agreement may be carried into effect.</w:t>
      </w:r>
    </w:p>
    <w:p>
      <w:pPr>
        <w:spacing w:after="0" w:line="140"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right="20" w:firstLine="531"/>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Government Receivables</w:t>
      </w:r>
      <w:r>
        <w:rPr>
          <w:rFonts w:ascii="Times New Roman" w:cs="Times New Roman" w:eastAsia="Times New Roman" w:hAnsi="Times New Roman"/>
          <w:sz w:val="18"/>
          <w:szCs w:val="18"/>
          <w:color w:val="auto"/>
        </w:rPr>
        <w:t>. Take all steps necessary to protect Agent’s interest in the Collateral under the Federal Assignment of Claims Act, the Uniform Commercial Code and all other applicable state or local statutes or ordinances and deliver to Agent appropriately endorsed, any instrument or chattel paper connected with any Receivable arising out of any contract between any Borrower and the United States, any state or any department, agency or instrumentality of any of them.</w:t>
      </w:r>
    </w:p>
    <w:p>
      <w:pPr>
        <w:spacing w:after="0" w:line="145"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If it is a Qualified ECP Loan Party, then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Document in respect of Swap Obligations (provided, however, that each Qualified ECP Loan Party shall only be liable under this Section 6.14 for the maximum amount of such liability that can be hereby incurred without rendering 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2" w:name="page313"/>
    <w:bookmarkEnd w:id="312"/>
    <w:p>
      <w:pPr>
        <w:jc w:val="both"/>
        <w:spacing w:after="0" w:line="236" w:lineRule="auto"/>
        <w:rPr>
          <w:sz w:val="20"/>
          <w:szCs w:val="20"/>
          <w:color w:val="auto"/>
        </w:rPr>
      </w:pPr>
      <w:r>
        <w:rPr>
          <w:rFonts w:ascii="Times New Roman" w:cs="Times New Roman" w:eastAsia="Times New Roman" w:hAnsi="Times New Roman"/>
          <w:sz w:val="18"/>
          <w:szCs w:val="18"/>
          <w:color w:val="auto"/>
        </w:rPr>
        <w:t>obligations under this Section 6.14, or otherwise under this Agreement or any Other Document, voidable under applicable law, including applicable law relating to fraudulent conveyance or fraudulent transfer, and not for any greater amount). The obligations of each Qualified ECP Loan Party under this Section 6.14 shall remain in full force and effect until payment in full of the Obligations and termination of this Agreement and the Other Documents. Each Qualified ECP Loan Party intends that this Section 6.14 constitute, and this Section 6.14 shall be deemed to constitute, a guarantee of the obligations of, and a “keepwell, support, or other agreement” for the benefit of each other Borrower and Guarantor for all purposes of Section 1a(18)(A)(v)(II) of the CEA.</w:t>
      </w:r>
    </w:p>
    <w:p>
      <w:pPr>
        <w:spacing w:after="0" w:line="14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7"/>
          <w:szCs w:val="17"/>
          <w:u w:val="single" w:color="auto"/>
          <w:color w:val="auto"/>
        </w:rPr>
        <w:t>Post-Closing Covenants.</w:t>
      </w:r>
    </w:p>
    <w:p>
      <w:pPr>
        <w:spacing w:after="0" w:line="169" w:lineRule="exact"/>
        <w:rPr>
          <w:sz w:val="20"/>
          <w:szCs w:val="20"/>
          <w:color w:val="auto"/>
        </w:rPr>
      </w:pPr>
    </w:p>
    <w:p>
      <w:pPr>
        <w:ind w:left="1580" w:hanging="527"/>
        <w:spacing w:after="0"/>
        <w:tabs>
          <w:tab w:leader="none" w:pos="15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Closing Date, close all deposit accounts maintained with any Person other than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149" w:lineRule="exact"/>
        <w:rPr>
          <w:sz w:val="20"/>
          <w:szCs w:val="20"/>
          <w:color w:val="auto"/>
        </w:rPr>
      </w:pPr>
    </w:p>
    <w:p>
      <w:pPr>
        <w:jc w:val="both"/>
        <w:ind w:firstLine="1053"/>
        <w:spacing w:after="0" w:line="245" w:lineRule="auto"/>
        <w:tabs>
          <w:tab w:leader="none" w:pos="159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Closing Date, deliver to Agent (i) loss payable endorsements issued by Borrowers’ insurer naming Agent as lender’s loss payee with respect to Borrowers’ property insurance policies, and (ii) an additional insured endorsement issued by Borrowers’ insurer naming Agent as additional insured with respect to Borrowers’ liability insurance policies.</w:t>
      </w:r>
    </w:p>
    <w:p>
      <w:pPr>
        <w:spacing w:after="0" w:line="140"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Closing Date, deliver to Agent a copy of Borrowers’ fully audited financial statements for the fiscal year ending June 30, 2013, and such audited financial statements shall not vary in any material respect from the draft financial statements for such period previously provided to Agent.</w:t>
      </w:r>
    </w:p>
    <w:p>
      <w:pPr>
        <w:spacing w:after="0" w:line="140" w:lineRule="exact"/>
        <w:rPr>
          <w:rFonts w:ascii="Times New Roman" w:cs="Times New Roman" w:eastAsia="Times New Roman" w:hAnsi="Times New Roman"/>
          <w:sz w:val="18"/>
          <w:szCs w:val="18"/>
          <w:color w:val="auto"/>
        </w:rPr>
      </w:pPr>
    </w:p>
    <w:p>
      <w:pPr>
        <w:ind w:right="20" w:firstLine="1053"/>
        <w:spacing w:after="0" w:line="288" w:lineRule="auto"/>
        <w:tabs>
          <w:tab w:leader="none" w:pos="1593"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fifteen (15) days after the Closing Date, deliver to Agent executed Lien Waiver Agreements in form and substance satisfactory to Agent for Borrowers’ chief executive office location and any other location at which books and records are kept.</w:t>
      </w:r>
    </w:p>
    <w:p>
      <w:pPr>
        <w:spacing w:after="0" w:line="10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VII.</w:t>
        <w:tab/>
        <w:t>NEGATIVE COVENANTS.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Borrower shall, until satisfaction in full of the Obligations and termination of this Agreement:</w:t>
      </w:r>
    </w:p>
    <w:p>
      <w:pPr>
        <w:spacing w:after="0" w:line="16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Merger, Consolidation, Acquisition and Sale of Assets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8" w:lineRule="auto"/>
        <w:tabs>
          <w:tab w:leader="none" w:pos="159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consolidation or other reorganization with or into any other Person or acquire all or a substantial portion of the assets or Equity Interests of any Person or permit any other Person to consolidate with or merge with it, except any Borrower may merge, consolidate or reorganize with another Borrower or acquire the assets or Equity Interest of another Borrower so long as such Borrower provides Agent with ten (10) days prior written notice of such merger, consolidation or reorganization and delivers all of the relevant documents evidencing such merger, consolidation or reorganization.</w:t>
      </w:r>
    </w:p>
    <w:p>
      <w:pPr>
        <w:spacing w:after="0" w:line="146"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transfer or otherwise dispose of any of its properties or assets, except (i) the sale of property or assets in the Ordinary Course of Business, (ii) the disposition or transfer of obsolete or worn-out equipment, or equipment that has become no longer useful in such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3" w:name="page314"/>
    <w:bookmarkEnd w:id="313"/>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Borrower’s business, in the Ordinary Course of Business, (iii) the sale of AT&amp;T Receivables pursuant to the Factoring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Borrowers shall not sell any AT&amp;T Receivables unless all proceeds of any such sales shall be deposited into a Depository Account subject to the AT&amp;T/Citibank Agreement, and (iv) any other sales or dispositions expressly permitted by this Agreement in each case not to exceed assets with a fair market value of more than $250,000 in any fiscal year and to the extent that (x) the proceeds of any such disposition are used to acquire replacement equipment which is subject to Agent’s first priority security interest or (y) the proceeds of which, in excess of $50,000, are remitted to Agent to be applied pursuant to Section 2.20.</w:t>
      </w:r>
    </w:p>
    <w:p>
      <w:pPr>
        <w:spacing w:after="0" w:line="14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Creation of Liens</w:t>
      </w:r>
      <w:r>
        <w:rPr>
          <w:rFonts w:ascii="Times New Roman" w:cs="Times New Roman" w:eastAsia="Times New Roman" w:hAnsi="Times New Roman"/>
          <w:sz w:val="18"/>
          <w:szCs w:val="18"/>
          <w:color w:val="auto"/>
        </w:rPr>
        <w:t>. Create or suffer to exist any Lien or transfer upon or against any of its property or assets now owned or hereafter created or acquired, except Permitted Encumbrances.</w:t>
      </w:r>
    </w:p>
    <w:p>
      <w:pPr>
        <w:spacing w:after="0" w:line="128"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Become liable upon the obligations or liabilities of any Person by assumption, endorsement or guaranty thereof or otherwise (other than to Lenders) except (a) guarantees by one or more Borrower(s) of the Indebtedness or obligations of any other Borrower(s) to the extent such Indebtedness or obligations are permitted to be incurred and/or outstanding pursuant to the provisions of this Agreement and (b) the endorsement of checks in the Ordinary Course of Business.</w:t>
      </w:r>
    </w:p>
    <w:p>
      <w:pPr>
        <w:spacing w:after="0" w:line="145"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Purchase or acquire obligations or Equity Interests of, or any other interest in, any Person, other than Permitted Investments.</w:t>
      </w:r>
    </w:p>
    <w:p>
      <w:pPr>
        <w:spacing w:after="0" w:line="128" w:lineRule="exact"/>
        <w:rPr>
          <w:sz w:val="20"/>
          <w:szCs w:val="20"/>
          <w:color w:val="auto"/>
        </w:rPr>
      </w:pPr>
    </w:p>
    <w:p>
      <w:pPr>
        <w:ind w:firstLine="531"/>
        <w:spacing w:after="0" w:line="259"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Make advances, loans or extensions of credit to any Person, including any Parent, Subsidiary or Affiliate other than (i) Permitted Loans and (ii) as permitted under Section 7.10 hereof.</w:t>
      </w:r>
    </w:p>
    <w:p>
      <w:pPr>
        <w:spacing w:after="0" w:line="128"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Upon the occurrence of any Springing Covenant Event in any fiscal year, contract for, purchase or make any expenditure or commitments for Capital Expenditures, with respect to the fiscal year in which the Springing Covenant Event occurred, in an aggregate amount for all Borrowers in excess of $7,500,000 (including the aggregate amount of Capital Expenditures Indebtedness).</w:t>
      </w:r>
    </w:p>
    <w:p>
      <w:pPr>
        <w:spacing w:after="0" w:line="145"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Declare, pay or make any dividend or distribution on any Equity Interests of any Borrower (other than dividends or distributions payable in its stock, or split-ups or reclassifications of its stock) or apply any of its funds, property or assets to the purchase, redemption or other retirement of any Equity Interest, or of any options to purchase or acquire any Equity Interest of any Borrower. Nothing in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be deemed to prohibit Permitted Holdings Distributions under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hereof.</w:t>
      </w:r>
    </w:p>
    <w:p>
      <w:pPr>
        <w:spacing w:after="0" w:line="145"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Create, incur, assume or suffer to exist any Indebtedness other than Permitted Indebtedness.</w:t>
      </w:r>
    </w:p>
    <w:p>
      <w:pPr>
        <w:spacing w:after="0" w:line="169"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Substantially change the nature of the business in which it is presently engaged, nor except as specifically permitted hereby purchase or invest, directly 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4" w:name="page315"/>
    <w:bookmarkEnd w:id="314"/>
    <w:p>
      <w:pPr>
        <w:jc w:val="both"/>
        <w:ind w:left="9"/>
        <w:spacing w:after="0" w:line="258" w:lineRule="auto"/>
        <w:rPr>
          <w:sz w:val="20"/>
          <w:szCs w:val="20"/>
          <w:color w:val="auto"/>
        </w:rPr>
      </w:pPr>
      <w:r>
        <w:rPr>
          <w:rFonts w:ascii="Times New Roman" w:cs="Times New Roman" w:eastAsia="Times New Roman" w:hAnsi="Times New Roman"/>
          <w:sz w:val="18"/>
          <w:szCs w:val="18"/>
          <w:color w:val="auto"/>
        </w:rPr>
        <w:t>indirectly, in any assets or property other than in the Ordinary Course of Business for assets or property which are useful in, necessary for and are to be used in its business as presently conducted.</w:t>
      </w:r>
    </w:p>
    <w:p>
      <w:pPr>
        <w:spacing w:after="0" w:line="129" w:lineRule="exact"/>
        <w:rPr>
          <w:sz w:val="20"/>
          <w:szCs w:val="20"/>
          <w:color w:val="auto"/>
        </w:rPr>
      </w:pPr>
    </w:p>
    <w:p>
      <w:pPr>
        <w:jc w:val="both"/>
        <w:ind w:left="9" w:firstLine="531"/>
        <w:spacing w:after="0" w:line="248" w:lineRule="auto"/>
        <w:rPr>
          <w:sz w:val="20"/>
          <w:szCs w:val="20"/>
          <w:color w:val="auto"/>
        </w:rPr>
      </w:pPr>
      <w:r>
        <w:rPr>
          <w:rFonts w:ascii="Times New Roman" w:cs="Times New Roman" w:eastAsia="Times New Roman" w:hAnsi="Times New Roman"/>
          <w:sz w:val="17"/>
          <w:szCs w:val="17"/>
          <w:color w:val="auto"/>
        </w:rPr>
        <w:t xml:space="preserve">7.10.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xml:space="preserve">. Directly or indirectly, purchase, acquire or lease any property from, or sell, transfer or lease any property to, or otherwise enter into any transaction or deal with, any Affiliate, except for (i) transactions among Borrowers, Holdings, or their Subsidiaries which are not expressly prohibited by the terms of this Agreement and which are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the extension of credit to, nor the assumption, endorsement or guaranty of any Indebtedness of, any Affiliate shall be deemed to be a transaction in the Ordinary Course of Business for purposes of this Section 7.10, (ii) payment by Borrowers of dividends and distributions permitted under Section 7.7 hereof, (iii) Permitted Holdings Distributions, (iv) Permitted Royalty Payments, and</w:t>
      </w:r>
    </w:p>
    <w:p>
      <w:pPr>
        <w:spacing w:after="0" w:line="3" w:lineRule="exact"/>
        <w:rPr>
          <w:sz w:val="20"/>
          <w:szCs w:val="20"/>
          <w:color w:val="auto"/>
        </w:rPr>
      </w:pPr>
    </w:p>
    <w:p>
      <w:pPr>
        <w:ind w:left="9" w:right="20" w:hanging="9"/>
        <w:spacing w:after="0" w:line="238" w:lineRule="auto"/>
        <w:tabs>
          <w:tab w:leader="none" w:pos="29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disclosed to Agent in writing, which are in the Ordinary Course of Business, on an arm’s-length basis on terms and conditions no less favorable than terms and conditions which would have been obtainable from a Person other than an Affiliate.</w:t>
      </w:r>
    </w:p>
    <w:p>
      <w:pPr>
        <w:spacing w:after="0" w:line="145" w:lineRule="exact"/>
        <w:rPr>
          <w:sz w:val="20"/>
          <w:szCs w:val="20"/>
          <w:color w:val="auto"/>
        </w:rPr>
      </w:pPr>
    </w:p>
    <w:p>
      <w:pPr>
        <w:jc w:val="both"/>
        <w:ind w:left="9" w:right="20" w:firstLine="531"/>
        <w:spacing w:after="0" w:line="245"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Enter as lessee into any lease arrangement for real or personal property (unless capitalized and permitted under Section 7.6 hereof) if after giving effect thereto, aggregate annual rental payments for all leased property would exceed $12,600,000 in the aggregate for all Borrowers in any fiscal year.</w:t>
      </w:r>
    </w:p>
    <w:p>
      <w:pPr>
        <w:spacing w:after="0" w:line="140"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1589" w:hanging="527"/>
        <w:spacing w:after="0"/>
        <w:tabs>
          <w:tab w:leader="none" w:pos="158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w:t>
      </w:r>
    </w:p>
    <w:p>
      <w:pPr>
        <w:spacing w:after="0" w:line="169" w:lineRule="exact"/>
        <w:rPr>
          <w:rFonts w:ascii="Times New Roman" w:cs="Times New Roman" w:eastAsia="Times New Roman" w:hAnsi="Times New Roman"/>
          <w:sz w:val="18"/>
          <w:szCs w:val="18"/>
          <w:color w:val="auto"/>
        </w:rPr>
      </w:pPr>
    </w:p>
    <w:p>
      <w:pPr>
        <w:ind w:left="1589" w:hanging="527"/>
        <w:spacing w:after="0"/>
        <w:tabs>
          <w:tab w:leader="none" w:pos="158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partnership, joint venture or similar arrangement; or</w:t>
      </w:r>
    </w:p>
    <w:p>
      <w:pPr>
        <w:spacing w:after="0" w:line="169" w:lineRule="exact"/>
        <w:rPr>
          <w:rFonts w:ascii="Times New Roman" w:cs="Times New Roman" w:eastAsia="Times New Roman" w:hAnsi="Times New Roman"/>
          <w:sz w:val="18"/>
          <w:szCs w:val="18"/>
          <w:color w:val="auto"/>
        </w:rPr>
      </w:pPr>
    </w:p>
    <w:p>
      <w:pPr>
        <w:ind w:left="9" w:firstLine="1053"/>
        <w:spacing w:after="0" w:line="259" w:lineRule="auto"/>
        <w:tabs>
          <w:tab w:leader="none" w:pos="160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TRG Customer Solutions (Canada), Inc., a Canadian corporation, to engage in any operations, business or activities of any type or nature whatsoever other than and except for providing ministerial and administrative support for Borrowers.</w:t>
      </w:r>
    </w:p>
    <w:p>
      <w:pPr>
        <w:spacing w:after="0" w:line="128" w:lineRule="exact"/>
        <w:rPr>
          <w:sz w:val="20"/>
          <w:szCs w:val="20"/>
          <w:color w:val="auto"/>
        </w:rPr>
      </w:pPr>
    </w:p>
    <w:p>
      <w:pPr>
        <w:jc w:val="both"/>
        <w:ind w:left="9" w:firstLine="531"/>
        <w:spacing w:after="0" w:line="259"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Fiscal Year and Accounting Changes</w:t>
      </w:r>
      <w:r>
        <w:rPr>
          <w:rFonts w:ascii="Times New Roman" w:cs="Times New Roman" w:eastAsia="Times New Roman" w:hAnsi="Times New Roman"/>
          <w:sz w:val="18"/>
          <w:szCs w:val="18"/>
          <w:color w:val="auto"/>
        </w:rPr>
        <w:t>. Change its fiscal year from June 30 or make any significant change (i) in accounting treatment and reporting practices except as required by IFRS or (ii) in tax reporting treatment except as required by law.</w:t>
      </w:r>
    </w:p>
    <w:p>
      <w:pPr>
        <w:spacing w:after="0" w:line="128" w:lineRule="exact"/>
        <w:rPr>
          <w:sz w:val="20"/>
          <w:szCs w:val="20"/>
          <w:color w:val="auto"/>
        </w:rPr>
      </w:pPr>
    </w:p>
    <w:p>
      <w:pPr>
        <w:jc w:val="both"/>
        <w:ind w:left="9" w:firstLine="531"/>
        <w:spacing w:after="0" w:line="245"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Pledge of Credit</w:t>
      </w:r>
      <w:r>
        <w:rPr>
          <w:rFonts w:ascii="Times New Roman" w:cs="Times New Roman" w:eastAsia="Times New Roman" w:hAnsi="Times New Roman"/>
          <w:sz w:val="18"/>
          <w:szCs w:val="18"/>
          <w:color w:val="auto"/>
        </w:rPr>
        <w:t>. Now or hereafter pledge Agent’s or any Lender’s credit on any purchases, commitments or contracts or for any purpose whatsoever or use any portion of any Advance in or for any business other than such Borrower’s business operations as conducted on the Closing Date.</w:t>
      </w:r>
    </w:p>
    <w:p>
      <w:pPr>
        <w:spacing w:after="0" w:line="140" w:lineRule="exact"/>
        <w:rPr>
          <w:sz w:val="20"/>
          <w:szCs w:val="20"/>
          <w:color w:val="auto"/>
        </w:rPr>
      </w:pPr>
    </w:p>
    <w:p>
      <w:pPr>
        <w:jc w:val="both"/>
        <w:ind w:left="9" w:firstLine="531"/>
        <w:spacing w:after="0" w:line="237"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Amendment of Organizational Documents</w:t>
      </w:r>
      <w:r>
        <w:rPr>
          <w:rFonts w:ascii="Times New Roman" w:cs="Times New Roman" w:eastAsia="Times New Roman" w:hAnsi="Times New Roman"/>
          <w:sz w:val="18"/>
          <w:szCs w:val="18"/>
          <w:color w:val="auto"/>
        </w:rPr>
        <w:t>. (i) Change its legal name (other than changing its legal name to IBEX Global Solutions Inc. upon prior written notice to Agent together with copies of the applicable certified name change documents), (ii) change its form of legal entity (e.g., converting from a corporation to a limited liability company or vice versa), (iii) change its jurisdiction of organization or become (or attempt or purport to become) organized in more than one jurisdiction, or (iv) otherwise amend, modify or waive any term or material provision of its Organizational Documents unless required by law, in any such case without (x) giving at least thirty (30) days prior written notice of such intended change to Agent, (y) having received from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15" w:name="page316"/>
    <w:bookmarkEnd w:id="315"/>
    <w:p>
      <w:pPr>
        <w:jc w:val="both"/>
        <w:spacing w:after="0" w:line="244" w:lineRule="auto"/>
        <w:rPr>
          <w:sz w:val="20"/>
          <w:szCs w:val="20"/>
          <w:color w:val="auto"/>
        </w:rPr>
      </w:pPr>
      <w:r>
        <w:rPr>
          <w:rFonts w:ascii="Times New Roman" w:cs="Times New Roman" w:eastAsia="Times New Roman" w:hAnsi="Times New Roman"/>
          <w:sz w:val="18"/>
          <w:szCs w:val="18"/>
          <w:color w:val="auto"/>
        </w:rPr>
        <w:t>Agent confirmation that Agent has taken all steps necessary for Agent to continue the perfection of and protect the enforceability and priority of its Liens in the Collateral belonging to such Borrower and in the Equity Interests of such Borrower and (z) in any case under clause (iv), having received the prior written consent of Agent and Required Lenders to such amendment, modification or waiver.</w:t>
      </w:r>
    </w:p>
    <w:p>
      <w:pPr>
        <w:spacing w:after="0" w:line="142"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(i) (x) Maintain, or permit any member of the Controlled Group to maintain, or (y) become obligated to contribute, or permit any member of the Controlled Group to become obligated to contribute, to any Plan, other than those Plans disclosed on Schedule 5.8(d), (ii) engage, or permit any member of the Controlled Group to engage, in any non-exempt “prohibited transaction”, as that term is defined in Section 406 of ERISA or Section 4975 of the Code, (iii) terminate, or permit any member of the Controlled Group to terminate, any Plan where such event could result in any liability of any Borrower or any member of the Controlled Group or the imposition of a lien on the property of any Borrower or any member of the Controlled Group pursuant to Section 4068 of ERISA, (iv) incur, or permit any member of the Controlled Group to incur, any withdrawal liability to any Multiemployer Plan; (v) fail promptly to notify Agent of the occurrence of any Termination Event, (vi) fail to comply, or permit a member of the Controlled Group to fail to comply, with the requirements of ERISA or the Code or other Applicable Laws in respect of any Plan, (vii) fail to meet, permit any member of the Controlled Group to fail to meet, or permit any Plan to fail to meet all minimum funding requirements under ERISA and the Code, without regard to any waivers or variances, or postpone or delay or allow any member of the Controlled Group to postpone or delay any funding requirement with respect of any Plan, or (viii) cause, or permit any member of the Controlled Group to cause, a representation or warranty in Section 5.8(d) to cease to be true and correct.</w:t>
      </w:r>
    </w:p>
    <w:p>
      <w:pPr>
        <w:spacing w:after="0" w:line="153"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Prepayment of Indebtedness</w:t>
      </w:r>
      <w:r>
        <w:rPr>
          <w:rFonts w:ascii="Times New Roman" w:cs="Times New Roman" w:eastAsia="Times New Roman" w:hAnsi="Times New Roman"/>
          <w:sz w:val="18"/>
          <w:szCs w:val="18"/>
          <w:color w:val="auto"/>
        </w:rPr>
        <w:t>. At any time, directly or indirectly, prepay any Indebtedness (other than to Lenders), repurchase, redeem, retire or otherwise acquire any Indebtedness of any Borrower in excess of $100,000 in any fiscal year, except that this Section 7.17 shall not prohibit payment or prepayment of the making of Permitted Holdings Distributions.</w:t>
      </w:r>
    </w:p>
    <w:p>
      <w:pPr>
        <w:spacing w:after="0" w:line="140" w:lineRule="exact"/>
        <w:rPr>
          <w:sz w:val="20"/>
          <w:szCs w:val="20"/>
          <w:color w:val="auto"/>
        </w:rPr>
      </w:pPr>
    </w:p>
    <w:p>
      <w:pPr>
        <w:jc w:val="both"/>
        <w:ind w:firstLine="531"/>
        <w:spacing w:after="0" w:line="250" w:lineRule="auto"/>
        <w:rPr>
          <w:sz w:val="20"/>
          <w:szCs w:val="20"/>
          <w:color w:val="auto"/>
        </w:rPr>
      </w:pPr>
      <w:r>
        <w:rPr>
          <w:rFonts w:ascii="Times New Roman" w:cs="Times New Roman" w:eastAsia="Times New Roman" w:hAnsi="Times New Roman"/>
          <w:sz w:val="17"/>
          <w:szCs w:val="17"/>
          <w:color w:val="auto"/>
        </w:rPr>
        <w:t xml:space="preserve">7.18. </w:t>
      </w:r>
      <w:r>
        <w:rPr>
          <w:rFonts w:ascii="Times New Roman" w:cs="Times New Roman" w:eastAsia="Times New Roman" w:hAnsi="Times New Roman"/>
          <w:sz w:val="17"/>
          <w:szCs w:val="17"/>
          <w:u w:val="single" w:color="auto"/>
          <w:color w:val="auto"/>
        </w:rPr>
        <w:t>Foreign Subsidiary Subcontractor Expenses</w:t>
      </w:r>
      <w:r>
        <w:rPr>
          <w:rFonts w:ascii="Times New Roman" w:cs="Times New Roman" w:eastAsia="Times New Roman" w:hAnsi="Times New Roman"/>
          <w:sz w:val="17"/>
          <w:szCs w:val="17"/>
          <w:color w:val="auto"/>
        </w:rPr>
        <w:t>. (a) Increase the transfer pricing percentage payable by any Borrower to any Foreign Subcontractor from the percentages in effect on the Twelfth Amendment Date, unless Borrower shall have notified Agent in writing within at least fifteen (15) days of Borrower having notice or knowledge of such increase. The Borrower shall also provide Agent, within at least thirty (30) days of the earlier of (x) Borrower providing Agent notice of such increase or (y) the required notification date of such increase referenced above, with financial projections for the twelve (12) month period following the date of such increase. Borrower acknowledges and agrees that if such projections fail to evidence, to Agent’s satisfaction, that after giving effect to such increase, Borrower will be in compliance with the covenant in Section 6.5 (whether or not such covenant is required to be tested at such time under the Agreement) during such twelve (12) month period, an immediate Event of Default shall be deemed to exist under this Agreement.</w:t>
      </w:r>
    </w:p>
    <w:p>
      <w:pPr>
        <w:spacing w:after="0" w:line="163" w:lineRule="exact"/>
        <w:rPr>
          <w:sz w:val="20"/>
          <w:szCs w:val="20"/>
          <w:color w:val="auto"/>
        </w:rPr>
      </w:pPr>
    </w:p>
    <w:p>
      <w:pPr>
        <w:jc w:val="both"/>
        <w:ind w:right="20" w:firstLine="1053"/>
        <w:spacing w:after="0" w:line="245" w:lineRule="auto"/>
        <w:tabs>
          <w:tab w:leader="none" w:pos="159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cash payments to Ibex Global Bermuda Limited for subcontractor expenses due and payable in an amount for any fiscal year in excess of the sum of Ibex Global Bermuda Limited’s cost of providing such subcontractor services to any Borrower during any fiscal year plus five percent (5.00%), but in each case only so long as and to the extent that: (i) no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6" w:name="page317"/>
    <w:bookmarkEnd w:id="316"/>
    <w:p>
      <w:pPr>
        <w:jc w:val="both"/>
        <w:spacing w:after="0" w:line="235" w:lineRule="auto"/>
        <w:rPr>
          <w:sz w:val="20"/>
          <w:szCs w:val="20"/>
          <w:color w:val="auto"/>
        </w:rPr>
      </w:pPr>
      <w:r>
        <w:rPr>
          <w:rFonts w:ascii="Times New Roman" w:cs="Times New Roman" w:eastAsia="Times New Roman" w:hAnsi="Times New Roman"/>
          <w:sz w:val="18"/>
          <w:szCs w:val="18"/>
          <w:color w:val="auto"/>
        </w:rPr>
        <w:t>Default or Event of Default shall exist, (ii) no Springing Covenant Event shall exist, and (iii) Borrowers shall have caused to be maintained as of the end of the most recent fiscal quarter for which Borrowers shall have been required to deliver financial statements to Agent pursuant to Section 9.7 or 9.8, as applicable, a Fixed Charge Coverage Ratio, calculated on a pro forma basis as if such payment was made during such period, of not less than 1.10 to 1.00, measured on a rolling four (4) quarter basis; provided that, without contradicting or limiting the foregoing, under no circumstances may the entire amount of all payments to Ibex Global Bermuda Limited for subcontractor expenses for which Borrowers may become liable (regardless of whether such amounts are paid by Borrowers as and when initially due and payable or accrued by Borrowers when initially due and payable) exceed the sum of Ibex Global Bermuda Limited’s cost of providing such subcontractor services to any Borrower during any fiscal year plus eight percent (8.00%).</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Enter into any material amendment, waiver or modification of the Royalty Agreements or any related agreements, other than any amendments to the Royalty Agreements providing for the transfer of interest of IBEX Global Europe S.A.R.L. in such Royalty Agreements to any other wholly owned Subsidiary of Holdings.</w:t>
      </w:r>
    </w:p>
    <w:p>
      <w:pPr>
        <w:spacing w:after="0" w:line="140"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Membership / Partnership Interests</w:t>
      </w:r>
      <w:r>
        <w:rPr>
          <w:rFonts w:ascii="Times New Roman" w:cs="Times New Roman" w:eastAsia="Times New Roman" w:hAnsi="Times New Roman"/>
          <w:sz w:val="18"/>
          <w:szCs w:val="18"/>
          <w:color w:val="auto"/>
        </w:rPr>
        <w:t>. Designate or permit any of their Subsidiaries to (a) treat their limited liability company membership interests or partnership interests, as the case may be, as securities as contemplated by the definition of “security” in Section 8-102(15) and by Section 8-103 of Article 8 of the Uniform Commercial Code or (b) certificate their limited liability membership interests or partnership interests, as applicable.</w:t>
      </w:r>
    </w:p>
    <w:p>
      <w:pPr>
        <w:spacing w:after="0" w:line="145"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Affiliate Payables</w:t>
      </w:r>
      <w:r>
        <w:rPr>
          <w:rFonts w:ascii="Times New Roman" w:cs="Times New Roman" w:eastAsia="Times New Roman" w:hAnsi="Times New Roman"/>
          <w:sz w:val="18"/>
          <w:szCs w:val="18"/>
          <w:color w:val="auto"/>
        </w:rPr>
        <w:t>. Permit (a) the terms of any accounts payable due to any Affiliate or Subsidiary of any Borrower to be modified in any manner that is adverse to any Borrower, or (b) upon the occurrence of any Springing Covenant Event, the amount of outstanding Receivables owing to the Borrowers from their Affiliates and Subsidiaries to exceed $2,500,000 in the aggregate at any time.</w:t>
      </w:r>
    </w:p>
    <w:p>
      <w:pPr>
        <w:spacing w:after="0" w:line="14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VIII.</w:t>
      </w:r>
      <w:r>
        <w:rPr>
          <w:sz w:val="20"/>
          <w:szCs w:val="20"/>
          <w:color w:val="auto"/>
        </w:rPr>
        <w:tab/>
      </w:r>
      <w:r>
        <w:rPr>
          <w:rFonts w:ascii="Times New Roman" w:cs="Times New Roman" w:eastAsia="Times New Roman" w:hAnsi="Times New Roman"/>
          <w:sz w:val="17"/>
          <w:szCs w:val="17"/>
          <w:color w:val="auto"/>
        </w:rPr>
        <w:t>CONDITIONS PRECEDENT.</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Conditions to Initial Advances</w:t>
      </w:r>
      <w:r>
        <w:rPr>
          <w:rFonts w:ascii="Times New Roman" w:cs="Times New Roman" w:eastAsia="Times New Roman" w:hAnsi="Times New Roman"/>
          <w:sz w:val="18"/>
          <w:szCs w:val="18"/>
          <w:color w:val="auto"/>
        </w:rPr>
        <w:t>. The agreement of Lenders to make the initial Advances requested to be made on the Closing Date is subject to the satisfaction, or waiver by Agent, immediately prior to or concurrently with the making of such Advances, of the following conditions precedent:</w:t>
      </w:r>
    </w:p>
    <w:p>
      <w:pPr>
        <w:spacing w:after="0" w:line="140" w:lineRule="exact"/>
        <w:rPr>
          <w:sz w:val="20"/>
          <w:szCs w:val="20"/>
          <w:color w:val="auto"/>
        </w:rPr>
      </w:pPr>
    </w:p>
    <w:p>
      <w:pPr>
        <w:ind w:left="1580" w:hanging="527"/>
        <w:spacing w:after="0"/>
        <w:tabs>
          <w:tab w:leader="none" w:pos="15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Agent shall have received the Notes duly executed and delivered by an authorized officer of each Borrower;</w:t>
      </w:r>
    </w:p>
    <w:p>
      <w:pPr>
        <w:spacing w:after="0" w:line="169"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Agent shall have received each of the executed Other Documents, as applicable;</w:t>
      </w:r>
    </w:p>
    <w:p>
      <w:pPr>
        <w:spacing w:after="0" w:line="169"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Agreements</w:t>
      </w:r>
      <w:r>
        <w:rPr>
          <w:rFonts w:ascii="Times New Roman" w:cs="Times New Roman" w:eastAsia="Times New Roman" w:hAnsi="Times New Roman"/>
          <w:sz w:val="18"/>
          <w:szCs w:val="18"/>
          <w:color w:val="auto"/>
        </w:rPr>
        <w:t>. Agent shall have received fully executed License Agreements in form and substance satisfactory to Agent pursuant to which Borrowers shall have been granted to use all Intellectual Property necessary for the operation of Borrowers’ business as conducted on the Closing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7" w:name="page318"/>
    <w:bookmarkEnd w:id="317"/>
    <w:p>
      <w:pPr>
        <w:ind w:left="1580" w:hanging="527"/>
        <w:spacing w:after="0"/>
        <w:tabs>
          <w:tab w:leader="none" w:pos="15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Condition Certificates</w:t>
      </w:r>
      <w:r>
        <w:rPr>
          <w:rFonts w:ascii="Times New Roman" w:cs="Times New Roman" w:eastAsia="Times New Roman" w:hAnsi="Times New Roman"/>
          <w:sz w:val="18"/>
          <w:szCs w:val="18"/>
          <w:color w:val="auto"/>
        </w:rPr>
        <w:t>. Agent shall have received an executed Financial Condition Certificate in the form</w:t>
      </w:r>
    </w:p>
    <w:p>
      <w:pPr>
        <w:spacing w:after="0" w:line="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Exhibit 8.1(d);</w:t>
      </w:r>
    </w:p>
    <w:p>
      <w:pPr>
        <w:spacing w:after="0" w:line="149" w:lineRule="exact"/>
        <w:rPr>
          <w:rFonts w:ascii="Times New Roman" w:cs="Times New Roman" w:eastAsia="Times New Roman" w:hAnsi="Times New Roman"/>
          <w:sz w:val="18"/>
          <w:szCs w:val="18"/>
          <w:color w:val="auto"/>
        </w:rPr>
      </w:pPr>
    </w:p>
    <w:p>
      <w:pPr>
        <w:jc w:val="both"/>
        <w:ind w:right="20" w:firstLine="1053"/>
        <w:spacing w:after="0" w:line="245" w:lineRule="auto"/>
        <w:tabs>
          <w:tab w:leader="none" w:pos="159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Agent shall have received a closing certificate signed by the Chief Financial Officer of each Borrower dated as of the date hereof, stating that (i) all representations and warranties set forth in this Agreement and the Other Documents are true and correct on and as of such date, and (ii) on such date no Default or Event of Default has occurred or is continuing;</w:t>
      </w:r>
    </w:p>
    <w:p>
      <w:pPr>
        <w:spacing w:after="0" w:line="140"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Agent shall have received evidence from Borrowers that the aggregate amount of Eligible Receivables and Eligible Unbilled Receivables is sufficient in value and amount to support Advances in the amount requested by Borrowers on the Closing Date;</w:t>
      </w:r>
    </w:p>
    <w:p>
      <w:pPr>
        <w:spacing w:after="0" w:line="140" w:lineRule="exact"/>
        <w:rPr>
          <w:rFonts w:ascii="Times New Roman" w:cs="Times New Roman" w:eastAsia="Times New Roman" w:hAnsi="Times New Roman"/>
          <w:sz w:val="18"/>
          <w:szCs w:val="18"/>
          <w:color w:val="auto"/>
        </w:rPr>
      </w:pPr>
    </w:p>
    <w:p>
      <w:pPr>
        <w:ind w:firstLine="1053"/>
        <w:spacing w:after="0" w:line="259" w:lineRule="auto"/>
        <w:tabs>
          <w:tab w:leader="none" w:pos="159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Undrawn Availability</w:t>
      </w:r>
      <w:r>
        <w:rPr>
          <w:rFonts w:ascii="Times New Roman" w:cs="Times New Roman" w:eastAsia="Times New Roman" w:hAnsi="Times New Roman"/>
          <w:sz w:val="18"/>
          <w:szCs w:val="18"/>
          <w:color w:val="auto"/>
        </w:rPr>
        <w:t>. After giving effect to the initial Advances hereunder, Borrowers shall have Undrawn Availability of at least $5,500,000;</w:t>
      </w:r>
    </w:p>
    <w:p>
      <w:pPr>
        <w:spacing w:after="0" w:line="128"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Blocked Accounts</w:t>
      </w:r>
      <w:r>
        <w:rPr>
          <w:rFonts w:ascii="Times New Roman" w:cs="Times New Roman" w:eastAsia="Times New Roman" w:hAnsi="Times New Roman"/>
          <w:sz w:val="18"/>
          <w:szCs w:val="18"/>
          <w:color w:val="auto"/>
        </w:rPr>
        <w:t>. Borrowers shall have opened the Depository Accounts with Agent or Agent shall have received duly executed agreements establishing the Blocked Accounts with financial institutions acceptable to Agent for the collection or servicing of the Receivables and proceeds of the Collateral and Agent shall have entered into control agreements with the applicable financial institutions in form and substance satisfactory to Agent with respect to such Blocked Accounts;</w:t>
      </w:r>
    </w:p>
    <w:p>
      <w:pPr>
        <w:spacing w:after="0" w:line="145" w:lineRule="exact"/>
        <w:rPr>
          <w:rFonts w:ascii="Times New Roman" w:cs="Times New Roman" w:eastAsia="Times New Roman" w:hAnsi="Times New Roman"/>
          <w:sz w:val="18"/>
          <w:szCs w:val="18"/>
          <w:color w:val="auto"/>
        </w:rPr>
      </w:pPr>
    </w:p>
    <w:p>
      <w:pPr>
        <w:jc w:val="both"/>
        <w:ind w:firstLine="1053"/>
        <w:spacing w:after="0" w:line="237" w:lineRule="auto"/>
        <w:tabs>
          <w:tab w:leader="none" w:pos="159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this Agreement, any related agreement or under law or reasonably requested by Agent to be filed, registered or recorded in order to create, in favor of Agent, a perfected security interest in or lien upon the Collateral shall have been properly filed, registered or recorded in each jurisdiction in which the filing, registration or recordation thereof is so required or requested, and Agent shall have received an acknowledgment copy, or other evidence satisfactory to it, of each such filing, registration or recordation and satisfactory evidence of the payment of any necessary fee, tax or expense relating thereto;</w:t>
      </w:r>
    </w:p>
    <w:p>
      <w:pPr>
        <w:spacing w:after="0" w:line="145"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Trademark License</w:t>
      </w:r>
      <w:r>
        <w:rPr>
          <w:rFonts w:ascii="Times New Roman" w:cs="Times New Roman" w:eastAsia="Times New Roman" w:hAnsi="Times New Roman"/>
          <w:sz w:val="18"/>
          <w:szCs w:val="18"/>
          <w:color w:val="auto"/>
        </w:rPr>
        <w:t>. Agent shall have received a fully executed amendment to that certain Intellectual Property License Agreement dated as of May 8, 2013 by and among IBEX Global Europe S.A.R.L and IBEX, which amendment shall be in form and substance satisfactory to Agent;</w:t>
      </w:r>
    </w:p>
    <w:p>
      <w:pPr>
        <w:spacing w:after="0" w:line="140" w:lineRule="exact"/>
        <w:rPr>
          <w:rFonts w:ascii="Times New Roman" w:cs="Times New Roman" w:eastAsia="Times New Roman" w:hAnsi="Times New Roman"/>
          <w:sz w:val="18"/>
          <w:szCs w:val="18"/>
          <w:color w:val="auto"/>
        </w:rPr>
      </w:pPr>
    </w:p>
    <w:p>
      <w:pPr>
        <w:jc w:val="both"/>
        <w:ind w:firstLine="1053"/>
        <w:spacing w:after="0" w:line="236" w:lineRule="auto"/>
        <w:tabs>
          <w:tab w:leader="none" w:pos="159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Certificates, Authorizing Resolutions and Good Standings of Borrowers</w:t>
      </w:r>
      <w:r>
        <w:rPr>
          <w:rFonts w:ascii="Times New Roman" w:cs="Times New Roman" w:eastAsia="Times New Roman" w:hAnsi="Times New Roman"/>
          <w:sz w:val="18"/>
          <w:szCs w:val="18"/>
          <w:color w:val="auto"/>
        </w:rPr>
        <w:t>. Agent shall have received a certificate of the Secretary or Assistant Secretary (or other equivalent officer, partner or manager) of each Borrower in form and substance satisfactory to Agent dated as of the Closing Date which shall certify (i) copies of resolutions in form and substance reasonably satisfactory to Agent, of the board of directors (or other equivalent governing body, member or partner) of such Borrower authorizing (x) the execution, delivery and performance of this Agreement, the Notes and each Other Document to which such Borrower is a party (including authorization of the incurrence of indebtedness, borrowing of Revolving Advances and Swing Loans and requesting of Letters of Credit on a joint and several basis with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8" w:name="page319"/>
    <w:bookmarkEnd w:id="318"/>
    <w:p>
      <w:pPr>
        <w:jc w:val="both"/>
        <w:spacing w:after="0" w:line="236" w:lineRule="auto"/>
        <w:rPr>
          <w:sz w:val="20"/>
          <w:szCs w:val="20"/>
          <w:color w:val="auto"/>
        </w:rPr>
      </w:pPr>
      <w:r>
        <w:rPr>
          <w:rFonts w:ascii="Times New Roman" w:cs="Times New Roman" w:eastAsia="Times New Roman" w:hAnsi="Times New Roman"/>
          <w:sz w:val="18"/>
          <w:szCs w:val="18"/>
          <w:color w:val="auto"/>
        </w:rPr>
        <w:t>all Borrowers as provided for herein), and (y) the granting by such Borrower of the security interests in and liens upon the Collateral to secure all of the joint and several Obligations of Borrowers (and such certificate shall state that such resolutions have not been amended, modified, revoked or rescinded as of the date of such certificate), (ii) the incumbency and signature of the officers of such Borrower authorized to execute this Agreement and the Other Documents, (iii) copies of the Organizational Documents of such Borrower as in effect on such date, complete with all amendments thereto, and (iv) the good standing (or equivalent status) of such Borrower in its jurisdiction of organization dated not more than thirty (30) days prior to the Closing Date, issued by the Secretary of State or other appropriate official of such jurisdiction;</w:t>
      </w:r>
    </w:p>
    <w:p>
      <w:pPr>
        <w:spacing w:after="0" w:line="145" w:lineRule="exact"/>
        <w:rPr>
          <w:sz w:val="20"/>
          <w:szCs w:val="20"/>
          <w:color w:val="auto"/>
        </w:rPr>
      </w:pPr>
    </w:p>
    <w:p>
      <w:pPr>
        <w:jc w:val="both"/>
        <w:ind w:firstLine="1053"/>
        <w:spacing w:after="0" w:line="233" w:lineRule="auto"/>
        <w:tabs>
          <w:tab w:leader="none" w:pos="159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Certificates, Authorizing Resolutions and Good Standings of Guarantors</w:t>
      </w:r>
      <w:r>
        <w:rPr>
          <w:rFonts w:ascii="Times New Roman" w:cs="Times New Roman" w:eastAsia="Times New Roman" w:hAnsi="Times New Roman"/>
          <w:sz w:val="18"/>
          <w:szCs w:val="18"/>
          <w:color w:val="auto"/>
        </w:rPr>
        <w:t>. Agent shall have received a certificate of the Secretary or Assistant Secretary (or other equivalent officer, partner or manager) of each Guarantor in form and substance satisfactory to Agent dated as of the Closing Date which shall certify (i) copies of resolutions in form and substance reasonably satisfactory to Agent, of the board of directors (or other equivalent governing body, member or partner) of each Guarantor authorizing (x) the execution, delivery and performance of such Guarantor’s Guaranty and each Other Document to which such Guarantor is a party and (y) the granting by such Guarantor of the security interests in and liens upon the Collateral to secure its obligations under its Guaranty (and such certificate shall state that such resolutions have not been amended, modified, revoked or rescinded as of the date of such certificate), (ii) the incumbency and signature of the officers of such Guarantor authorized to execute this Agreement and the Other Documents, (iii) copies of the Organizational Documents of such Guarantor as in effect on such date, complete with all amendments thereto, and (iv) the good standing (or equivalent status) of such Guarantor in its jurisdiction of organization and each applicable jurisdiction where the conduct of such Guarantor’s business activities or the ownership of its properties necessitates qualification, as evidenced by good standing certificate(s) (or the equivalent thereof issued by any applicable jurisdiction) dated not more than thirty (30) days prior to the Closing Date, issued by the Secretary of State or other appropriate official of each such jurisdiction;</w:t>
      </w:r>
    </w:p>
    <w:p>
      <w:pPr>
        <w:spacing w:after="0" w:line="152"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Agent shall have received the executed legal opinion of Jimmy D. Holland, General Counsel of the Borrower, in form and substance satisfactory to Agent which shall cover such matters incident to the transactions contemplated by this Agreement, the Notes, the Other Documents, and related agreements as Agent may reasonably require and each Borrower hereby authorizes and directs such counsel to deliver such opinions to Agent and Lenders;</w:t>
      </w:r>
    </w:p>
    <w:p>
      <w:pPr>
        <w:spacing w:after="0" w:line="145" w:lineRule="exact"/>
        <w:rPr>
          <w:rFonts w:ascii="Times New Roman" w:cs="Times New Roman" w:eastAsia="Times New Roman" w:hAnsi="Times New Roman"/>
          <w:sz w:val="18"/>
          <w:szCs w:val="18"/>
          <w:color w:val="auto"/>
        </w:rPr>
      </w:pPr>
    </w:p>
    <w:p>
      <w:pPr>
        <w:jc w:val="both"/>
        <w:ind w:firstLine="1053"/>
        <w:spacing w:after="0" w:line="237" w:lineRule="auto"/>
        <w:tabs>
          <w:tab w:leader="none" w:pos="159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UK Matters</w:t>
      </w:r>
      <w:r>
        <w:rPr>
          <w:rFonts w:ascii="Times New Roman" w:cs="Times New Roman" w:eastAsia="Times New Roman" w:hAnsi="Times New Roman"/>
          <w:sz w:val="18"/>
          <w:szCs w:val="18"/>
          <w:color w:val="auto"/>
        </w:rPr>
        <w:t>. Agent shall have received (i) the executed legal opinion of Mishcon de Reya Solictors in form and substance satisfactory to Agent which shall cover such matters incident to the transactions contemplated by all of the Other Documents to which Ibex Global Solutions Limited is a party, and related agreements as Agent may reasonably require and each Borrower hereby authorizes and directs such counsel to deliver such opinions to Agent and Lenders, and (ii) evidence that all actions have been taken in order to permit Agent to enforce the Other Documents to which Ibex Global Solutions Limited is a party against Ibex Global Solutions Limited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19" w:name="page320"/>
    <w:bookmarkEnd w:id="319"/>
    <w:p>
      <w:pPr>
        <w:jc w:val="both"/>
        <w:ind w:left="9" w:firstLine="1053"/>
        <w:spacing w:after="0" w:line="252" w:lineRule="auto"/>
        <w:tabs>
          <w:tab w:leader="none" w:pos="1601"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Litigation</w:t>
      </w:r>
      <w:r>
        <w:rPr>
          <w:rFonts w:ascii="Times New Roman" w:cs="Times New Roman" w:eastAsia="Times New Roman" w:hAnsi="Times New Roman"/>
          <w:sz w:val="17"/>
          <w:szCs w:val="17"/>
          <w:color w:val="auto"/>
        </w:rPr>
        <w:t>. No litigation, investigation or proceeding before or by any arbitrator or Governmental Body shall be continuing or threatened against any Borrower or against the officers or directors of any Borrower (A) in connection with this Agreement, the Other Documents or any of the transactions contemplated thereby and which, in the reasonable opinion of Agent, is deemed material or</w:t>
      </w:r>
    </w:p>
    <w:p>
      <w:pPr>
        <w:jc w:val="both"/>
        <w:ind w:left="9" w:hanging="9"/>
        <w:spacing w:after="0" w:line="235" w:lineRule="auto"/>
        <w:tabs>
          <w:tab w:leader="none" w:pos="29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could, in the reasonable opinion of Agent, have a Material Adverse Effect; and (ii) no injunction, writ, restraining order or other order of any nature materially adverse to any Borrower or the conduct of its business or inconsistent with the due consummation of the Transactions shall have been issued by any Governmental Body;</w:t>
      </w:r>
    </w:p>
    <w:p>
      <w:pPr>
        <w:spacing w:after="0" w:line="146" w:lineRule="exact"/>
        <w:rPr>
          <w:rFonts w:ascii="Times New Roman" w:cs="Times New Roman" w:eastAsia="Times New Roman" w:hAnsi="Times New Roman"/>
          <w:sz w:val="18"/>
          <w:szCs w:val="18"/>
          <w:color w:val="auto"/>
        </w:rPr>
      </w:pPr>
    </w:p>
    <w:p>
      <w:pPr>
        <w:jc w:val="both"/>
        <w:ind w:left="9" w:firstLine="1053"/>
        <w:spacing w:after="0" w:line="245" w:lineRule="auto"/>
        <w:tabs>
          <w:tab w:leader="none" w:pos="1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Examination</w:t>
      </w:r>
      <w:r>
        <w:rPr>
          <w:rFonts w:ascii="Times New Roman" w:cs="Times New Roman" w:eastAsia="Times New Roman" w:hAnsi="Times New Roman"/>
          <w:sz w:val="18"/>
          <w:szCs w:val="18"/>
          <w:color w:val="auto"/>
        </w:rPr>
        <w:t>. Agent shall have completed Collateral examinations and received appraisals, the results of which shall be satisfactory in form and substance to Agent, of the Receivables, General Intangibles, and equipment of each Borrower and all books and records in connection therewith;</w:t>
      </w:r>
    </w:p>
    <w:p>
      <w:pPr>
        <w:spacing w:after="0" w:line="140" w:lineRule="exact"/>
        <w:rPr>
          <w:rFonts w:ascii="Times New Roman" w:cs="Times New Roman" w:eastAsia="Times New Roman" w:hAnsi="Times New Roman"/>
          <w:sz w:val="18"/>
          <w:szCs w:val="18"/>
          <w:color w:val="auto"/>
        </w:rPr>
      </w:pPr>
    </w:p>
    <w:p>
      <w:pPr>
        <w:ind w:left="9" w:firstLine="1053"/>
        <w:spacing w:after="0" w:line="259" w:lineRule="auto"/>
        <w:tabs>
          <w:tab w:leader="none" w:pos="1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Agent shall have received all fees payable to Agent and Lenders on or prior to the Closing Date hereunder, including pursuant to Article III hereof;</w:t>
      </w:r>
    </w:p>
    <w:p>
      <w:pPr>
        <w:spacing w:after="0" w:line="128" w:lineRule="exact"/>
        <w:rPr>
          <w:rFonts w:ascii="Times New Roman" w:cs="Times New Roman" w:eastAsia="Times New Roman" w:hAnsi="Times New Roman"/>
          <w:sz w:val="18"/>
          <w:szCs w:val="18"/>
          <w:color w:val="auto"/>
        </w:rPr>
      </w:pPr>
    </w:p>
    <w:p>
      <w:pPr>
        <w:ind w:left="9" w:right="20" w:firstLine="1053"/>
        <w:spacing w:after="0" w:line="259" w:lineRule="auto"/>
        <w:tabs>
          <w:tab w:leader="none" w:pos="1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Agent shall have received a copy of the Pro Forma Financial Statements which shall be satisfactory in all respects to Agent;</w:t>
      </w:r>
    </w:p>
    <w:p>
      <w:pPr>
        <w:spacing w:after="0" w:line="128" w:lineRule="exact"/>
        <w:rPr>
          <w:rFonts w:ascii="Times New Roman" w:cs="Times New Roman" w:eastAsia="Times New Roman" w:hAnsi="Times New Roman"/>
          <w:sz w:val="18"/>
          <w:szCs w:val="18"/>
          <w:color w:val="auto"/>
        </w:rPr>
      </w:pPr>
    </w:p>
    <w:p>
      <w:pPr>
        <w:ind w:left="1589" w:hanging="527"/>
        <w:spacing w:after="0"/>
        <w:tabs>
          <w:tab w:leader="none" w:pos="1589"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69" w:lineRule="exact"/>
        <w:rPr>
          <w:rFonts w:ascii="Times New Roman" w:cs="Times New Roman" w:eastAsia="Times New Roman" w:hAnsi="Times New Roman"/>
          <w:sz w:val="18"/>
          <w:szCs w:val="18"/>
          <w:color w:val="auto"/>
        </w:rPr>
      </w:pPr>
    </w:p>
    <w:p>
      <w:pPr>
        <w:jc w:val="both"/>
        <w:ind w:left="9" w:firstLine="1053"/>
        <w:spacing w:after="0" w:line="238" w:lineRule="auto"/>
        <w:tabs>
          <w:tab w:leader="none" w:pos="1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Agent shall have received in form and substance satisfactory to Agent, (i) evidence that adequate insurance, including without limitation, casualty and liability insurance, required to be maintained under this Agreement is in full force and effect, and (ii) insurance certificates issued by Borrowers’ insurance broker containing such information regarding Borrowers’ casualty and liability insurance policies as Agent shall request and naming Agent as an additional insured, lenders loss payee and/or mortgagee, as applicable;</w:t>
      </w:r>
    </w:p>
    <w:p>
      <w:pPr>
        <w:spacing w:after="0" w:line="146" w:lineRule="exact"/>
        <w:rPr>
          <w:rFonts w:ascii="Times New Roman" w:cs="Times New Roman" w:eastAsia="Times New Roman" w:hAnsi="Times New Roman"/>
          <w:sz w:val="18"/>
          <w:szCs w:val="18"/>
          <w:color w:val="auto"/>
        </w:rPr>
      </w:pPr>
    </w:p>
    <w:p>
      <w:pPr>
        <w:jc w:val="both"/>
        <w:ind w:left="9" w:firstLine="1053"/>
        <w:spacing w:after="0" w:line="245" w:lineRule="auto"/>
        <w:tabs>
          <w:tab w:leader="none" w:pos="1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Capital Source Bank Credit Facility</w:t>
      </w:r>
      <w:r>
        <w:rPr>
          <w:rFonts w:ascii="Times New Roman" w:cs="Times New Roman" w:eastAsia="Times New Roman" w:hAnsi="Times New Roman"/>
          <w:sz w:val="18"/>
          <w:szCs w:val="18"/>
          <w:color w:val="auto"/>
        </w:rPr>
        <w:t>. All commitments to Borrowers from Capital Source Bank have been terminated, all Indebtedness of Borrowers to Capital Source Bank have been repaid, and all Liens of Capital Source Bank on the Collateral have been released;</w:t>
      </w:r>
    </w:p>
    <w:p>
      <w:pPr>
        <w:spacing w:after="0" w:line="140" w:lineRule="exact"/>
        <w:rPr>
          <w:rFonts w:ascii="Times New Roman" w:cs="Times New Roman" w:eastAsia="Times New Roman" w:hAnsi="Times New Roman"/>
          <w:sz w:val="18"/>
          <w:szCs w:val="18"/>
          <w:color w:val="auto"/>
        </w:rPr>
      </w:pPr>
    </w:p>
    <w:p>
      <w:pPr>
        <w:ind w:left="9" w:right="20" w:firstLine="1053"/>
        <w:spacing w:after="0" w:line="259" w:lineRule="auto"/>
        <w:tabs>
          <w:tab w:leader="none" w:pos="1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Instructions</w:t>
      </w:r>
      <w:r>
        <w:rPr>
          <w:rFonts w:ascii="Times New Roman" w:cs="Times New Roman" w:eastAsia="Times New Roman" w:hAnsi="Times New Roman"/>
          <w:sz w:val="18"/>
          <w:szCs w:val="18"/>
          <w:color w:val="auto"/>
        </w:rPr>
        <w:t>. Agent shall have received written instructions from Borrowing Agent directing the application of proceeds of the initial Advances made pursuant to this Agreement;</w:t>
      </w:r>
    </w:p>
    <w:p>
      <w:pPr>
        <w:spacing w:after="0" w:line="128" w:lineRule="exact"/>
        <w:rPr>
          <w:rFonts w:ascii="Times New Roman" w:cs="Times New Roman" w:eastAsia="Times New Roman" w:hAnsi="Times New Roman"/>
          <w:sz w:val="18"/>
          <w:szCs w:val="18"/>
          <w:color w:val="auto"/>
        </w:rPr>
      </w:pPr>
    </w:p>
    <w:p>
      <w:pPr>
        <w:jc w:val="both"/>
        <w:ind w:left="9" w:firstLine="1053"/>
        <w:spacing w:after="0" w:line="245" w:lineRule="auto"/>
        <w:tabs>
          <w:tab w:leader="none" w:pos="1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Agent shall have received any and all Consents necessary to permit the effectuation of the transactions contemplated by this Agreement and the Other Documents; and, Agent shall have received such Consents and waivers of such third parties as might assert claims with respect to the Collateral, as Agent and its counsel shall deem necessary;</w:t>
      </w:r>
    </w:p>
    <w:p>
      <w:pPr>
        <w:spacing w:after="0" w:line="140" w:lineRule="exact"/>
        <w:rPr>
          <w:rFonts w:ascii="Times New Roman" w:cs="Times New Roman" w:eastAsia="Times New Roman" w:hAnsi="Times New Roman"/>
          <w:sz w:val="18"/>
          <w:szCs w:val="18"/>
          <w:color w:val="auto"/>
        </w:rPr>
      </w:pPr>
    </w:p>
    <w:p>
      <w:pPr>
        <w:jc w:val="both"/>
        <w:ind w:left="9" w:firstLine="1053"/>
        <w:spacing w:after="0" w:line="245" w:lineRule="auto"/>
        <w:tabs>
          <w:tab w:leader="none" w:pos="1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Adverse Material Change</w:t>
      </w:r>
      <w:r>
        <w:rPr>
          <w:rFonts w:ascii="Times New Roman" w:cs="Times New Roman" w:eastAsia="Times New Roman" w:hAnsi="Times New Roman"/>
          <w:sz w:val="18"/>
          <w:szCs w:val="18"/>
          <w:color w:val="auto"/>
        </w:rPr>
        <w:t>. (i) Since June 30, 2013, there shall not have occurred any event, condition or state of facts which could reasonably be expected to have a Material Adverse Effect and (ii) no representations made or information supplied to Agent or Lenders shall have been proven to be inaccurate or misleading in any material respect;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20" w:name="page321"/>
    <w:bookmarkEnd w:id="320"/>
    <w:p>
      <w:pPr>
        <w:jc w:val="both"/>
        <w:ind w:right="20" w:firstLine="1053"/>
        <w:spacing w:after="0" w:line="244" w:lineRule="auto"/>
        <w:tabs>
          <w:tab w:leader="none" w:pos="159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Review</w:t>
      </w:r>
      <w:r>
        <w:rPr>
          <w:rFonts w:ascii="Times New Roman" w:cs="Times New Roman" w:eastAsia="Times New Roman" w:hAnsi="Times New Roman"/>
          <w:sz w:val="18"/>
          <w:szCs w:val="18"/>
          <w:color w:val="auto"/>
        </w:rPr>
        <w:t>. Agent shall have received and reviewed all Material Contracts of Borrowers including leases, union contracts, labor contracts, vendor supply contracts, license agreements and distributorship agreements and such contracts and agreements shall be satisfactory in all respects to Agent;</w:t>
      </w:r>
    </w:p>
    <w:p>
      <w:pPr>
        <w:spacing w:after="0" w:line="142"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Agent shall be reasonably satisfied that each Borrower is in compliance with all pertinent federal, state, local or territorial regulations, including those with respect to the Federal Occupational Safety and Health Act, the Environmental Protection Act, ERISA and the Anti-Terrorism Laws; and</w:t>
      </w:r>
    </w:p>
    <w:p>
      <w:pPr>
        <w:spacing w:after="0" w:line="140" w:lineRule="exact"/>
        <w:rPr>
          <w:sz w:val="20"/>
          <w:szCs w:val="20"/>
          <w:color w:val="auto"/>
        </w:rPr>
      </w:pPr>
    </w:p>
    <w:p>
      <w:pPr>
        <w:ind w:firstLine="1053"/>
        <w:spacing w:after="0" w:line="259" w:lineRule="auto"/>
        <w:tabs>
          <w:tab w:leader="none" w:pos="159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All corporate and other proceedings, and all documents, instruments and other legal matters in connection with the Transactions shall be satisfactory in form and substance to Agent and its counsel.</w:t>
      </w:r>
    </w:p>
    <w:p>
      <w:pPr>
        <w:spacing w:after="0" w:line="128" w:lineRule="exact"/>
        <w:rPr>
          <w:sz w:val="20"/>
          <w:szCs w:val="20"/>
          <w:color w:val="auto"/>
        </w:rPr>
      </w:pPr>
    </w:p>
    <w:p>
      <w:pPr>
        <w:ind w:firstLine="531"/>
        <w:spacing w:after="0" w:line="259"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Conditions to Each Advance</w:t>
      </w:r>
      <w:r>
        <w:rPr>
          <w:rFonts w:ascii="Times New Roman" w:cs="Times New Roman" w:eastAsia="Times New Roman" w:hAnsi="Times New Roman"/>
          <w:sz w:val="18"/>
          <w:szCs w:val="18"/>
          <w:color w:val="auto"/>
        </w:rPr>
        <w:t>. The agreement of Lenders to make any Advance requested to be made on any date (including the initial Advance), is subject to the satisfaction of the following conditions precedent as of the date such Advance is made:</w:t>
      </w:r>
    </w:p>
    <w:p>
      <w:pPr>
        <w:spacing w:after="0" w:line="128" w:lineRule="exact"/>
        <w:rPr>
          <w:sz w:val="20"/>
          <w:szCs w:val="20"/>
          <w:color w:val="auto"/>
        </w:rPr>
      </w:pPr>
    </w:p>
    <w:p>
      <w:pPr>
        <w:jc w:val="both"/>
        <w:ind w:firstLine="1053"/>
        <w:spacing w:after="0" w:line="238" w:lineRule="auto"/>
        <w:tabs>
          <w:tab w:leader="none" w:pos="159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Holdings or any Borrower in or pursuant to this Agreement, the Other Documents and any related agreements to which it is a party, and each of the representations and warranties contained in any certificate, document or financial or other statement furnished at any time under or in connection with this Agreement, the Other Documents or any related agreement shall be true and correct in all respects on and as of such date as if made on and as of such date (except to the extent any such representation or warranty expressly relates only to any earlier and/or specified date);</w:t>
      </w:r>
    </w:p>
    <w:p>
      <w:pPr>
        <w:spacing w:after="0" w:line="146" w:lineRule="exact"/>
        <w:rPr>
          <w:rFonts w:ascii="Times New Roman" w:cs="Times New Roman" w:eastAsia="Times New Roman" w:hAnsi="Times New Roman"/>
          <w:sz w:val="18"/>
          <w:szCs w:val="18"/>
          <w:color w:val="auto"/>
        </w:rPr>
      </w:pPr>
    </w:p>
    <w:p>
      <w:pPr>
        <w:jc w:val="both"/>
        <w:ind w:firstLine="1053"/>
        <w:spacing w:after="0"/>
        <w:tabs>
          <w:tab w:leader="none" w:pos="159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Event of Default or Default shall have occurred and be continuing on such date, or would exist after giving effect to the Advances requested to be made, on such date; provided, however that Agent, in its sole discretion, may continue to make Advances notwithstanding the existence of an Event of Default or Default and that any Advances so made shall not be deemed a waiver of any such Event of Default or Default;</w:t>
      </w:r>
    </w:p>
    <w:p>
      <w:pPr>
        <w:spacing w:after="0" w:line="145"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xml:space="preserve"> No Material Adverse Effect shall exist; and</w:t>
      </w:r>
    </w:p>
    <w:p>
      <w:pPr>
        <w:spacing w:after="0" w:line="169" w:lineRule="exact"/>
        <w:rPr>
          <w:rFonts w:ascii="Times New Roman" w:cs="Times New Roman" w:eastAsia="Times New Roman" w:hAnsi="Times New Roman"/>
          <w:sz w:val="18"/>
          <w:szCs w:val="18"/>
          <w:color w:val="auto"/>
        </w:rPr>
      </w:pPr>
    </w:p>
    <w:p>
      <w:pPr>
        <w:jc w:val="both"/>
        <w:ind w:firstLine="1053"/>
        <w:spacing w:after="0" w:line="288" w:lineRule="auto"/>
        <w:tabs>
          <w:tab w:leader="none" w:pos="1593"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Advances</w:t>
      </w:r>
      <w:r>
        <w:rPr>
          <w:rFonts w:ascii="Times New Roman" w:cs="Times New Roman" w:eastAsia="Times New Roman" w:hAnsi="Times New Roman"/>
          <w:sz w:val="17"/>
          <w:szCs w:val="17"/>
          <w:color w:val="auto"/>
        </w:rPr>
        <w:t>. In the case of any type of Advance requested to be made, after giving effect thereto, the aggregate amount of such type of Advance shall not exceed the maximum amount of such type of Advance permitted under this Agreement.</w:t>
      </w:r>
    </w:p>
    <w:p>
      <w:pPr>
        <w:spacing w:after="0" w:line="106" w:lineRule="exact"/>
        <w:rPr>
          <w:sz w:val="20"/>
          <w:szCs w:val="20"/>
          <w:color w:val="auto"/>
        </w:rPr>
      </w:pPr>
    </w:p>
    <w:p>
      <w:pPr>
        <w:ind w:firstLine="531"/>
        <w:spacing w:after="0" w:line="259" w:lineRule="auto"/>
        <w:rPr>
          <w:sz w:val="20"/>
          <w:szCs w:val="20"/>
          <w:color w:val="auto"/>
        </w:rPr>
      </w:pPr>
      <w:r>
        <w:rPr>
          <w:rFonts w:ascii="Times New Roman" w:cs="Times New Roman" w:eastAsia="Times New Roman" w:hAnsi="Times New Roman"/>
          <w:sz w:val="18"/>
          <w:szCs w:val="18"/>
          <w:color w:val="auto"/>
        </w:rPr>
        <w:t>Each request for an Advance by any Borrower hereunder shall constitute a representation and warranty by each Borrower as of the date of such Advance that the conditions contained in this subsection shall have been satisfied.</w:t>
      </w:r>
    </w:p>
    <w:p>
      <w:pPr>
        <w:spacing w:after="0" w:line="12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IX.</w:t>
      </w:r>
      <w:r>
        <w:rPr>
          <w:sz w:val="20"/>
          <w:szCs w:val="20"/>
          <w:color w:val="auto"/>
        </w:rPr>
        <w:tab/>
      </w:r>
      <w:r>
        <w:rPr>
          <w:rFonts w:ascii="Times New Roman" w:cs="Times New Roman" w:eastAsia="Times New Roman" w:hAnsi="Times New Roman"/>
          <w:sz w:val="18"/>
          <w:szCs w:val="18"/>
          <w:color w:val="auto"/>
        </w:rPr>
        <w:t>INFORMATION AS TO BORROWERS.</w:t>
      </w:r>
    </w:p>
    <w:p>
      <w:pPr>
        <w:spacing w:after="0" w:line="169" w:lineRule="exact"/>
        <w:rPr>
          <w:sz w:val="20"/>
          <w:szCs w:val="20"/>
          <w:color w:val="auto"/>
        </w:rPr>
      </w:pPr>
    </w:p>
    <w:p>
      <w:pPr>
        <w:ind w:right="20" w:firstLine="531"/>
        <w:spacing w:after="0" w:line="259" w:lineRule="auto"/>
        <w:rPr>
          <w:sz w:val="20"/>
          <w:szCs w:val="20"/>
          <w:color w:val="auto"/>
        </w:rPr>
      </w:pPr>
      <w:r>
        <w:rPr>
          <w:rFonts w:ascii="Times New Roman" w:cs="Times New Roman" w:eastAsia="Times New Roman" w:hAnsi="Times New Roman"/>
          <w:sz w:val="18"/>
          <w:szCs w:val="18"/>
          <w:color w:val="auto"/>
        </w:rPr>
        <w:t>Each Borrower shall, or (except with respect to Section 9.11) shall cause Borrowing Agent on its behalf to, until satisfaction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21" w:name="page322"/>
    <w:bookmarkEnd w:id="321"/>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Disclosure of Material Matters</w:t>
      </w:r>
      <w:r>
        <w:rPr>
          <w:rFonts w:ascii="Times New Roman" w:cs="Times New Roman" w:eastAsia="Times New Roman" w:hAnsi="Times New Roman"/>
          <w:sz w:val="18"/>
          <w:szCs w:val="18"/>
          <w:color w:val="auto"/>
        </w:rPr>
        <w:t>. Promptly upon learning thereof, report to Agent (a) all matters materially affecting the value, enforceability or collectability of any portion of the Collateral, including any Borrower’s reclamation or repossession of, or the return to any Borrower of, a material amount of goods or claims or disputes asserted by any Customer or other obligor, and (b) any investigation, hearing, proceeding or other inquest into any Borrower, any Guarantor, or any Affiliate of any Borrower or any Guarantor by any Governmental Body with respect to Anti-Terrorism Laws.</w:t>
      </w:r>
    </w:p>
    <w:p>
      <w:pPr>
        <w:spacing w:after="0" w:line="145"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Deliver to Agent (i) on or before the twentieth (20</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day of each month as and for the prior month (a) accounts receivable ageings, (b) accounts payable schedules, and (c) a Borrowing Base Certificate in form and substance satisfactory to Agent (which shall be calculated as of the last day of the prior month and which shall not be binding upon Agent or restrictive of Agent’s rights under this Agreement), and (ii) twice each week (a) a Borrowing Base Certificate in form and substance satisfactory to Agent (which shall be calculated on a rolling basis as of the reporting date provided and which shall not be binding upon Agent or restrictive of Agent’s rights under this Agreement), and (b) an associated sales report for the applicable reporting period. In addition, each Borrower will deliver to Agent, upon Agent’s request, at such intervals as Agent may require: (i) confirmatory assignment schedules; (ii) copies of Customer’s invoices; (iii) evidence of shipment or delivery; (iv) pipeline report and a report of affiliate balances; and (v) such further schedules, documents and/or information regarding the Collateral as Agent may require including trial balances and test verifications. Agent shall have the right to confirm and verify all Receivables by any manner and through any medium it considers advisable and do whatever it may deem reasonably necessary to protect its interests hereunder. The items to be provided under this Section are to be in form satisfactory to Agent and executed by each Borrower and delivered to Agent from time to time solely for Agent’s convenience in maintaining records of the Collateral, and any Borrower’s failure to deliver any of such items to Agent shall not affect, terminate, modify or otherwise limit Agent’s Lien with respect to the Collateral. Unless otherwise agreed to by Agent, the items to be provided under this Section 9.2 shall be delivered to Agent by the specific method of Approved Electronic Communication designated by Agent.</w:t>
      </w:r>
    </w:p>
    <w:p>
      <w:pPr>
        <w:spacing w:after="0" w:line="14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Environmental Reports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8" w:lineRule="auto"/>
        <w:tabs>
          <w:tab w:leader="none" w:pos="159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Agent, concurrently with the delivery of the financial statements referred to in Sections 9.7 and 9.8, with a certificate signed by the President of Borrowing Agent stating, to the best of his knowledge, that each Borrower is in compliance in all material respects with all applicable Environmental Laws. To the extent any Borrower is not in compliance with the foregoing laws, the certificate shall set forth with specificity all areas of non-compliance and the proposed action such Borrower will implement in order to achieve full compliance.</w:t>
      </w:r>
    </w:p>
    <w:p>
      <w:pPr>
        <w:spacing w:after="0" w:line="146" w:lineRule="exact"/>
        <w:rPr>
          <w:rFonts w:ascii="Times New Roman" w:cs="Times New Roman" w:eastAsia="Times New Roman" w:hAnsi="Times New Roman"/>
          <w:sz w:val="18"/>
          <w:szCs w:val="18"/>
          <w:color w:val="auto"/>
        </w:rPr>
      </w:pPr>
    </w:p>
    <w:p>
      <w:pPr>
        <w:jc w:val="both"/>
        <w:ind w:firstLine="1053"/>
        <w:spacing w:after="0" w:line="237" w:lineRule="auto"/>
        <w:tabs>
          <w:tab w:leader="none" w:pos="159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Borrower obtains, gives or receives notice of any Release or threat of Release of a reportable quantity of any Hazardous Materials at the Real Property (any such event being hereinafter referred to as a “Hazardous Discharge”) or receives any notice of violation, request for information or notification that it is potentially responsible for investigation or cleanup of environmental conditions at the Real Property, demand letter or complaint, order, citation, or other written notice with regard to any Hazardous Discharge or violation of Environmental Laws affecting the Real Property or any Borrower’s interest therein or the operations or the business (any of the foregoing is referred to herein as an “Environmental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22" w:name="page323"/>
    <w:bookmarkEnd w:id="322"/>
    <w:p>
      <w:pPr>
        <w:jc w:val="both"/>
        <w:spacing w:after="0" w:line="239" w:lineRule="auto"/>
        <w:rPr>
          <w:sz w:val="20"/>
          <w:szCs w:val="20"/>
          <w:color w:val="auto"/>
        </w:rPr>
      </w:pPr>
      <w:r>
        <w:rPr>
          <w:rFonts w:ascii="Times New Roman" w:cs="Times New Roman" w:eastAsia="Times New Roman" w:hAnsi="Times New Roman"/>
          <w:sz w:val="18"/>
          <w:szCs w:val="18"/>
          <w:color w:val="auto"/>
        </w:rPr>
        <w:t>Complaint”) from any Person, including any Governmental Body, then Borrowing Agent shall, within five (5) Business Days, give written notice of same to Agent detailing facts and circumstances of which any Borrower is aware giving rise to the Hazardous Discharge or Environmental Complaint. Such information is to be provided to allow Agent to protect its security interest in and Lien on the Collateral and is not intended to create nor shall it create any obligation upon Agent or any Lender with respect thereto.</w:t>
      </w:r>
    </w:p>
    <w:p>
      <w:pPr>
        <w:spacing w:after="0" w:line="148" w:lineRule="exact"/>
        <w:rPr>
          <w:sz w:val="20"/>
          <w:szCs w:val="20"/>
          <w:color w:val="auto"/>
        </w:rPr>
      </w:pPr>
    </w:p>
    <w:p>
      <w:pPr>
        <w:jc w:val="both"/>
        <w:ind w:firstLine="1053"/>
        <w:spacing w:after="0" w:line="236" w:lineRule="auto"/>
        <w:tabs>
          <w:tab w:leader="none" w:pos="159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Agent shall promptly forward to Agent copies of any request for information, notification of potential liability, demand letter relating to potential responsibility with respect to the investigation or cleanup of Hazardous Materials at any other site owned, operated or used by any Borrower to manage of Hazardous Materials and shall continue to forward copies of correspondence between any Borrower and the Governmental Body regarding such claims to Agent until the claim is settled. Borrowing Agent shall promptly forward to Agent copies of all documents and reports concerning a Hazardous Discharge or Environmental Complaint at the Real Property, operations or business that any Borrower is required to file under any Environmental Laws. Such information is to be provided solely to allow Agent to protect Agent’s security interest in and Lien on the Collateral.</w:t>
      </w:r>
    </w:p>
    <w:p>
      <w:pPr>
        <w:spacing w:after="0" w:line="146"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Promptly notify Agent in writing of any claim, litigation, suit or administrative proceeding which could reasonably be expected to result in an Event of Default hereunder or which could reasonably be expected to result in a Material Adverse Effect on any Borrower, Holdings or any Guarantor, whether or not the claim is covered by insurance.</w:t>
      </w:r>
    </w:p>
    <w:p>
      <w:pPr>
        <w:spacing w:after="0" w:line="140"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Material Occurrences</w:t>
      </w:r>
      <w:r>
        <w:rPr>
          <w:rFonts w:ascii="Times New Roman" w:cs="Times New Roman" w:eastAsia="Times New Roman" w:hAnsi="Times New Roman"/>
          <w:sz w:val="18"/>
          <w:szCs w:val="18"/>
          <w:color w:val="auto"/>
        </w:rPr>
        <w:t>. Promptly notify Agent in writing upon the occurrence of: (a) any Event of Default or Default; (b) any event, development or circumstance whereby any financial statements or other reports furnished to Agent fail in any material respect to present fairly, in accordance with IFRS consistently applied, the financial condition or operating results of any Borrower as of the date of such statements; (c) any accumulated retirement plan funding deficiency which, if such deficiency continued for two plan years and was not corrected as provided in Section 4971 of the Code, could subject any Borrower to a tax imposed by Section 4971 of the Code; (d) each and every default by any Borrower which might result in the acceleration of the maturity of any Indebtedness, including the names and addresses of the holders of such Indebtedness with respect to which there is a default existing or with respect to which the maturity has been or could be accelerated, and the amount of such Indebtedness; and (e) any other development in the business or affairs of any Borrower or any Guarantor, which could reasonably be expected to have a Material Adverse Effect; in each case describing the nature thereof and the action Borrowers propose to take with respect thereto.</w:t>
      </w:r>
    </w:p>
    <w:p>
      <w:pPr>
        <w:spacing w:after="0" w:line="150"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Government Receivables</w:t>
      </w:r>
      <w:r>
        <w:rPr>
          <w:rFonts w:ascii="Times New Roman" w:cs="Times New Roman" w:eastAsia="Times New Roman" w:hAnsi="Times New Roman"/>
          <w:sz w:val="18"/>
          <w:szCs w:val="18"/>
          <w:color w:val="auto"/>
        </w:rPr>
        <w:t>. Notify Agent promptly if any of its Receivables arise out of contracts between any Borrower and the United States, any state, or any department, agency or instrumentality of any of them.</w:t>
      </w:r>
    </w:p>
    <w:p>
      <w:pPr>
        <w:spacing w:after="0" w:line="128"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Furnish Agent within one hundred twenty (120) days after the end of each fiscal year of Borrowers, financial statements of Borrowers on a consolidating and consolidated basis including, but not limited to, statements of income and stockholders’ equity and cash flow from the beginning of the current fiscal year to the end of such fiscal year and the balance sheet as at the end of such fiscal year, all prepared in accordance with IFRS applied on 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23" w:name="page324"/>
    <w:bookmarkEnd w:id="323"/>
    <w:p>
      <w:pPr>
        <w:jc w:val="both"/>
        <w:spacing w:after="0" w:line="244" w:lineRule="auto"/>
        <w:rPr>
          <w:sz w:val="20"/>
          <w:szCs w:val="20"/>
          <w:color w:val="auto"/>
        </w:rPr>
      </w:pPr>
      <w:r>
        <w:rPr>
          <w:rFonts w:ascii="Times New Roman" w:cs="Times New Roman" w:eastAsia="Times New Roman" w:hAnsi="Times New Roman"/>
          <w:sz w:val="18"/>
          <w:szCs w:val="18"/>
          <w:color w:val="auto"/>
        </w:rPr>
        <w:t>basis consistent with prior practices, and in reasonable detail and reported upon without qualification by an independent certified public accounting firm selected by Borrowers and satisfactory to Agent (the “Accountants”). In addition, the reports shall be accompanied by a Compliance Certificate.</w:t>
      </w:r>
    </w:p>
    <w:p>
      <w:pPr>
        <w:spacing w:after="0" w:line="142"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Furnish Agent within forty five (45) days after the end of each fiscal quarter, an unaudited balance sheet of Borrowers on a consolidated and consolidating basis and unaudited statements of income and stockholders’ equity and cash flow of Borrowers on a consolidated and consolidating basis reflecting results of operations from the beginning of the fiscal year to the end of such quarter and for such quarter, prepared on a basis consistent with prior practices and complete and correct in all material respects, subject to normal and recurring year-end adjustments that individually and in the aggregate are not material to Borrowers’ business operations and setting forth in comparative form the respective financial statements for the corresponding date and period in the previous fiscal year.</w:t>
      </w:r>
    </w:p>
    <w:p>
      <w:pPr>
        <w:spacing w:after="0" w:line="146"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Furnish Agent within thirty (30) days after the end of each month, an unaudited balance sheet of Borrowers on a consolidated and consolidating basis and unaudited statements of income and stockholders’ equity and cash flow of Borrowers on a consolidated and consolidating basis reflecting results of operations from the beginning of the fiscal year to the end of such month and for such month, prepared on a basis consistent with prior practices and complete and correct in all material respects, subject to normal and recurring year-end adjustments that individually and in the aggregate are not material to Borrowers’ business operations and setting forth in comparative form the respective financial statements for the corresponding date and period in the previous fiscal year. The reports shall be accompanied by a Compliance Certificate.</w:t>
      </w:r>
    </w:p>
    <w:p>
      <w:pPr>
        <w:spacing w:after="0" w:line="146"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Other Reports</w:t>
      </w:r>
      <w:r>
        <w:rPr>
          <w:rFonts w:ascii="Times New Roman" w:cs="Times New Roman" w:eastAsia="Times New Roman" w:hAnsi="Times New Roman"/>
          <w:sz w:val="18"/>
          <w:szCs w:val="18"/>
          <w:color w:val="auto"/>
        </w:rPr>
        <w:t>. Furnish Agent as soon as available, but in any event within ten (10) days after the issuance thereof, with (i) copies of such financial statements, reports and returns as each Borrower shall send to the holders of its Equity Interests and (ii) copies of all financial statements, reports and returns as Holdings shall provide for publication with the exchange on which its Equity Interests are listed and traded. Notwithstanding the foregoing, Borrower and Holdings will be deemed to have furnished such reports and information referred to in this Section 9.10 if Borrower or Holdings (so long as access and instructions therefor are provided to Agent) has, upon prior or contemporaneous notice to Agent, (i) filed such reports with or to such securities exchange or the governing body of such securities exchange in such a manner that such reports or information are publically available, or (ii) otherwise posted such information or reports in an online data system for the benefit of its creditors or stockholders generally.</w:t>
      </w:r>
    </w:p>
    <w:p>
      <w:pPr>
        <w:spacing w:after="0" w:line="148" w:lineRule="exact"/>
        <w:rPr>
          <w:sz w:val="20"/>
          <w:szCs w:val="20"/>
          <w:color w:val="auto"/>
        </w:rPr>
      </w:pPr>
    </w:p>
    <w:p>
      <w:pPr>
        <w:jc w:val="both"/>
        <w:ind w:firstLine="531"/>
        <w:spacing w:after="0" w:line="237"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Furnish Agent with such additional information as Agent shall reasonably request in order to enable Agent to determine whether the terms, covenants, provisions and conditions of this Agreement have been complied with by Borrowers including, without the necessity of any request by Agent, (a) copies of all environmental audits and reviews, (b) at least thirty (30) days prior thereto, notice of any Borrower’s opening of any new office or place of business or any Borrower’s closing of any existing office or place of business, and (c) promptly upon any Borrower’s learning thereof, notice of any labor dispute to which any Borrower may become a party, any strikes or walkouts relating to any of its plants or other facilities, and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color w:val="auto"/>
        </w:rPr>
        <w:t>expiration of any labor contract to which any Borrower is a party or by which any Borrower is bound.</w:t>
      </w:r>
    </w:p>
    <w:p>
      <w:pPr>
        <w:spacing w:after="0" w:line="168"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Projected Operating Budget</w:t>
      </w:r>
      <w:r>
        <w:rPr>
          <w:rFonts w:ascii="Times New Roman" w:cs="Times New Roman" w:eastAsia="Times New Roman" w:hAnsi="Times New Roman"/>
          <w:sz w:val="18"/>
          <w:szCs w:val="18"/>
          <w:color w:val="auto"/>
        </w:rPr>
        <w:t>. Furnish Agent, no later than thirty (30) days after the beginning of each Borrower’s fiscal years commencing with fiscal year 2015, a month by month projected operating budget and cash flow of Borrowers on a consolidated and consolidating basis for such fiscal year (including an income statement for each month and a balance sheet as at the end of the last month in each fiscal quarter), such projections to be accompanied by a certificate signed by the Chief Executive Officer or Chief Financial Officer of each Borrower to the effect that such projections have been prepared on the basis of sound financial planning practice consistent with past budgets and financial statements and that such officer has no reason to question the reasonableness of any material assumptions on which such projections were prepared.</w:t>
      </w:r>
    </w:p>
    <w:p>
      <w:pPr>
        <w:spacing w:after="0" w:line="146"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Variances From Operating Budget</w:t>
      </w:r>
      <w:r>
        <w:rPr>
          <w:rFonts w:ascii="Times New Roman" w:cs="Times New Roman" w:eastAsia="Times New Roman" w:hAnsi="Times New Roman"/>
          <w:sz w:val="18"/>
          <w:szCs w:val="18"/>
          <w:color w:val="auto"/>
        </w:rPr>
        <w:t>. Furnish Agent, concurrently with the delivery of the financial statements referred to in Sections 9.7 and 9.8, a written report summarizing all material variances from budgets submitted by Borrowers pursuant to Section 9.12 and a discussion and analysis by management with respect to such variances.</w:t>
      </w:r>
    </w:p>
    <w:p>
      <w:pPr>
        <w:spacing w:after="0" w:line="140"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Notice of Suits, Adverse Events</w:t>
      </w:r>
      <w:r>
        <w:rPr>
          <w:rFonts w:ascii="Times New Roman" w:cs="Times New Roman" w:eastAsia="Times New Roman" w:hAnsi="Times New Roman"/>
          <w:sz w:val="18"/>
          <w:szCs w:val="18"/>
          <w:color w:val="auto"/>
        </w:rPr>
        <w:t>. Furnish Agent with prompt written notice of (i) any lapse or other termination of any Consent issued to any Borrower by any Governmental Body or any other Person that is material to the operation of any Borrower’s business, (ii) any refusal by any Governmental Body or any other Person to renew or extend any such Consent; and (iii) copies of any periodic or special reports filed by any Borrower or any Guarantor with any Governmental Body or Person, if such reports indicate any material change in the business, operations, affairs or condition of any Borrower or any Guarantor, or if copies thereof are requested by Lender, and (iv) copies of any material notices and other communications from any Governmental Body or Person which specifically relate to any Borrower or any Guarantor.</w:t>
      </w:r>
    </w:p>
    <w:p>
      <w:pPr>
        <w:spacing w:after="0" w:line="146"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ERISA Notices and Requests</w:t>
      </w:r>
      <w:r>
        <w:rPr>
          <w:rFonts w:ascii="Times New Roman" w:cs="Times New Roman" w:eastAsia="Times New Roman" w:hAnsi="Times New Roman"/>
          <w:sz w:val="18"/>
          <w:szCs w:val="18"/>
          <w:color w:val="auto"/>
        </w:rPr>
        <w:t>. Furnish Agent with prompt written notice in the event that (i) any Borrower or any member of the Controlled Group knows or has reason to know that a Termination Event has occurred, together with a written statement describing such Termination Event and the action, if any, which such Borrower or any member of the Controlled Group has taken, is taking, or proposes to take with respect thereto and, when known, any action taken or threatened by the Internal Revenue Service, Department of Labor or PBGC with respect thereto, (ii) any Borrower or any member of the Controlled Group knows or has reason to know that a prohibited transaction (as defined in Sections 406 of ERISA and 4975 of the Code) has occurred together with a written statement describing such transaction and the action which such Borrower or any member of the Controlled Group has taken, is taking or proposes to take with respect thereto, (iii) a funding waiver request has been filed with respect to any Plan together with all communications received by any Borrower or any member of the Controlled Group with respect to such request, (iv) any increase in the benefits of any existing Plan or the establishment of any new Plan or the commencement of contributions to any Plan to which any Borrower or any member of the Controlled Group was not previously contributing shall occur, (v) any Borrower or any member of the Controlled Group shall receive from the PBGC a notice of intention to terminate a Plan or to have a trustee appointed to administer a Plan, together with copies of each such notice, (vi) any Borrower or any member of the Controlled Group shall receive any favorable or unfavorable determination letter from the Internal Revenue Service regarding the qualification of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25" w:name="page326"/>
    <w:bookmarkEnd w:id="325"/>
    <w:p>
      <w:pPr>
        <w:jc w:val="both"/>
        <w:ind w:left="9"/>
        <w:spacing w:after="0" w:line="236" w:lineRule="auto"/>
        <w:rPr>
          <w:sz w:val="20"/>
          <w:szCs w:val="20"/>
          <w:color w:val="auto"/>
        </w:rPr>
      </w:pPr>
      <w:r>
        <w:rPr>
          <w:rFonts w:ascii="Times New Roman" w:cs="Times New Roman" w:eastAsia="Times New Roman" w:hAnsi="Times New Roman"/>
          <w:sz w:val="18"/>
          <w:szCs w:val="18"/>
          <w:color w:val="auto"/>
        </w:rPr>
        <w:t>a Plan under Section 401(a) of the Code, together with copies of each such letter; (vii) any Borrower or any member of the Controlled Group shall receive a notice regarding the imposition of withdrawal liability, together with copies of each such notice; (viii) any Borrower or any member of the Controlled Group shall fail to make a required installment or any other required payment under the Code or ERISA on or before the due date for such installment or payment; or (ix) any Borrower or any member of the Controlled Group knows that (a) a Multiemployer Plan has been terminated, (b) the administrator or plan sponsor of a Multiemployer Plan intends to terminate a Multiemployer Plan, (c) the PBGC has instituted or will institute proceedings under Section 4042 of ERISA to terminate a Multiemployer Plan or (d) a Multiemployer Plan is subject to Section 432 of the Code or Section 305 of ERISA.</w:t>
      </w:r>
    </w:p>
    <w:p>
      <w:pPr>
        <w:spacing w:after="0" w:line="145" w:lineRule="exact"/>
        <w:rPr>
          <w:sz w:val="20"/>
          <w:szCs w:val="20"/>
          <w:color w:val="auto"/>
        </w:rPr>
      </w:pPr>
    </w:p>
    <w:p>
      <w:pPr>
        <w:jc w:val="both"/>
        <w:ind w:left="9" w:firstLine="531"/>
        <w:spacing w:after="0" w:line="259"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Execute and deliver to Agent, upon request, such documents and agreements as Agent may, from time to time, reasonably request to carry out the purposes, terms or conditions of this Agreement.</w:t>
      </w:r>
    </w:p>
    <w:p>
      <w:pPr>
        <w:spacing w:after="0" w:line="128" w:lineRule="exact"/>
        <w:rPr>
          <w:sz w:val="20"/>
          <w:szCs w:val="20"/>
          <w:color w:val="auto"/>
        </w:rPr>
      </w:pPr>
    </w:p>
    <w:p>
      <w:pPr>
        <w:jc w:val="both"/>
        <w:ind w:left="9" w:firstLine="531"/>
        <w:spacing w:after="0" w:line="236" w:lineRule="auto"/>
        <w:rPr>
          <w:sz w:val="20"/>
          <w:szCs w:val="20"/>
          <w:color w:val="auto"/>
        </w:rPr>
      </w:pPr>
      <w:r>
        <w:rPr>
          <w:rFonts w:ascii="Times New Roman" w:cs="Times New Roman" w:eastAsia="Times New Roman" w:hAnsi="Times New Roman"/>
          <w:sz w:val="18"/>
          <w:szCs w:val="18"/>
          <w:color w:val="auto"/>
        </w:rPr>
        <w:t xml:space="preserve">9.17. </w:t>
      </w:r>
      <w:r>
        <w:rPr>
          <w:rFonts w:ascii="Times New Roman" w:cs="Times New Roman" w:eastAsia="Times New Roman" w:hAnsi="Times New Roman"/>
          <w:sz w:val="18"/>
          <w:szCs w:val="18"/>
          <w:u w:val="single" w:color="auto"/>
          <w:color w:val="auto"/>
        </w:rPr>
        <w:t>Updates to Certain Schedules</w:t>
      </w:r>
      <w:r>
        <w:rPr>
          <w:rFonts w:ascii="Times New Roman" w:cs="Times New Roman" w:eastAsia="Times New Roman" w:hAnsi="Times New Roman"/>
          <w:sz w:val="18"/>
          <w:szCs w:val="18"/>
          <w:color w:val="auto"/>
        </w:rPr>
        <w:t>. Deliver to Agent promptly as shall be required to maintain the related representations and warranties as true and correct, updates to Schedules 4.4 (Locations of equipment and Inventory), 5.9 (Intellectual Property, Source Code Escrow Agreements), and 5.24 (Equity Interests); provided, that absent the occurrence and continuance of any Event of Default, Borrower shall only be required to provide such updates on a monthly basis in connection with delivery of a Compliance Certificate with respect to the applicable month. Any such updated Schedules delivered by Borrowers to Agent in accordance with this Section 9.17 shall automatically and immediately be deemed to amend and restate the prior version of such Schedule previously delivered to Agent and attached to and made part of this Agreement.</w:t>
      </w:r>
    </w:p>
    <w:p>
      <w:pPr>
        <w:spacing w:after="0" w:line="146" w:lineRule="exact"/>
        <w:rPr>
          <w:sz w:val="20"/>
          <w:szCs w:val="20"/>
          <w:color w:val="auto"/>
        </w:rPr>
      </w:pPr>
    </w:p>
    <w:p>
      <w:pPr>
        <w:jc w:val="both"/>
        <w:ind w:left="9" w:firstLine="531"/>
        <w:spacing w:after="0" w:line="251" w:lineRule="auto"/>
        <w:rPr>
          <w:sz w:val="20"/>
          <w:szCs w:val="20"/>
          <w:color w:val="auto"/>
        </w:rPr>
      </w:pPr>
      <w:r>
        <w:rPr>
          <w:rFonts w:ascii="Times New Roman" w:cs="Times New Roman" w:eastAsia="Times New Roman" w:hAnsi="Times New Roman"/>
          <w:sz w:val="17"/>
          <w:szCs w:val="17"/>
          <w:color w:val="auto"/>
        </w:rPr>
        <w:t xml:space="preserve">9.18. </w:t>
      </w:r>
      <w:r>
        <w:rPr>
          <w:rFonts w:ascii="Times New Roman" w:cs="Times New Roman" w:eastAsia="Times New Roman" w:hAnsi="Times New Roman"/>
          <w:sz w:val="17"/>
          <w:szCs w:val="17"/>
          <w:u w:val="single" w:color="auto"/>
          <w:color w:val="auto"/>
        </w:rPr>
        <w:t>Financial Disclosure</w:t>
      </w:r>
      <w:r>
        <w:rPr>
          <w:rFonts w:ascii="Times New Roman" w:cs="Times New Roman" w:eastAsia="Times New Roman" w:hAnsi="Times New Roman"/>
          <w:sz w:val="17"/>
          <w:szCs w:val="17"/>
          <w:color w:val="auto"/>
        </w:rPr>
        <w:t>. Each Borrower hereby irrevocably authorizes and directs all accountants and auditors employed by such Borrower at any time during the Term to exhibit and deliver to Agent and each Lender copies of any of such Borrower’s financial statements, trial balances or other accounting records of any sort in the accountant’s or auditor’s possession, and to disclose to Agent and each Lender any information such accountants may have concerning such Borrower’s financial status and business operations. Each Borrower hereby authorizes all Governmental Bodies to furnish to Agent and each Lender copies of reports or examinations relating to such Borrower, whether made by such Borrower or otherwise; however, Agent and each Lender will attempt to obtain such information or materials directly from such Borrower prior to obtaining such information or materials from such accountants or Governmental Bodies.</w:t>
      </w:r>
    </w:p>
    <w:p>
      <w:pPr>
        <w:spacing w:after="0" w:line="140" w:lineRule="exact"/>
        <w:rPr>
          <w:sz w:val="20"/>
          <w:szCs w:val="20"/>
          <w:color w:val="auto"/>
        </w:rPr>
      </w:pPr>
    </w:p>
    <w:p>
      <w:pPr>
        <w:jc w:val="both"/>
        <w:ind w:left="9" w:right="20" w:firstLine="531"/>
        <w:spacing w:after="0" w:line="245" w:lineRule="auto"/>
        <w:rPr>
          <w:sz w:val="20"/>
          <w:szCs w:val="20"/>
          <w:color w:val="auto"/>
        </w:rPr>
      </w:pPr>
      <w:r>
        <w:rPr>
          <w:rFonts w:ascii="Times New Roman" w:cs="Times New Roman" w:eastAsia="Times New Roman" w:hAnsi="Times New Roman"/>
          <w:sz w:val="18"/>
          <w:szCs w:val="18"/>
          <w:color w:val="auto"/>
        </w:rPr>
        <w:t xml:space="preserve">9.19. </w:t>
      </w:r>
      <w:r>
        <w:rPr>
          <w:rFonts w:ascii="Times New Roman" w:cs="Times New Roman" w:eastAsia="Times New Roman" w:hAnsi="Times New Roman"/>
          <w:sz w:val="18"/>
          <w:szCs w:val="18"/>
          <w:u w:val="single" w:color="auto"/>
          <w:color w:val="auto"/>
        </w:rPr>
        <w:t>Customer Documents.</w:t>
      </w:r>
      <w:r>
        <w:rPr>
          <w:rFonts w:ascii="Times New Roman" w:cs="Times New Roman" w:eastAsia="Times New Roman" w:hAnsi="Times New Roman"/>
          <w:sz w:val="18"/>
          <w:szCs w:val="18"/>
          <w:color w:val="auto"/>
        </w:rPr>
        <w:t xml:space="preserve"> Notify Agent if any Borrower is or becomes party to any agreement with a Customer pursuant to which such Customer may exercise any rights of setoff against such Borrower, whether under such agreement or pursuant to applicable law, and provide to Agent copies of all documents and instruments evidencing any such agreements.</w:t>
      </w:r>
    </w:p>
    <w:p>
      <w:pPr>
        <w:spacing w:after="0" w:line="140" w:lineRule="exact"/>
        <w:rPr>
          <w:sz w:val="20"/>
          <w:szCs w:val="20"/>
          <w:color w:val="auto"/>
        </w:rPr>
      </w:pPr>
    </w:p>
    <w:p>
      <w:pPr>
        <w:ind w:left="529" w:hanging="529"/>
        <w:spacing w:after="0"/>
        <w:tabs>
          <w:tab w:leader="none" w:pos="52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w:t>
      </w:r>
    </w:p>
    <w:p>
      <w:pPr>
        <w:spacing w:after="0" w:line="169" w:lineRule="exact"/>
        <w:rPr>
          <w:rFonts w:ascii="Times New Roman" w:cs="Times New Roman" w:eastAsia="Times New Roman" w:hAnsi="Times New Roman"/>
          <w:sz w:val="18"/>
          <w:szCs w:val="18"/>
          <w:color w:val="auto"/>
        </w:rPr>
      </w:pPr>
    </w:p>
    <w:p>
      <w:pPr>
        <w:ind w:left="5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one or more of the following events shall constitute an “Event of Default”: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26" w:name="page327"/>
    <w:bookmarkEnd w:id="326"/>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Failure by any Borrower to pay when due (a) any principal or interest on the Obligations (including without limitation pursuant to Section 2.9), or (b) any other fee, charge, amount or liability provided for herein or in any Other Document, in each case whether at maturity, by reason of acceleration pursuant to the terms of this Agreement, by notice of intention to prepay or by required prepayment.</w:t>
      </w:r>
    </w:p>
    <w:p>
      <w:pPr>
        <w:spacing w:after="0" w:line="144"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Breach of Representation</w:t>
      </w:r>
      <w:r>
        <w:rPr>
          <w:rFonts w:ascii="Times New Roman" w:cs="Times New Roman" w:eastAsia="Times New Roman" w:hAnsi="Times New Roman"/>
          <w:sz w:val="18"/>
          <w:szCs w:val="18"/>
          <w:color w:val="auto"/>
        </w:rPr>
        <w:t>. Except as provided in Section 10.18, any representation or warranty made or deemed made by any Borrower or any Guarantor in this Agreement, any Other Document or any related agreement or in any certificate, document or financial or other statement furnished at any time in connection herewith or therewith shall prove to have been incorrect or misleading in any material respect on the date when made or deemed to have been made;</w:t>
      </w:r>
    </w:p>
    <w:p>
      <w:pPr>
        <w:spacing w:after="0" w:line="145"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Failure by any Borrower to (i) furnish financial information when due or within three (3) Business Days following a request hereunder, or (ii) permit the inspection of its books or records or access to its premises for audits and appraisals in accordance with the terms hereof;</w:t>
      </w:r>
    </w:p>
    <w:p>
      <w:pPr>
        <w:spacing w:after="0" w:line="140" w:lineRule="exact"/>
        <w:rPr>
          <w:sz w:val="20"/>
          <w:szCs w:val="20"/>
          <w:color w:val="auto"/>
        </w:rPr>
      </w:pPr>
    </w:p>
    <w:p>
      <w:pPr>
        <w:jc w:val="both"/>
        <w:ind w:right="20" w:firstLine="531"/>
        <w:spacing w:after="0" w:line="24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Judicial Actions</w:t>
      </w:r>
      <w:r>
        <w:rPr>
          <w:rFonts w:ascii="Times New Roman" w:cs="Times New Roman" w:eastAsia="Times New Roman" w:hAnsi="Times New Roman"/>
          <w:sz w:val="18"/>
          <w:szCs w:val="18"/>
          <w:color w:val="auto"/>
        </w:rPr>
        <w:t>. Issuance of a notice of Lien, levy, assessment, injunction or attachment (a) against any Borrower’s Inventory or Receivables or (b) against a material portion of any Borrower’s other property which, in either case, is not stayed or lifted within thirty (30) days;</w:t>
      </w:r>
    </w:p>
    <w:p>
      <w:pPr>
        <w:spacing w:after="0" w:line="140"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Noncompliance</w:t>
      </w:r>
      <w:r>
        <w:rPr>
          <w:rFonts w:ascii="Times New Roman" w:cs="Times New Roman" w:eastAsia="Times New Roman" w:hAnsi="Times New Roman"/>
          <w:sz w:val="18"/>
          <w:szCs w:val="18"/>
          <w:color w:val="auto"/>
        </w:rPr>
        <w:t>. Except as otherwise provided for in Sections 10.1, 10.3, 10.5(ii), and 10.18 (i) failure or neglect of any Borrower to perform, keep or observe any term, provision, condition, covenant contained in Sections 2.22, 4.3, 4.6, 6.2(a), 6.2(b), 6.5, 6.8, 9.1, 9.15 or Article VII, or (ii) failure or neglect of any Borrower or any Guarantor to perform, keep or observe any other term, provision, condition or covenant, contained herein or in any Other Document which is not cured within fifteen (15) days from the earlier of (a) knowledge of such failure by a Borrower or (b) the date on which Borrowers receive written notice of such failure from the Agent;</w:t>
      </w:r>
    </w:p>
    <w:p>
      <w:pPr>
        <w:spacing w:after="0" w:line="146"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Any (a) judgment or judgments, writ(s), order(s) or decree(s) for the payment of money are rendered against any Borrower or any Guarantor for an aggregate amount in excess of $500,000 or against all Borrowers or Guarantors for an aggregate amount in excess of $500,000 and (b) (i) action shall be legally taken by any judgment creditor to levy upon assets or properties of any Borrower or any Guarantor to enforce any such judgment, (ii) such judgment shall remain undischarged for a period of thirty (30) consecutive days during which a stay of enforcement of such judgment, by reason of a pending appeal or otherwise, shall not be in effect, or (iii) any Liens arising by virtue of the rendition, entry or issuance of such judgment upon assets or properties of any Borrower or any Guarantor shall be senior to any Liens in favor of Agent on such assets or properties;</w:t>
      </w:r>
    </w:p>
    <w:p>
      <w:pPr>
        <w:spacing w:after="0" w:line="146"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Any Borrower, any Guarantor, any Subsidiary or Affiliate of any Borrower shall (i) apply for, consent to or suffer the appointment of, or the taking of possession by, a receiver, custodian, trustee, liquidator or similar fiduciary of itself or of all or a substantial part of its property, (ii) admit in writing its inability, or be generally unable, to pay its debts as they become due or cease operations of its present business, (iii) make a general assignment for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27" w:name="page328"/>
    <w:bookmarkEnd w:id="327"/>
    <w:p>
      <w:pPr>
        <w:jc w:val="both"/>
        <w:spacing w:after="0" w:line="238" w:lineRule="auto"/>
        <w:rPr>
          <w:sz w:val="20"/>
          <w:szCs w:val="20"/>
          <w:color w:val="auto"/>
        </w:rPr>
      </w:pPr>
      <w:r>
        <w:rPr>
          <w:rFonts w:ascii="Times New Roman" w:cs="Times New Roman" w:eastAsia="Times New Roman" w:hAnsi="Times New Roman"/>
          <w:sz w:val="18"/>
          <w:szCs w:val="18"/>
          <w:color w:val="auto"/>
        </w:rPr>
        <w:t>benefit of creditors, (iv) commence a voluntary case under any state or federal bankruptcy or receivership laws (as now or hereafter in effect), (v) be adjudicated a bankrupt or insolvent (including by entry of any order for relief in any involuntary bankruptcy or insolvency proceeding commenced against it), (vi) file a petition seeking to take advantage of any other law providing for the relief of debtors, (vii) acquiesce to, or fail to have dismissed, within thirty (30) days, any petition filed against it in any involuntary case under such bankruptcy laws, or (viii) take any action for the purpose of effecting any of the foregoing;</w:t>
      </w:r>
    </w:p>
    <w:p>
      <w:pPr>
        <w:spacing w:after="0" w:line="145"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Lien Priorit</w:t>
      </w:r>
      <w:r>
        <w:rPr>
          <w:rFonts w:ascii="Times New Roman" w:cs="Times New Roman" w:eastAsia="Times New Roman" w:hAnsi="Times New Roman"/>
          <w:sz w:val="18"/>
          <w:szCs w:val="18"/>
          <w:color w:val="auto"/>
        </w:rPr>
        <w:t>y. Any Lien created hereunder or provided for hereby or under any related agreement for any reason ceases to be or is not a valid and perfected Lien having a first priority interest (subject only to Permitted Encumbrances that have priority as a matter of Applicable Law to the extent such Liens only attach to Collateral other than Receivables or Inventory);</w:t>
      </w:r>
    </w:p>
    <w:p>
      <w:pPr>
        <w:spacing w:after="0" w:line="140" w:lineRule="exact"/>
        <w:rPr>
          <w:sz w:val="20"/>
          <w:szCs w:val="20"/>
          <w:color w:val="auto"/>
        </w:rPr>
      </w:pPr>
    </w:p>
    <w:p>
      <w:pPr>
        <w:jc w:val="both"/>
        <w:ind w:firstLine="531"/>
        <w:spacing w:after="0" w:line="251"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Affiliate Cross Default</w:t>
      </w:r>
      <w:r>
        <w:rPr>
          <w:rFonts w:ascii="Times New Roman" w:cs="Times New Roman" w:eastAsia="Times New Roman" w:hAnsi="Times New Roman"/>
          <w:sz w:val="17"/>
          <w:szCs w:val="17"/>
          <w:color w:val="auto"/>
        </w:rPr>
        <w:t>. Either (x) any specified “event of default” under any Indebtedness of any Affiliate of any Borrower with a then-outstanding principal balance (or, in the case of any Indebtedness not so denominated, with a then-outstanding total obligation amount) of $250,000 or more, or any other event or circumstance which would permit the holder of any such Indebtedness of any Affiliate of any Borrower to accelerate such Indebtedness (and/or the obligations of any Affiliate of any Borrower thereunder) prior to the scheduled maturity or termination thereof, shall occur (regardless of whether the holder of such Indebtedness shall actually accelerate, terminate or otherwise exercise any rights or remedies with respect to such Indebtedness) or (y) a default of the obligations of any Affiliate of any Borrower under any other agreement to which it is a party shall occur which has or is reasonably likely to have a Material Adverse Effect;</w:t>
      </w:r>
    </w:p>
    <w:p>
      <w:pPr>
        <w:spacing w:after="0" w:line="140" w:lineRule="exact"/>
        <w:rPr>
          <w:sz w:val="20"/>
          <w:szCs w:val="20"/>
          <w:color w:val="auto"/>
        </w:rPr>
      </w:pPr>
    </w:p>
    <w:p>
      <w:pPr>
        <w:jc w:val="both"/>
        <w:ind w:firstLine="531"/>
        <w:spacing w:after="0" w:line="23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Cross Default</w:t>
      </w:r>
      <w:r>
        <w:rPr>
          <w:rFonts w:ascii="Times New Roman" w:cs="Times New Roman" w:eastAsia="Times New Roman" w:hAnsi="Times New Roman"/>
          <w:sz w:val="18"/>
          <w:szCs w:val="18"/>
          <w:color w:val="auto"/>
        </w:rPr>
        <w:t>. Either (x) any specified “event of default” under any Indebtedness (other than the Obligations) of any Borrower with a then-outstanding principal balance (or, in the case of any Indebtedness not so denominated, with a then-outstanding total obligation amount) of $500,000 or more, or any other event or circumstance which would permit the holder of any such Indebtedness of any Borrower to accelerate such Indebtedness (and/or the obligations of Borrower thereunder) prior to the scheduled maturity or termination thereof, shall occur (regardless of whether the holder of such Indebtedness shall actually accelerate, terminate or otherwise exercise any rights or remedies with respect to such Indebtedness) or (y) a default of the obligations of any Borrower under any other agreement to which it is a party shall occur which has or is reasonably likely to have a Material Adverse Effect;</w:t>
      </w:r>
    </w:p>
    <w:p>
      <w:pPr>
        <w:spacing w:after="0" w:line="146"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Breach of Guaranty or Pledge Agreement</w:t>
      </w:r>
      <w:r>
        <w:rPr>
          <w:rFonts w:ascii="Times New Roman" w:cs="Times New Roman" w:eastAsia="Times New Roman" w:hAnsi="Times New Roman"/>
          <w:sz w:val="18"/>
          <w:szCs w:val="18"/>
          <w:color w:val="auto"/>
        </w:rPr>
        <w:t>. Termination or breach of any Guaranty, Guarantor Security Agreement, Pledge Agreement or similar agreement executed and delivered to Agent in connection with the Obligations of any Borrower, or if any Guarantor or pledgor attempts to terminate, challenges the validity of, or its liability under, any such Guaranty, Guarantor Security Agreement, Pledge Agreement or similar agreement;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Any Change of Control shall occur;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28" w:name="page329"/>
    <w:bookmarkEnd w:id="328"/>
    <w:p>
      <w:pPr>
        <w:jc w:val="both"/>
        <w:ind w:firstLine="531"/>
        <w:spacing w:after="0" w:line="244"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Invalidity</w:t>
      </w:r>
      <w:r>
        <w:rPr>
          <w:rFonts w:ascii="Times New Roman" w:cs="Times New Roman" w:eastAsia="Times New Roman" w:hAnsi="Times New Roman"/>
          <w:sz w:val="18"/>
          <w:szCs w:val="18"/>
          <w:color w:val="auto"/>
        </w:rPr>
        <w:t>. Any material provision of this Agreement or any Other Document shall, for any reason, cease to be valid and binding on any Borrower or any Guarantor, or any Borrower or any Guarantor shall so claim in writing to Agent or any Lender or any Borrower challenges the validity of or its liability under this Agreement or any Other Document;</w:t>
      </w:r>
    </w:p>
    <w:p>
      <w:pPr>
        <w:spacing w:after="0" w:line="142"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Seizures</w:t>
      </w:r>
      <w:r>
        <w:rPr>
          <w:rFonts w:ascii="Times New Roman" w:cs="Times New Roman" w:eastAsia="Times New Roman" w:hAnsi="Times New Roman"/>
          <w:sz w:val="18"/>
          <w:szCs w:val="18"/>
          <w:color w:val="auto"/>
        </w:rPr>
        <w:t>. Any (a) portion of the Collateral shall be seized, subject to garnishment or taken by a Governmental Body, or any Borrower or any Guarantor, or (b) the title and rights of any Borrower, Holdings or any Guarantor which is the owner of any material portion of the Collateral shall have become the subject matter of claim, litigation, suit, garnishment or other proceeding which might, in the opinion of Agent, upon final determination, result in impairment or loss of the security provided by this Agreement or the Other Documents;</w:t>
      </w:r>
    </w:p>
    <w:p>
      <w:pPr>
        <w:spacing w:after="0" w:line="146" w:lineRule="exact"/>
        <w:rPr>
          <w:sz w:val="20"/>
          <w:szCs w:val="20"/>
          <w:color w:val="auto"/>
        </w:rPr>
      </w:pPr>
    </w:p>
    <w:p>
      <w:pPr>
        <w:jc w:val="both"/>
        <w:ind w:firstLine="531"/>
        <w:spacing w:after="0" w:line="250" w:lineRule="auto"/>
        <w:rPr>
          <w:sz w:val="20"/>
          <w:szCs w:val="20"/>
          <w:color w:val="auto"/>
        </w:rPr>
      </w:pPr>
      <w:r>
        <w:rPr>
          <w:rFonts w:ascii="Times New Roman" w:cs="Times New Roman" w:eastAsia="Times New Roman" w:hAnsi="Times New Roman"/>
          <w:sz w:val="17"/>
          <w:szCs w:val="17"/>
          <w:color w:val="auto"/>
        </w:rPr>
        <w:t xml:space="preserve">10.16. </w:t>
      </w:r>
      <w:r>
        <w:rPr>
          <w:rFonts w:ascii="Times New Roman" w:cs="Times New Roman" w:eastAsia="Times New Roman" w:hAnsi="Times New Roman"/>
          <w:sz w:val="17"/>
          <w:szCs w:val="17"/>
          <w:u w:val="single" w:color="auto"/>
          <w:color w:val="auto"/>
        </w:rPr>
        <w:t>Operations</w:t>
      </w:r>
      <w:r>
        <w:rPr>
          <w:rFonts w:ascii="Times New Roman" w:cs="Times New Roman" w:eastAsia="Times New Roman" w:hAnsi="Times New Roman"/>
          <w:sz w:val="17"/>
          <w:szCs w:val="17"/>
          <w:color w:val="auto"/>
        </w:rPr>
        <w:t>. The operations of any Borrower’s or any Guarantor’s facility are interrupted (other than in connection with any regularly scheduled shutdown for employee vacations and/or maintenance in the Ordinary Course of Business) at any time for more than four (4) consecutive days, unless such Borrower or Guarantor shall (i) be entitled to receive for such period of interruption, proceeds of business interruption insurance sufficient to assure that its per diem cash needs during such period is at least equal to its average per diem cash needs for the consecutive three month period immediately preceding the initial date of interruption and (ii) receive such proceeds in the amount described in clause (i) preceding not later than thirty (30) days following the initial date of any such interruption; provided, however, that notwithstanding the provisions of clauses (i) and (ii) of this section, an Event of Default shall be deemed to have occurred if such Borrower or Guarantor shall be receiving the proceeds of business interruption insurance for a period of thirty (30) consecutive days;</w:t>
      </w:r>
    </w:p>
    <w:p>
      <w:pPr>
        <w:spacing w:after="0" w:line="141"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Pension Plans</w:t>
      </w:r>
      <w:r>
        <w:rPr>
          <w:rFonts w:ascii="Times New Roman" w:cs="Times New Roman" w:eastAsia="Times New Roman" w:hAnsi="Times New Roman"/>
          <w:sz w:val="18"/>
          <w:szCs w:val="18"/>
          <w:color w:val="auto"/>
        </w:rPr>
        <w:t>. An event or condition specified in Sections 7.16 or 9.15 hereof shall occur or exist with respect to any Plan and, as a result of such event or condition, together with all other such events or conditions, any Borrower or any member of the Controlled Group shall incur, or in the opinion of Agent be reasonably likely to incur, a liability to a Plan or the PBGC (or both) which, in the reasonable judgment of Agent, would have a Material Adverse Effect; or the occurrence of any Termination Event, or any Borrower’s failure to promptly report a Termination Event in accordance with Section 9.15 hereof; or</w:t>
      </w:r>
    </w:p>
    <w:p>
      <w:pPr>
        <w:spacing w:after="0" w:line="146"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If (i) any representation or warranty contained in (x) Section 16.18 hereof or (y) any corresponding section of any Guaranty is or becomes false or misleading at any time, (ii) any Borrower shall fail to comply with its obligations under Section 16.18 hereof, or (iii) any Guarantor shall fail to comply with its obligations under any section of any Guaranty containing provisions comparable to those set forth in Section 16.18 hereof.</w:t>
      </w:r>
    </w:p>
    <w:p>
      <w:pPr>
        <w:spacing w:after="0" w:line="1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XI.</w:t>
      </w:r>
      <w:r>
        <w:rPr>
          <w:sz w:val="20"/>
          <w:szCs w:val="20"/>
          <w:color w:val="auto"/>
        </w:rPr>
        <w:tab/>
      </w:r>
      <w:r>
        <w:rPr>
          <w:rFonts w:ascii="Times New Roman" w:cs="Times New Roman" w:eastAsia="Times New Roman" w:hAnsi="Times New Roman"/>
          <w:sz w:val="18"/>
          <w:szCs w:val="18"/>
          <w:color w:val="auto"/>
        </w:rPr>
        <w:t>LENDERS’ RIGHTS AND REMEDIES AFTER DEFAULT.</w:t>
      </w:r>
    </w:p>
    <w:p>
      <w:pPr>
        <w:spacing w:after="0" w:line="16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auto"/>
        </w:rPr>
        <w:t>Rights and Remedies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45" w:lineRule="auto"/>
        <w:tabs>
          <w:tab w:leader="none" w:pos="159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(i) an Event of Default pursuant to Section 10.7 (other than Section 10.7(vii)), all Obligations shall be immediately due and payable and this Agreement and the obligation of Lenders to make Advances shall be deemed terminated, (ii) any of the other Events of Default and at any time thereafter, at the option of Agent or at the direction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29" w:name="page330"/>
    <w:bookmarkEnd w:id="329"/>
    <w:p>
      <w:pPr>
        <w:jc w:val="both"/>
        <w:spacing w:after="0" w:line="232" w:lineRule="auto"/>
        <w:rPr>
          <w:sz w:val="20"/>
          <w:szCs w:val="20"/>
          <w:color w:val="auto"/>
        </w:rPr>
      </w:pPr>
      <w:r>
        <w:rPr>
          <w:rFonts w:ascii="Times New Roman" w:cs="Times New Roman" w:eastAsia="Times New Roman" w:hAnsi="Times New Roman"/>
          <w:sz w:val="18"/>
          <w:szCs w:val="18"/>
          <w:color w:val="auto"/>
        </w:rPr>
        <w:t>of Required Lenders all Obligations shall be immediately due and payable and Agent or Required Lenders shall have the right to terminate this Agreement and to terminate the obligation of Lenders to make Advances; and (iii) without limiting Section 8.2 hereof, any Default under Sections 10.7(vii) hereof, the obligation of Lenders to make Advances hereunder shall be suspended until such time as such involuntary petition shall be dismissed. Upon the occurrence of any Event of Default, Agent shall have the right to exercise any and all rights and remedies provided for herein, under the Other Documents, under the Uniform Commercial Code and at law or equity generally, including the right to foreclose the security interests granted herein and to realize upon any Collateral by any available judicial procedure and/or to take possession of and sell any or all of the Collateral with or without judicial process. Agent may enter any of any Borrower’s premises or other premises without legal process and without incurring liability to any Borrower therefor, and Agent may thereupon, or at any time thereafter, in its discretion without notice or demand, take the Collateral and remove the same to such place as Agent may deem advisable and Agent may require Borrowers to make the Collateral available to Agent at a convenient place. With or without having the Collateral at the time or place of sale, Agent may sell the Collateral, or any part thereof, at public or private sale, at any time or place, in one or more sales, at such price or prices, and upon such terms, either for cash, credit or future delivery, as Agent may elect. Except as to that part of the Collateral which is perishable or threatens to decline speedily in value or is of a type customarily sold on a recognized market, Agent shall give Borrowers reasonable notification of such sale or sales, it being agreed that in all events written notice mailed to Borrowing Agent at least ten (10) days prior to such sale or sales is reasonable notification. At any public sale Agent or any Lender may bid (including credit bid) for and become the purchaser, and Agent, any Lender or any other purchaser at any such sale thereafter shall hold the Collateral sold absolutely free from any claim or right of whatsoever kind, including any equity of redemption and all such claims, rights and equities are hereby expressly waived and released by each Borrower. In connection with the exercise of the foregoing remedies, including the sale of Inventory, Agent is granted a perpetual nonrevocable, royalty free, nonexclusive license and Agent is granted permission to use all of each Borrower’s (a) Intellectual Property which is used or useful in connection with Inventory for the purpose of marketing, advertising for sale and selling or otherwise disposing of such Inventory and (b) equipment for the purpose of completing the manufacture of unfinished goods. The cash proceeds realized from the sale of any Collateral shall be applied to the Obligations in the order set forth in Section 11.5 hereof. Noncash proceeds will only be applied to the Obligations as they are converted into cash. If any deficiency shall arise, Borrowers shall remain liable to Agent and Lenders therefor.</w:t>
      </w:r>
    </w:p>
    <w:p>
      <w:pPr>
        <w:spacing w:after="0" w:line="152" w:lineRule="exact"/>
        <w:rPr>
          <w:sz w:val="20"/>
          <w:szCs w:val="20"/>
          <w:color w:val="auto"/>
        </w:rPr>
      </w:pPr>
    </w:p>
    <w:p>
      <w:pPr>
        <w:jc w:val="both"/>
        <w:ind w:firstLine="1053"/>
        <w:spacing w:after="0" w:line="235" w:lineRule="auto"/>
        <w:tabs>
          <w:tab w:leader="none" w:pos="159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Applicable Law imposes duties on Agent to exercise remedies in a commercially reasonable manner, each Borrower acknowledges and agrees that it is not commercially unreasonable for Agent: (i) to fail to incur expenses reasonably deemed significant by Agent to prepare Collateral for disposition or otherwise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Customers or other Persons obligated on Collateral or to remove Liens on or any adverse claims against Collateral; (iv) to exercise collection remedies against Customers and other Persons obligated on Collateral directly or through the use of collection agencies and other collection specialists; (v) to advertise dispositions of Collateral through publications or media of general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30" w:name="page331"/>
    <w:bookmarkEnd w:id="330"/>
    <w:p>
      <w:pPr>
        <w:jc w:val="both"/>
        <w:ind w:left="9"/>
        <w:spacing w:after="0" w:line="247" w:lineRule="auto"/>
        <w:rPr>
          <w:sz w:val="20"/>
          <w:szCs w:val="20"/>
          <w:color w:val="auto"/>
        </w:rPr>
      </w:pPr>
      <w:r>
        <w:rPr>
          <w:rFonts w:ascii="Times New Roman" w:cs="Times New Roman" w:eastAsia="Times New Roman" w:hAnsi="Times New Roman"/>
          <w:sz w:val="17"/>
          <w:szCs w:val="17"/>
          <w:color w:val="auto"/>
        </w:rPr>
        <w:t>circulation, whether or not the Collateral is of a specialized nature; (vi) to contact other Persons, whether or not in the same business as any Borrower,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Agent against risks of loss, collection or disposition of Collateral or to provide to Agent a guaranteed return from the collection or disposition of Collateral; or</w:t>
      </w:r>
    </w:p>
    <w:p>
      <w:pPr>
        <w:spacing w:after="0" w:line="5" w:lineRule="exact"/>
        <w:rPr>
          <w:sz w:val="20"/>
          <w:szCs w:val="20"/>
          <w:color w:val="auto"/>
        </w:rPr>
      </w:pPr>
    </w:p>
    <w:p>
      <w:pPr>
        <w:jc w:val="both"/>
        <w:ind w:left="9" w:hanging="9"/>
        <w:spacing w:after="0" w:line="232" w:lineRule="auto"/>
        <w:tabs>
          <w:tab w:leader="none" w:pos="38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deemed appropriate by the Agent, to obtain the services of other brokers, investment bankers, consultants and other professionals to assist Agent in the collection or disposition of any of the Collateral. Each Borrower acknowledges that the purpose of this Section 11.1(b) is to provide non-exhaustive indications of what actions or omissions by Agent would not be commercially unreasonable in Agent’s exercise of remedies against the Collateral and that other actions or omissions by Agent shall not be deemed commercially unreasonable solely on account of not being indicated in this Section 11.1(b). Without limitation upon the foregoing, nothing contained in this Section 11.1(b) shall be construed to grant any rights to any Borrower or to impose any duties on Agent that would not have been granted or imposed by this Agreement or by Applicable Law in the absence of this Section 11.1(b).</w:t>
      </w:r>
    </w:p>
    <w:p>
      <w:pPr>
        <w:spacing w:after="0" w:line="150" w:lineRule="exact"/>
        <w:rPr>
          <w:sz w:val="20"/>
          <w:szCs w:val="20"/>
          <w:color w:val="auto"/>
        </w:rPr>
      </w:pPr>
    </w:p>
    <w:p>
      <w:pPr>
        <w:jc w:val="both"/>
        <w:ind w:left="9" w:firstLine="531"/>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Agent’s Discretion</w:t>
      </w:r>
      <w:r>
        <w:rPr>
          <w:rFonts w:ascii="Times New Roman" w:cs="Times New Roman" w:eastAsia="Times New Roman" w:hAnsi="Times New Roman"/>
          <w:sz w:val="18"/>
          <w:szCs w:val="18"/>
          <w:color w:val="auto"/>
        </w:rPr>
        <w:t>. Agent shall have the right in its sole discretion to determine which rights, Liens, security interests or remedies Agent may at any time pursue, relinquish, subordinate, or modify, which procedures, timing and methodologies to employ, and what any other action to take with respect to any or all of the Collateral and in what order, thereto and such determination will not in any way modify or affect any of Agent’s or Lenders’ rights hereunder as against Borrowers or each other.</w:t>
      </w:r>
    </w:p>
    <w:p>
      <w:pPr>
        <w:spacing w:after="0" w:line="145" w:lineRule="exact"/>
        <w:rPr>
          <w:sz w:val="20"/>
          <w:szCs w:val="20"/>
          <w:color w:val="auto"/>
        </w:rPr>
      </w:pPr>
    </w:p>
    <w:p>
      <w:pPr>
        <w:jc w:val="both"/>
        <w:ind w:left="9" w:firstLine="531"/>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Subject to Section 14.13, in addition to any other rights which Agent or any Lender may have under Applicable Law, upon the occurrence of an Event of Default hereunder, Agent and such Lender shall have a right, immediately and without notice of any kind, to apply any Borrower’s property held by Agent and such Lender or any of their Affiliates to reduce the Obligations and to exercise any and all rights of setoff which may be available to Agent and such Lender with respect to any deposits held by Agent or such Lender.</w:t>
      </w:r>
    </w:p>
    <w:p>
      <w:pPr>
        <w:spacing w:after="0" w:line="145" w:lineRule="exact"/>
        <w:rPr>
          <w:sz w:val="20"/>
          <w:szCs w:val="20"/>
          <w:color w:val="auto"/>
        </w:rPr>
      </w:pPr>
    </w:p>
    <w:p>
      <w:pPr>
        <w:jc w:val="both"/>
        <w:ind w:left="9" w:firstLine="531"/>
        <w:spacing w:after="0" w:line="24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Rights and Remedies not Exclusive</w:t>
      </w:r>
      <w:r>
        <w:rPr>
          <w:rFonts w:ascii="Times New Roman" w:cs="Times New Roman" w:eastAsia="Times New Roman" w:hAnsi="Times New Roman"/>
          <w:sz w:val="18"/>
          <w:szCs w:val="18"/>
          <w:color w:val="auto"/>
        </w:rPr>
        <w:t>. The enumeration of the foregoing rights and remedies is not intended to be exhaustive and the exercise of any rights or remedy shall not preclude the exercise of any other right or remedies provided for herein or otherwise provided by law, all of which shall be cumulative and not alternative.</w:t>
      </w:r>
    </w:p>
    <w:p>
      <w:pPr>
        <w:spacing w:after="0" w:line="140" w:lineRule="exact"/>
        <w:rPr>
          <w:sz w:val="20"/>
          <w:szCs w:val="20"/>
          <w:color w:val="auto"/>
        </w:rPr>
      </w:pPr>
    </w:p>
    <w:p>
      <w:pPr>
        <w:jc w:val="both"/>
        <w:ind w:left="9" w:firstLine="531"/>
        <w:spacing w:after="0"/>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Allocation of Payments After Event of Default</w:t>
      </w:r>
      <w:r>
        <w:rPr>
          <w:rFonts w:ascii="Times New Roman" w:cs="Times New Roman" w:eastAsia="Times New Roman" w:hAnsi="Times New Roman"/>
          <w:sz w:val="18"/>
          <w:szCs w:val="18"/>
          <w:color w:val="auto"/>
        </w:rPr>
        <w:t>. Notwithstanding any other provisions of this Agreement to the contrary, after the occurrence and during the continuance of an Event of Default, all amounts collected or received by Agent on account of the Obligations (including without limitation any amounts on account of any of Cash Management Liabilities or Hedge Liabilities), or in respect of the Collateral may, at Agent’s discretion, be paid over or delivered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31" w:name="page332"/>
    <w:bookmarkEnd w:id="331"/>
    <w:p>
      <w:pPr>
        <w:jc w:val="both"/>
        <w:ind w:right="20" w:firstLine="531"/>
        <w:spacing w:after="0" w:line="244" w:lineRule="auto"/>
        <w:rPr>
          <w:sz w:val="20"/>
          <w:szCs w:val="20"/>
          <w:color w:val="auto"/>
        </w:rPr>
      </w:pPr>
      <w:r>
        <w:rPr>
          <w:rFonts w:ascii="Times New Roman" w:cs="Times New Roman" w:eastAsia="Times New Roman" w:hAnsi="Times New Roman"/>
          <w:sz w:val="18"/>
          <w:szCs w:val="18"/>
          <w:color w:val="auto"/>
        </w:rPr>
        <w:t>FIRST, to the payment of all reasonable out-of-pocket costs and expenses (including reasonable attorneys’ fees) of Agent in connection with enforcing its rights and the rights of Lenders under this Agreement and the Other Documents, and any Out-of-Formula Loans and Protective Advances funded by Agent with respect to the Collateral under or pursuant to the terms of this Agreement;</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SECOND, to payment of any fees owed to Agent;</w:t>
      </w:r>
    </w:p>
    <w:p>
      <w:pPr>
        <w:spacing w:after="0" w:line="169"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THIRD, to the payment of all reasonable out-of-pocket costs and expenses (including reasonable attorneys’ fees) of each of the Lenders to the extent owing to such Lender pursuant to the terms of this Agreement;</w:t>
      </w:r>
    </w:p>
    <w:p>
      <w:pPr>
        <w:spacing w:after="0" w:line="128" w:lineRule="exact"/>
        <w:rPr>
          <w:sz w:val="20"/>
          <w:szCs w:val="20"/>
          <w:color w:val="auto"/>
        </w:rPr>
      </w:pPr>
    </w:p>
    <w:p>
      <w:pPr>
        <w:ind w:left="520" w:right="1440"/>
        <w:spacing w:after="0" w:line="461" w:lineRule="auto"/>
        <w:rPr>
          <w:sz w:val="20"/>
          <w:szCs w:val="20"/>
          <w:color w:val="auto"/>
        </w:rPr>
      </w:pPr>
      <w:r>
        <w:rPr>
          <w:rFonts w:ascii="Times New Roman" w:cs="Times New Roman" w:eastAsia="Times New Roman" w:hAnsi="Times New Roman"/>
          <w:sz w:val="17"/>
          <w:szCs w:val="17"/>
          <w:color w:val="auto"/>
        </w:rPr>
        <w:t>FOURTH, to the payment of all of the Obligations consisting of accrued interest on account of the Swing Loans; FIFTH, to the payment of the outstanding principal amount of the Obligations consisting of Swing Loans;</w:t>
      </w:r>
    </w:p>
    <w:p>
      <w:pPr>
        <w:spacing w:after="0" w:line="1"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SIXTH, to the payment of all Obligations arising under this Agreement and the Other Documents consisting of accrued fees and interest (other than interest in respect of Swing Loans paid pursuant to clause FOURTH above);</w:t>
      </w:r>
    </w:p>
    <w:p>
      <w:pPr>
        <w:spacing w:after="0" w:line="128"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SEVENTH, to the payment of the outstanding principal amount of the Obligations (other than principal in respect of Swing Loans paid pursuant to clause FIFTH above) arising under this Agreement (including Cash Management Liabilities and Hedge Liabilities) (including the payment or cash collateralization of any outstanding Letters of Credit in accordance with Section 3.2(b) hereof).</w:t>
      </w:r>
    </w:p>
    <w:p>
      <w:pPr>
        <w:spacing w:after="0" w:line="140"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EIGHTH, to all other Obligations arising under this Agreement which shall have become due and payable (hereunder, under the Other Documents or otherwise) and not repaid pursuant to clauses “FIRST” through “SEVENTH” above;</w:t>
      </w:r>
    </w:p>
    <w:p>
      <w:pPr>
        <w:spacing w:after="0" w:line="128"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NINTH, to all other Obligations which shall have become due and payable and not repaid pursuant to clauses “FIRST” through “EIGHTH”; and</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TENTH, to the payment of the surplus, if any, to whoever may be lawfully entitled to receive such surplus.</w:t>
      </w:r>
    </w:p>
    <w:p>
      <w:pPr>
        <w:spacing w:after="0" w:line="169"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In carrying out the foregoing, (i) amounts received shall be applied in the numerical order provided until exhausted prior to application to the next succeeding category; (ii) each of the Lenders shall receive (so long as it is not a Defaulting Lender) an amount equal to its pro rata share (based on the proportion that the then outstanding Advances, Cash Management Liabilities and Hedge Liabilities held by such Lender bears to the aggregate then outstanding Advances, Cash Management Liabilities and Hedge Liabilities) of amounts available to be applied pursuant to clauses “SIXTH”, “SEVENTH”, “EIGHTH” and “TENTH” above; and (iii) notwithstanding anything to the contrary in this Section 11.5, no Swap Obligations of any Non-Qualifying Party shall be paid with amounts received from such Non-Qualifying Party under its Guaranty (including sums received as a result of the exercise of remedies with respect to such Guaranty) or from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32" w:name="page333"/>
    <w:bookmarkEnd w:id="332"/>
    <w:p>
      <w:pPr>
        <w:jc w:val="both"/>
        <w:spacing w:after="0" w:line="250" w:lineRule="auto"/>
        <w:rPr>
          <w:sz w:val="20"/>
          <w:szCs w:val="20"/>
          <w:color w:val="auto"/>
        </w:rPr>
      </w:pPr>
      <w:r>
        <w:rPr>
          <w:rFonts w:ascii="Times New Roman" w:cs="Times New Roman" w:eastAsia="Times New Roman" w:hAnsi="Times New Roman"/>
          <w:sz w:val="17"/>
          <w:szCs w:val="17"/>
          <w:color w:val="auto"/>
        </w:rPr>
        <w:t>proceeds of such Non-Qualifying Party’s Collateral if such Swap Obligations would constitute Excluded Hedge Liabilities, provided, however, that to the extent possible appropriate adjustments shall be made with respect to payments and/or the proceeds of Collateral from other Borrowers and/or Guarantors that are Eligible Contract Participants with respect to such Swap Obligations to preserve the allocation to Obligations otherwise set forth above in this Section 11.5; and (iv) to the extent that any amounts available for distribution pursuant to clause “SEVENTH” above are attributable to the issued but undrawn amount of outstanding Letters of Credit, such amounts shall be held by Agent as cash collateral for the Letters of Credit pursuant to Section 3.2(b) hereof and applied (A) first, to reimburse Issuer from time to time for any drawings under such Letters of Credit and (B) then, following the expiration of all Letters of Credit, to all other obligations of the types described in clauses “SEVENTH,” “EIGHTH”, and “TENTH” above in the manner provided in this Section 11.5.</w:t>
      </w:r>
    </w:p>
    <w:p>
      <w:pPr>
        <w:spacing w:after="0" w:line="14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XII.</w:t>
        <w:tab/>
        <w:t>WAIVERS AND JUDICIAL PROCEEDINGS.</w:t>
      </w:r>
    </w:p>
    <w:p>
      <w:pPr>
        <w:spacing w:after="0" w:line="169"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Each Borrower hereby waives notice of non-payment of any of the Receivables, demand, presentment, protest and notice thereof with respect to any and all instruments, notice of acceptance hereof, notice of loans or advances made, credit extended, Collateral received or delivered, or any other action taken in reliance hereon, and all other demands and notices of any description, except such as are expressly provided for herein.</w:t>
      </w:r>
    </w:p>
    <w:p>
      <w:pPr>
        <w:spacing w:after="0" w:line="145"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Delay</w:t>
      </w:r>
      <w:r>
        <w:rPr>
          <w:rFonts w:ascii="Times New Roman" w:cs="Times New Roman" w:eastAsia="Times New Roman" w:hAnsi="Times New Roman"/>
          <w:sz w:val="18"/>
          <w:szCs w:val="18"/>
          <w:color w:val="auto"/>
        </w:rPr>
        <w:t>. No delay or omission on Agent’s or any Lender’s part in exercising any right, remedy or option shall operate as a waiver of such or any other right, remedy or option or of any Default or Event of Default.</w:t>
      </w:r>
    </w:p>
    <w:p>
      <w:pPr>
        <w:spacing w:after="0" w:line="128"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Jury Waiver</w:t>
      </w:r>
      <w:r>
        <w:rPr>
          <w:rFonts w:ascii="Times New Roman" w:cs="Times New Roman" w:eastAsia="Times New Roman" w:hAnsi="Times New Roman"/>
          <w:sz w:val="18"/>
          <w:szCs w:val="18"/>
          <w:color w:val="auto"/>
        </w:rPr>
        <w:t>. EACH PARTY TO THIS AGREEMENT HEREBY EXPRESSLY WAIVES ANY RIGHT TO TRIAL BY JURY OF ANY CLAIM, COUNTERCLAIM, DEMAND, ACTION OR CAUSE OF ACTION (A) ARISING UNDER THIS AGREEMENT, ANY OTHER DOCUMENT OR ANY OTHER INSTRUMENT, DOCUMENT OR AGREEMENT EXECUTED OR DELIVERED IN CONNECTION HEREWITH, OR (B) IN ANY WAY CONNECTED WITH OR RELATED OR INCIDENTAL TO THE DEALINGS OF THE PARTIES HERETO OR ANY OF THEM WITH RESPECT TO THIS AGREEMENT, ANY OTHER DOCUMENT OR ANY OTHER INSTRUMENT, DOCUMENT OR AGREEMENT EXECUTED OR DELIVERED IN CONNECTION HEREWITH, OR THE TRANSACTIONS RELATED HERETO OR THERETO IN EACH CASE WHETHER NOW EXISTING OR HEREAFTER ARISING, AND WHETHER SOUNDING IN CONTRACT OR TORT OR OTHERWISE AND EACH PARTY HEREBY CONSENTS THAT ANY SUCH CLAIM, COUNTERCLAIM,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14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XIII.</w:t>
        <w:tab/>
        <w:t>EFFECTIVE DATE AND TERMINATION.</w:t>
      </w:r>
    </w:p>
    <w:p>
      <w:pPr>
        <w:spacing w:after="0" w:line="169" w:lineRule="exact"/>
        <w:rPr>
          <w:sz w:val="20"/>
          <w:szCs w:val="20"/>
          <w:color w:val="auto"/>
        </w:rPr>
      </w:pPr>
    </w:p>
    <w:p>
      <w:pPr>
        <w:jc w:val="both"/>
        <w:ind w:right="20" w:firstLine="531"/>
        <w:spacing w:after="0" w:line="259"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which shall inure to the benefit of and shall be binding upon the respective successors and permitted assigns of each Borrower, Agent and each Lender,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33" w:name="page334"/>
    <w:bookmarkEnd w:id="333"/>
    <w:p>
      <w:pPr>
        <w:jc w:val="both"/>
        <w:spacing w:after="0" w:line="251" w:lineRule="auto"/>
        <w:rPr>
          <w:sz w:val="20"/>
          <w:szCs w:val="20"/>
          <w:color w:val="auto"/>
        </w:rPr>
      </w:pPr>
      <w:r>
        <w:rPr>
          <w:rFonts w:ascii="Times New Roman" w:cs="Times New Roman" w:eastAsia="Times New Roman" w:hAnsi="Times New Roman"/>
          <w:sz w:val="17"/>
          <w:szCs w:val="17"/>
          <w:color w:val="auto"/>
        </w:rPr>
        <w:t>shall become effective on the date hereof and shall continue in full force and effect until May 1, 2026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unless sooner terminated as herein provided. Borrowers may terminate this Agreement at any time upon sixty (60) days prior written notice to Agent upon payment in full of the Obligations. In the event the Obligations are prepaid in full (whether voluntary or involuntary, including after acceleration thereof) and this Agreement is terminated prior to the last day of the Term (the date of such prepayment hereinafter referred to as the “</w:t>
      </w:r>
      <w:r>
        <w:rPr>
          <w:rFonts w:ascii="Times New Roman" w:cs="Times New Roman" w:eastAsia="Times New Roman" w:hAnsi="Times New Roman"/>
          <w:sz w:val="17"/>
          <w:szCs w:val="17"/>
          <w:u w:val="single" w:color="auto"/>
          <w:color w:val="auto"/>
        </w:rPr>
        <w:t>Early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Borrowers shall concurrently pay to Agent for the benefit of Lenders an early termination fee in an amount equal to one quarter of one percent (0.25%) of the Maximum Loan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Obligations are prepaid in full in connection with a refinancing provided by a division of PNC, no early termination fee shall be due upon the Early Termination Date.</w:t>
      </w:r>
    </w:p>
    <w:p>
      <w:pPr>
        <w:spacing w:after="0" w:line="139"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termination of the Agreement shall not affect Agent’s or any Lender’s rights, or any of the Obligations having their inception prior to the effective date of such termination or any Obligations which pursuant to the terms hereof continue to accrue after such date, and the provisions hereof shall continue to be fully operative until all transactions entered into, rights or interests created and Obligations have been fully and indefeasibly paid, disposed of, concluded or liquidated. The security interests, Liens and rights granted to Agent and Lenders hereunder and the financing statements filed hereunder shall continue in full force and effect, notwithstanding the termination of this Agreement or the fact that Borrowers’ Account may from time to time be temporarily in a zero or credit position, until all of the Obligations of each Borrower have been indefeasibly paid and performed in full after the termination of this Agreement or each Borrower has furnished Agent and Lenders with an indemnification satisfactory to Agent and Lenders with respect thereto. Accordingly, each Borrower waives any rights which it may have under the Uniform Commercial Code to demand the filing of termination statements with respect to the Collateral, and Agent shall not be required to send such termination statements to each Borrower, or to file them with any filing office, unless and until this Agreement shall have been terminated in accordance with its terms and all Obligations have been indefeasibly paid in full in immediately available funds. All representations, warranties, covenants, waivers and agreements contained herein shall survive termination hereof until all Obligations are indefeasibly paid and performed in full.</w:t>
      </w:r>
    </w:p>
    <w:p>
      <w:pPr>
        <w:spacing w:after="0" w:line="15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XIV.</w:t>
        <w:tab/>
        <w:t>REGARDING AGENT.</w:t>
      </w:r>
    </w:p>
    <w:p>
      <w:pPr>
        <w:spacing w:after="0" w:line="169"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designates PNC to act as Agent for such Lender under this Agreement and the Other Documents. Each Lender hereby irrevocably authorizes Agent to take such action on its behalf under the provisions of this Agreement and the Other Documents and to exercise such powers and to perform such duties hereunder and thereunder as are specifically delegated to or required of Agent by the terms hereof and thereof and such other powers as are reasonably incidental thereto and Agent shall hold all Collateral, payments of principal and interest, fees (except the fees set forth in Sections 2.8(b), 3.3(a) and 3.4), charges and collections received pursuant to this Agreement, for the ratable benefit of Lenders. Agent may perform any of its duties hereunder by or through its agents or employees. As to any matters not expressly provided for by this Agreement (including collection of the Note) Agent shall not be required to exercise any discretion or take any action, but shall be required to act or to refrain from acting (and shall be fully protected in so acting or refraining from acting) upon the instructions of Required Lenders, and such instructions shall be binding; provided, however, that Agent shall not be required to take any action which, in Agent’s discretion, exposes Agent to liability or which 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34" w:name="page335"/>
    <w:bookmarkEnd w:id="334"/>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contrary to this Agreement or the Other Documents or Applicable Law unless Agent is furnished with an indemnification reasonably satisfactory to Agent with respect thereto.</w:t>
      </w:r>
    </w:p>
    <w:p>
      <w:pPr>
        <w:spacing w:after="0" w:line="131"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Nature of Duties</w:t>
      </w:r>
      <w:r>
        <w:rPr>
          <w:rFonts w:ascii="Times New Roman" w:cs="Times New Roman" w:eastAsia="Times New Roman" w:hAnsi="Times New Roman"/>
          <w:sz w:val="18"/>
          <w:szCs w:val="18"/>
          <w:color w:val="auto"/>
        </w:rPr>
        <w:t>. Agent shall have no duties or responsibilities except those expressly set forth in this Agreement and the Other Documents. Neither Agent nor any of its officers, directors, employees or agents shall be (i) liable for any action taken or omitted by them as such hereunder or in connection herewith, unless caused by their gross (not mere) negligence or willful misconduct (as determined by a court of competent jurisdiction in a final non-appealable judgment), or (ii) responsible in any manner for any recitals, statements, representations or warranties made by any Borrower or any officer thereof contained in this Agreement, or in any of the Other Documents or in any certificate, report, statement or other document referred to or provided for in, or received by Agent under or in connection with, this Agreement or any of the Other Documents or for the value, validity, effectiveness, genuineness, due execution, enforceability or sufficiency of this Agreement, or any of the Other Documents or for any failure of any Borrower to perform its obligations hereunder. Agent shall not be under any obligation to any Lender to ascertain or to inquire as to the observance or performance of any of the agreements contained in, or conditions of, this Agreement or any of the Other Documents, or to inspect the properties, books or records of any Borrower. The duties of Agent as respects the Advances to Borrowers shall be mechanical and administrative in nature; Agent shall not have by reason of this Agreement a fiduciary relationship in respect of any Lender; and nothing in this Agreement, expressed or implied, is intended to or shall be so construed as to impose upon Agent any obligations in respect of this Agreement or the transactions described herein except as expressly set forth herein.</w:t>
      </w:r>
    </w:p>
    <w:p>
      <w:pPr>
        <w:spacing w:after="0" w:line="151"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Lack of Reliance on Agent</w:t>
      </w:r>
      <w:r>
        <w:rPr>
          <w:rFonts w:ascii="Times New Roman" w:cs="Times New Roman" w:eastAsia="Times New Roman" w:hAnsi="Times New Roman"/>
          <w:sz w:val="18"/>
          <w:szCs w:val="18"/>
          <w:color w:val="auto"/>
        </w:rPr>
        <w:t>. Independently and without reliance upon Agent or any other Lender, each Lender has made and shall continue to make (i) its own independent investigation of the financial condition and affairs of each Borrower and each Guarantor in connection with the making and the continuance of the Advances hereunder and the taking or not taking of any action in connection herewith, and (ii) its own appraisal of the creditworthiness of each Borrower and each Guarantor. Agent shall have no duty or responsibility, either initially or on a continuing basis, to provide any Lender with any credit or other information with respect thereto, whether coming into its possession before making of the Advances or at any time or times thereafter except as shall be provided by any Borrower pursuant to the terms hereof. Agent shall not be responsible to any Lender for any recitals, statements, information, representations or warranties herein or in any agreement, document, certificate or a statement delivered in connection with or for the execution, effectiveness, genuineness, validity, enforceability, collectability or sufficiency of this Agreement or any Other Document, or of the financial condition of any Borrower or any Guarantor, or be required to make any inquiry concerning either the performance or observance of any of the terms, provisions or conditions of this Agreement, the Note, the Other Documents or the financial condition or prospects of any Borrower, or the existence of any Event of Default or any Default.</w:t>
      </w:r>
    </w:p>
    <w:p>
      <w:pPr>
        <w:spacing w:after="0" w:line="144" w:lineRule="exact"/>
        <w:rPr>
          <w:sz w:val="20"/>
          <w:szCs w:val="20"/>
          <w:color w:val="auto"/>
        </w:rPr>
      </w:pPr>
    </w:p>
    <w:p>
      <w:pPr>
        <w:jc w:val="both"/>
        <w:ind w:right="20" w:firstLine="531"/>
        <w:spacing w:after="0"/>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Resignation of Agent; Successor Agent</w:t>
      </w:r>
      <w:r>
        <w:rPr>
          <w:rFonts w:ascii="Times New Roman" w:cs="Times New Roman" w:eastAsia="Times New Roman" w:hAnsi="Times New Roman"/>
          <w:sz w:val="18"/>
          <w:szCs w:val="18"/>
          <w:color w:val="auto"/>
        </w:rPr>
        <w:t>. Agent may resign on sixty (60) days written notice to each Lender and Borrowing Agent and upon such resignation, Required Lenders will promptly designate a successor Agent reasonably satisfactory to Borrowers (provided that no such approval by Borrowers shall be required (i) in any case where the successor Agent is one of the Lenders or (ii) after the occurrence and during the continuance of any Event of Default). 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35" w:name="page336"/>
    <w:bookmarkEnd w:id="335"/>
    <w:p>
      <w:pPr>
        <w:jc w:val="both"/>
        <w:spacing w:after="0" w:line="247" w:lineRule="auto"/>
        <w:rPr>
          <w:sz w:val="20"/>
          <w:szCs w:val="20"/>
          <w:color w:val="auto"/>
        </w:rPr>
      </w:pPr>
      <w:r>
        <w:rPr>
          <w:rFonts w:ascii="Times New Roman" w:cs="Times New Roman" w:eastAsia="Times New Roman" w:hAnsi="Times New Roman"/>
          <w:sz w:val="17"/>
          <w:szCs w:val="17"/>
          <w:color w:val="auto"/>
        </w:rPr>
        <w:t>such successor Agent shall succeed to the rights, powers and duties of Agent, and shall in particular succeed to all of Agent’s right, title and interest in and to all of the Liens in the Collateral securing the Obligations created hereunder or any Other Document (including any Pledge Agreement and all account control agreements), and the term “Agent” shall mean such successor agent effective upon its appointment, and the former Agent’s rights, powers and duties as Agent shall be terminated, without any other or further act or deed on the part of such former Agent. However, notwithstanding the foregoing, if at the time of the effectiveness of the new Agent’s appointment, any further actions need to be taken in order to provide for the legally binding and valid transfer of any Liens in the Collateral from former Agent to new Agent and/or for the perfection of any Liens in the Collateral as held by new Agent or it is otherwise not then possible for new Agent to become the holder of a fully valid, enforceable and perfected Lien as to any of the Collateral, former Agent shall continue to hold such Liens solely as agent for perfection of such Liens on behalf of new Agent until such time as new Agent can obtain a fully valid, enforceable and perfected Lien on all Collateral, provided that Agent shall not be required to or have any liability or responsibility to take any further actions after such date as such agent for perfection to continue the perfection of any such Liens (other than to forego from taking any affirmative action to release any such Liens). After any Agent’s resignation as Agent, the provisions of this Article XIV, and any indemnification rights under this Agreement, including without limitation, rights arising under Section 16.5 hereof, shall inure to its benefit as to any actions taken or omitted to be taken by it while it was Agent under this Agreement (and in the event resigning Agent continues to hold any Liens pursuant to the provisions of the immediately preceding sentence, the provisions of this Article XIV and any indemnification rights under this Agreement, including without limitation, rights arising under Section 16.5 hereof, shall inure to its benefit as to any actions taken or omitted to be taken by it in connection with such Liens).</w:t>
      </w:r>
    </w:p>
    <w:p>
      <w:pPr>
        <w:spacing w:after="0" w:line="342"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Certain Rights of Agent</w:t>
      </w:r>
      <w:r>
        <w:rPr>
          <w:rFonts w:ascii="Times New Roman" w:cs="Times New Roman" w:eastAsia="Times New Roman" w:hAnsi="Times New Roman"/>
          <w:sz w:val="18"/>
          <w:szCs w:val="18"/>
          <w:color w:val="auto"/>
        </w:rPr>
        <w:t>. If Agent shall request instructions from Lenders with respect to any act or action (including failure to act) in connection with this Agreement or any Other Document, Agent shall be entitled to refrain from such act or taking such action unless and until Agent shall have received instructions from Required Lenders; and Agent shall not incur liability to any Person by reason of so refraining. Without limiting the foregoing, Lenders shall not have any right of action whatsoever against Agent as a result of its acting or refraining from acting hereunder in accordance with the instructions of Required Lenders.</w:t>
      </w:r>
    </w:p>
    <w:p>
      <w:pPr>
        <w:spacing w:after="0" w:line="146" w:lineRule="exact"/>
        <w:rPr>
          <w:sz w:val="20"/>
          <w:szCs w:val="20"/>
          <w:color w:val="auto"/>
        </w:rPr>
      </w:pPr>
    </w:p>
    <w:p>
      <w:pPr>
        <w:jc w:val="both"/>
        <w:ind w:firstLine="531"/>
        <w:spacing w:after="0" w:line="237"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Agent shall be entitled to rely, and shall be fully protected in relying, upon any note, writing, resolution, notice, statement, certificate, email, facsimile, telex, teletype or telecopier message, cablegram, order or other document or telephone message believed by it to be genuine and correct and to have been signed, sent or made by the proper person or entity, and, with respect to all legal matters pertaining to this Agreement and the Other Documents and its duties hereunder, upon advice of counsel selected by it. Agent may employ agents and attorneys-in-fact and shall not be liable for the default or misconduct of any such agents or attorneys-in-fact selected by Agent with reasonable care.</w:t>
      </w:r>
    </w:p>
    <w:p>
      <w:pPr>
        <w:spacing w:after="0" w:line="145"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Agent shall not be deemed to have knowledge or notice of the occurrence of any Default or Event of Default hereunder or under the Other Documents, unless Agent has received notice from a Lender or Borrowing Agent referring to this Agreement or the Other Documents, describing such Default or Event of Default and stating that such notice is a “notice of default”. In the event that Agent receives such a notice, Agent shall give notice thereof</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36" w:name="page337"/>
    <w:bookmarkEnd w:id="336"/>
    <w:p>
      <w:pPr>
        <w:jc w:val="both"/>
        <w:spacing w:after="0"/>
        <w:rPr>
          <w:sz w:val="20"/>
          <w:szCs w:val="20"/>
          <w:color w:val="auto"/>
        </w:rPr>
      </w:pPr>
      <w:r>
        <w:rPr>
          <w:rFonts w:ascii="Times New Roman" w:cs="Times New Roman" w:eastAsia="Times New Roman" w:hAnsi="Times New Roman"/>
          <w:sz w:val="18"/>
          <w:szCs w:val="18"/>
          <w:color w:val="auto"/>
        </w:rPr>
        <w:t>to Lenders. Agent shall take such action with respect to such Default or Event of Default as shall be reasonably directed by Required Lenders; provided, that, unless and until Agent shall have received such directions, Agent may (but shall not be obligated to) take such action, or refrain from taking such action, with respect to such Default or Event of Default as it shall deem advisable in the best interests of Lenders.</w:t>
      </w:r>
    </w:p>
    <w:p>
      <w:pPr>
        <w:spacing w:after="0" w:line="144" w:lineRule="exact"/>
        <w:rPr>
          <w:sz w:val="20"/>
          <w:szCs w:val="20"/>
          <w:color w:val="auto"/>
        </w:rPr>
      </w:pPr>
    </w:p>
    <w:p>
      <w:pPr>
        <w:jc w:val="both"/>
        <w:ind w:firstLine="531"/>
        <w:spacing w:after="0" w:line="235"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Agent is not reimbursed and indemnified by Borrowers, each Lender will reimburse and indemnify Agent in proportion to its respective portion of the outstanding Advances and its respective Participation Commitments in the outstanding Letters of Credit and outstanding Swing Loans (or, if no Advances are outstanding, pro rata according to the percentage that its Revolving Commitment Amount constitutes of the total aggregate Revolving Commitment Amounts), from and against any and all liabilities, obligations, losses, damages, penalties, actions, judgments, suits, costs, expenses or disbursements of any kind or nature whatsoever which may be imposed on, incurred by or asserted against Agent in performing its duties hereunder, or in any way relating to or arising out of this Agreement or any Other Document; provided that Lenders shall not be liable for any portion of such liabilities, obligations, losses, damages, penalties, actions, judgments, suits, costs, expenses or disbursements resulting from Agent’s gross (not mere) negligence or willful misconduct (as determined by a court of competent jurisdiction in a final non-appealable judgment).</w:t>
      </w:r>
    </w:p>
    <w:p>
      <w:pPr>
        <w:spacing w:after="0" w:line="145" w:lineRule="exact"/>
        <w:rPr>
          <w:sz w:val="20"/>
          <w:szCs w:val="20"/>
          <w:color w:val="auto"/>
        </w:rPr>
      </w:pPr>
    </w:p>
    <w:p>
      <w:pPr>
        <w:jc w:val="both"/>
        <w:ind w:firstLine="531"/>
        <w:spacing w:after="0" w:line="237"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With respect to the obligation of Agent to lend under this Agreement, the Advances made by it shall have the same rights and powers hereunder as any other Lender and as if it were not performing the duties as Agent specified herein; and the term “Lender” or any similar term shall, unless the context clearly otherwise indicates, include Agent in its individual capacity as a Lender. Agent may engage in business with any Borrower as if it were not performing the duties specified herein, and may accept fees and other consideration from any Borrower for services in connection with this Agreement or otherwise without having to account for the same to Lenders.</w:t>
      </w:r>
    </w:p>
    <w:p>
      <w:pPr>
        <w:spacing w:after="0" w:line="145"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Delivery of Documents</w:t>
      </w:r>
      <w:r>
        <w:rPr>
          <w:rFonts w:ascii="Times New Roman" w:cs="Times New Roman" w:eastAsia="Times New Roman" w:hAnsi="Times New Roman"/>
          <w:sz w:val="18"/>
          <w:szCs w:val="18"/>
          <w:color w:val="auto"/>
        </w:rPr>
        <w:t>. To the extent Agent receives financial statements required under Sections 9.7, 9.8, 9.9, 9.12 and 9.13 or Borrowing Base Certificates from any Borrower pursuant to the terms of this Agreement which any Borrower is not obligated to deliver to each Lender, Agent will promptly furnish such documents and information to Lenders.</w:t>
      </w:r>
    </w:p>
    <w:p>
      <w:pPr>
        <w:spacing w:after="0" w:line="140"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Borrowers’ Undertaking to Agent</w:t>
      </w:r>
      <w:r>
        <w:rPr>
          <w:rFonts w:ascii="Times New Roman" w:cs="Times New Roman" w:eastAsia="Times New Roman" w:hAnsi="Times New Roman"/>
          <w:sz w:val="18"/>
          <w:szCs w:val="18"/>
          <w:color w:val="auto"/>
        </w:rPr>
        <w:t>. Without prejudice to their respective obligations to Lenders under the other provisions of this Agreement, each Borrower hereby undertakes with Agent to pay to Agent from time to time on demand all amounts from time to time due and payable by it for the account of Agent or Lenders or any of them pursuant to this Agreement to the extent not already paid. Any payment made pursuant to any such demand shall pro tanto satisfy the relevant Borrower’s obligations to make payments for the account of Lenders or the relevant one or more of them pursuant to this Agreement.</w:t>
      </w:r>
    </w:p>
    <w:p>
      <w:pPr>
        <w:spacing w:after="0" w:line="146"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No Reliance on Agent’s Customer Identification Program</w:t>
      </w:r>
      <w:r>
        <w:rPr>
          <w:rFonts w:ascii="Times New Roman" w:cs="Times New Roman" w:eastAsia="Times New Roman" w:hAnsi="Times New Roman"/>
          <w:sz w:val="18"/>
          <w:szCs w:val="18"/>
          <w:color w:val="auto"/>
        </w:rPr>
        <w:t>. To the extent the Advances or this Agreement is, or becomes, syndicated in cooperation with other Lenders, each Lender acknowledges and agrees that neither such Lender, nor any of its Affiliates, participants or assignees, may rely on Agent to carry out such Lender's, Affiliate's, participant's or assignee's customer identification program, or other obligations required or imposed under or pursuant to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37" w:name="page338"/>
    <w:bookmarkEnd w:id="337"/>
    <w:p>
      <w:pPr>
        <w:jc w:val="both"/>
        <w:ind w:left="9"/>
        <w:spacing w:after="0" w:line="238" w:lineRule="auto"/>
        <w:rPr>
          <w:sz w:val="20"/>
          <w:szCs w:val="20"/>
          <w:color w:val="auto"/>
        </w:rPr>
      </w:pPr>
      <w:r>
        <w:rPr>
          <w:rFonts w:ascii="Times New Roman" w:cs="Times New Roman" w:eastAsia="Times New Roman" w:hAnsi="Times New Roman"/>
          <w:sz w:val="18"/>
          <w:szCs w:val="18"/>
          <w:color w:val="auto"/>
        </w:rPr>
        <w:t>USA PATRIOT Act or the regulations thereunder, including the regulations contained in 31 CFR 103.121 (as hereafter amended or replaced, the “CIP Regulations”), or any other Anti-Terrorism Law, including any programs involving any of the following items relating to or in connection with any of Borrowers, their Affiliates or their agents, the Other Documents or the transactions hereunder or contemplated hereby: (i) any identity verification procedures, (ii) any recordkeeping, (iii) comparisons with government lists, (iv) customer notices or (v) other procedures required under the CIP Regulations or such Anti-Terrorism Laws.</w:t>
      </w:r>
    </w:p>
    <w:p>
      <w:pPr>
        <w:spacing w:after="0" w:line="145" w:lineRule="exact"/>
        <w:rPr>
          <w:sz w:val="20"/>
          <w:szCs w:val="20"/>
          <w:color w:val="auto"/>
        </w:rPr>
      </w:pPr>
    </w:p>
    <w:p>
      <w:pPr>
        <w:jc w:val="both"/>
        <w:ind w:left="9" w:firstLine="531"/>
        <w:spacing w:after="0" w:line="236"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Each of the Lenders agrees that it shall not, without the express consent of Agent, and that it shall, to the extent it is lawfully entitled to do so, upon the request of Agent, set off against the Obligations, any amounts owing by such Lender to any Borrower or any deposit accounts of any Borrower now or hereafter maintained with such Lender. Anything in this Agreement to the contrary notwithstanding, each of the Lenders further agrees that it shall not, unless specifically requested to do so by Agent, take any action to protect or enforce its rights arising out of this Agreement or the Other Documents, it being the intent of Lenders that any such action to protect or enforce rights under this Agreement and the Other Documents shall be taken in concert and at the direction or with the consent of Agent or Required Lenders.</w:t>
      </w:r>
    </w:p>
    <w:p>
      <w:pPr>
        <w:spacing w:after="0" w:line="146" w:lineRule="exact"/>
        <w:rPr>
          <w:sz w:val="20"/>
          <w:szCs w:val="20"/>
          <w:color w:val="auto"/>
        </w:rPr>
      </w:pPr>
    </w:p>
    <w:p>
      <w:pPr>
        <w:ind w:left="9"/>
        <w:spacing w:after="0"/>
        <w:tabs>
          <w:tab w:leader="none" w:pos="508" w:val="left"/>
        </w:tabs>
        <w:rPr>
          <w:sz w:val="20"/>
          <w:szCs w:val="20"/>
          <w:color w:val="auto"/>
        </w:rPr>
      </w:pPr>
      <w:r>
        <w:rPr>
          <w:rFonts w:ascii="Times New Roman" w:cs="Times New Roman" w:eastAsia="Times New Roman" w:hAnsi="Times New Roman"/>
          <w:sz w:val="18"/>
          <w:szCs w:val="18"/>
          <w:color w:val="auto"/>
        </w:rPr>
        <w:t>XV.</w:t>
        <w:tab/>
        <w:t>BORROWING AGENCY.</w:t>
      </w:r>
    </w:p>
    <w:p>
      <w:pPr>
        <w:spacing w:after="0" w:line="169" w:lineRule="exact"/>
        <w:rPr>
          <w:sz w:val="20"/>
          <w:szCs w:val="20"/>
          <w:color w:val="auto"/>
        </w:rPr>
      </w:pPr>
    </w:p>
    <w:p>
      <w:pPr>
        <w:ind w:left="529"/>
        <w:spacing w:after="0"/>
        <w:tabs>
          <w:tab w:leader="none" w:pos="1048"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u w:val="single" w:color="auto"/>
          <w:color w:val="auto"/>
        </w:rPr>
        <w:t>Borrowing Agency Provisions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1589" w:hanging="527"/>
        <w:spacing w:after="0"/>
        <w:tabs>
          <w:tab w:leader="none" w:pos="158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designates Borrowing Agent to be its attorney and agent and in such capacity to</w:t>
      </w:r>
    </w:p>
    <w:p>
      <w:pPr>
        <w:spacing w:after="0" w:line="12" w:lineRule="exact"/>
        <w:rPr>
          <w:rFonts w:ascii="Times New Roman" w:cs="Times New Roman" w:eastAsia="Times New Roman" w:hAnsi="Times New Roman"/>
          <w:sz w:val="18"/>
          <w:szCs w:val="18"/>
          <w:color w:val="auto"/>
        </w:rPr>
      </w:pPr>
    </w:p>
    <w:p>
      <w:pPr>
        <w:jc w:val="both"/>
        <w:ind w:left="9" w:hanging="9"/>
        <w:spacing w:after="0" w:line="232" w:lineRule="auto"/>
        <w:tabs>
          <w:tab w:leader="none" w:pos="24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(ii) request advances, (iii) request the issuance of Letters of Credit, (iv) sign and endorse notes, (v) execute and deliver all instruments, documents, applications, security agreements, reimbursement agreements and letter of credit agreements for Letters of Credit and all other certificates, notice, writings and further assurances now or hereafter required hereunder, (vi) make elections regarding interest rates, (vii) give instructions regarding Letters of Credit and agree with Issuer upon any amendment, extension or renewal of any Letter of Credit and (viii) otherwise take action under and in connection with this Agreement and the Other Documents, all on behalf of and in the name such Borrower or Borrowers, and hereby authorizes Agent to pay over or credit all loan proceeds hereunder in accordance with the request of Borrowing Agent.</w:t>
      </w:r>
    </w:p>
    <w:p>
      <w:pPr>
        <w:spacing w:after="0" w:line="150" w:lineRule="exact"/>
        <w:rPr>
          <w:rFonts w:ascii="Times New Roman" w:cs="Times New Roman" w:eastAsia="Times New Roman" w:hAnsi="Times New Roman"/>
          <w:sz w:val="18"/>
          <w:szCs w:val="18"/>
          <w:color w:val="auto"/>
        </w:rPr>
      </w:pPr>
    </w:p>
    <w:p>
      <w:pPr>
        <w:jc w:val="both"/>
        <w:ind w:left="9" w:firstLine="1053"/>
        <w:spacing w:after="0" w:line="235" w:lineRule="auto"/>
        <w:tabs>
          <w:tab w:leader="none" w:pos="1601"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handling of this credit facility as a co-borrowing facility with a borrowing agent in the manner set forth in this Agreement is solely as an accommodation to Borrowers and at their request. Neither Agent nor any Lender shall incur liability to Borrowers as a result thereof. To induce Agent and Lenders to do so and in consideration thereof, each Borrower hereby indemnifies Agent and each Lender and holds Agent and each Lender harmless from and against any and all liabilities, expenses, losses, damages and claims of damage or injury asserted against Agent or any Lender by any Person arising from or incurred by reason of the handling of the financing arrangements of Borrowers as provided herein, reliance by Agent or any Lender on any request or instruction from Borrowing Agent or any other action taken by Agent or any Lender with respect to this Section 15.1 except due to willful misconduct or gross (not mere) negligence by the indemnified party (as determined by a court of competent jurisdiction in a final and non-appealable judgment).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38" w:name="page339"/>
    <w:bookmarkEnd w:id="338"/>
    <w:p>
      <w:pPr>
        <w:jc w:val="both"/>
        <w:ind w:firstLine="1053"/>
        <w:spacing w:after="0" w:line="251" w:lineRule="auto"/>
        <w:tabs>
          <w:tab w:leader="none" w:pos="1593"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shall be joint and several, and each Borrower shall make payment upon the maturity of the Obligations by acceleration or otherwise, and such obligation and liability on the part of each Borrower shall in no way be affected by any extensions, renewals and forbearance granted by Agent or any Lender to any Borrower, failure of Agent or any Lender to give any Borrower notice of borrowing or any other notice, any failure of Agent or any Lender to pursue or preserve its rights against any Borrower, the release by Agent or any Lender of any Collateral now or thereafter acquired from any Borrower, and such agreement by each Borrower to pay upon any notice issued pursuant thereto is unconditional and unaffected by prior recourse by Agent or any Lender to the other Borrowers or any Collateral for such Borrower’s Obligations or the lack thereof. Each Borrower waives all suretyship defenses.</w:t>
      </w:r>
    </w:p>
    <w:p>
      <w:pPr>
        <w:spacing w:after="0" w:line="138" w:lineRule="exact"/>
        <w:rPr>
          <w:sz w:val="20"/>
          <w:szCs w:val="20"/>
          <w:color w:val="auto"/>
        </w:rPr>
      </w:pPr>
    </w:p>
    <w:p>
      <w:pPr>
        <w:jc w:val="both"/>
        <w:ind w:firstLine="531"/>
        <w:spacing w:after="0" w:line="23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Each Borrower expressly waives any and all rights of subrogation, reimbursement, indemnity, exoneration, contribution of any other claim which such Borrower may now or hereafter have against the other Borrowers or any other Person directly or contingently liable for the Obligations hereunder, or against or with respect to any other Borrowers’ property (including, without limitation, any property which is Collateral for the Obligations), arising from the existence or performance of this Agreement, until termination of this Agreement and repayment in full of the Obligations.</w:t>
      </w:r>
    </w:p>
    <w:p>
      <w:pPr>
        <w:spacing w:after="0" w:line="14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XVI.</w:t>
      </w:r>
      <w:r>
        <w:rPr>
          <w:sz w:val="20"/>
          <w:szCs w:val="20"/>
          <w:color w:val="auto"/>
        </w:rPr>
        <w:tab/>
      </w:r>
      <w:r>
        <w:rPr>
          <w:rFonts w:ascii="Times New Roman" w:cs="Times New Roman" w:eastAsia="Times New Roman" w:hAnsi="Times New Roman"/>
          <w:sz w:val="17"/>
          <w:szCs w:val="17"/>
          <w:color w:val="auto"/>
        </w:rPr>
        <w:t>MISCELLANEOUS.</w:t>
      </w:r>
    </w:p>
    <w:p>
      <w:pPr>
        <w:spacing w:after="0" w:line="169" w:lineRule="exact"/>
        <w:rPr>
          <w:sz w:val="20"/>
          <w:szCs w:val="20"/>
          <w:color w:val="auto"/>
        </w:rPr>
      </w:pPr>
    </w:p>
    <w:p>
      <w:pPr>
        <w:jc w:val="both"/>
        <w:ind w:firstLine="531"/>
        <w:spacing w:after="0" w:line="232"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each Other Document (unless and except to the extent expressly provided otherwise in any such Other Document), and all matters relating hereto or thereto or arising herefrom or therefrom (whether arising under contract law, tort law or otherwise) shall, in accordance with Section 5-1401 of the General Obligations Law of the State of New York, be governed by and construed in accordance with the laws of the State of New York. Any judicial proceeding brought by or against any Borrower with respect to any of the Obligations, this Agreement, the Other Documents or any related agreement may be brought in any court of competent jurisdiction in the State of New York, United States of America, and, by execution and delivery of this Agreement, each Borrower accepts for itself and in connection with its properties, generally and unconditionally, the non-exclusive jurisdiction of the aforesaid courts, and irrevocably agrees to be bound by any judgment rendered thereby in connection with this Agreement. Each Borrower hereby waives personal service of any and all process upon it and consents that all such service of process may be made by certified or registered mail (return receipt requested) directed to Borrowing Agent at its address set forth in Section 16.6 and service so made shall be deemed completed five (5) days after the same shall have been so deposited in the mails of the United States of America, or, at Agent’s option, by service upon Borrowing Agent which each Borrower irrevocably appoints as such Borrower’s Agent for the purpose of accepting service within the State of New York. Nothing herein shall affect the right to serve process in any manner permitted by law or shall limit the right of Agent or any Lender to bring proceedings against any Borrower in the courts of any other jurisdiction. Each Borrower waives any objection to jurisdiction and venue of any action instituted hereunder and shall not assert any defense based on lack of jurisdiction or venue or based upon forum non conveniens. Each Borrower waives the right to remove any judicial proceeding brought against such Borrower in any state court to any federal court. Any judicial proceeding by any Borrower against Agent or any Lender involving, directly or indirectly, any matter or claim in any way arising out of, related to or connected with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39" w:name="page340"/>
    <w:bookmarkEnd w:id="339"/>
    <w:p>
      <w:pPr>
        <w:ind w:right="20"/>
        <w:spacing w:after="0" w:line="258" w:lineRule="auto"/>
        <w:rPr>
          <w:sz w:val="20"/>
          <w:szCs w:val="20"/>
          <w:color w:val="auto"/>
        </w:rPr>
      </w:pPr>
      <w:r>
        <w:rPr>
          <w:rFonts w:ascii="Times New Roman" w:cs="Times New Roman" w:eastAsia="Times New Roman" w:hAnsi="Times New Roman"/>
          <w:sz w:val="18"/>
          <w:szCs w:val="18"/>
          <w:color w:val="auto"/>
        </w:rPr>
        <w:t>this Agreement or any related agreement, shall be brought only in a federal or state court located in the County of New York, State of New York.</w:t>
      </w:r>
    </w:p>
    <w:p>
      <w:pPr>
        <w:spacing w:after="0" w:line="129"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u w:val="single" w:color="auto"/>
          <w:color w:val="auto"/>
        </w:rPr>
        <w:t>Entire Understanding</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1053"/>
        <w:spacing w:after="0" w:line="235" w:lineRule="auto"/>
        <w:tabs>
          <w:tab w:leader="none" w:pos="159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documents executed concurrently herewith contain the entire understanding between each Borrower, Agent and each Lender and supersedes all prior agreements and understandings, if any, relating to the subject matter hereof. Any promises, representations, warranties or guarantees not herein contained and hereinafter made shall have no force and effect unless in writing, signed by each Borrower’s, Agent’s and each Lender’s respective officers. Neither this Agreement nor any portion or provisions hereof may be changed, modified, amended, waived, supplemented, discharged, cancelled or terminated orally or by any course of dealing, or in any manner other than by an agreement in writing, signed by the party to be charged. Each Borrower acknowledges that it has been advised by counsel in connection with the execution of this Agreement and Other Documents and is not relying upon oral representations or statements inconsistent with the terms and provisions of this Agreement.</w:t>
      </w:r>
    </w:p>
    <w:p>
      <w:pPr>
        <w:spacing w:after="0" w:line="148" w:lineRule="exact"/>
        <w:rPr>
          <w:rFonts w:ascii="Times New Roman" w:cs="Times New Roman" w:eastAsia="Times New Roman" w:hAnsi="Times New Roman"/>
          <w:sz w:val="18"/>
          <w:szCs w:val="18"/>
          <w:color w:val="auto"/>
        </w:rPr>
      </w:pPr>
    </w:p>
    <w:p>
      <w:pPr>
        <w:jc w:val="both"/>
        <w:ind w:firstLine="1053"/>
        <w:spacing w:after="0" w:line="255" w:lineRule="auto"/>
        <w:tabs>
          <w:tab w:leader="none" w:pos="1593"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Lenders, Agent with the consent in writing of Required Lenders, and Borrowers may, subject to the provisions of this Section 16.2(b), from time to time enter into written supplemental agreements to this Agreement or the Other Documents executed by Borrowers, for the purpose of adding or deleting any provisions or otherwise changing, varying or waiving in any manner the rights of Lenders, Agent or Borrowers thereunder or the conditions, provisions or terms thereof or waiving any Event of Default thereunder, but only to the extent specified in such written agreements; provided, however, that no such supplemental agreement shall:</w:t>
      </w:r>
    </w:p>
    <w:p>
      <w:pPr>
        <w:spacing w:after="0" w:line="133" w:lineRule="exact"/>
        <w:rPr>
          <w:rFonts w:ascii="Times New Roman" w:cs="Times New Roman" w:eastAsia="Times New Roman" w:hAnsi="Times New Roman"/>
          <w:sz w:val="17"/>
          <w:szCs w:val="17"/>
          <w:color w:val="auto"/>
        </w:rPr>
      </w:pPr>
    </w:p>
    <w:p>
      <w:pPr>
        <w:ind w:left="60" w:firstLine="1590"/>
        <w:spacing w:after="0" w:line="259" w:lineRule="auto"/>
        <w:tabs>
          <w:tab w:leader="none" w:pos="211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Revolving Commitment Percentage or the maximum dollar amount of the Revolving Commitment Amount of any Lender without the consent of such Lender directly affected thereby;</w:t>
      </w:r>
    </w:p>
    <w:p>
      <w:pPr>
        <w:spacing w:after="0" w:line="128" w:lineRule="exact"/>
        <w:rPr>
          <w:rFonts w:ascii="Times New Roman" w:cs="Times New Roman" w:eastAsia="Times New Roman" w:hAnsi="Times New Roman"/>
          <w:sz w:val="18"/>
          <w:szCs w:val="18"/>
          <w:color w:val="auto"/>
        </w:rPr>
      </w:pPr>
    </w:p>
    <w:p>
      <w:pPr>
        <w:jc w:val="both"/>
        <w:ind w:left="60" w:firstLine="1590"/>
        <w:spacing w:after="0" w:line="238" w:lineRule="auto"/>
        <w:tabs>
          <w:tab w:leader="none" w:pos="211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Advances are outstanding, extend the Term or the time for payment of principal or interest of any Advance (excluding the due date of any mandatory prepayment of an Advance), or any fee payable to any Lender, or reduce the principal amount of or the rate of interest borne by any Advances or reduce any fee payable to any Lender, without the consent of each Lender directly affected thereby (except that Required Lenders may elect to waive or rescind any imposition of the Default Rate under Section 3.1 or of default rates of Letter of Credit fees under Section 3.2 (unless imposed by Agent));</w:t>
      </w:r>
    </w:p>
    <w:p>
      <w:pPr>
        <w:spacing w:after="0" w:line="146"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Revolving Advance Amount without the consent of all Lenders holding a Revolving</w:t>
      </w:r>
    </w:p>
    <w:p>
      <w:pPr>
        <w:spacing w:after="0" w:line="1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w:t>
      </w:r>
    </w:p>
    <w:p>
      <w:pPr>
        <w:spacing w:after="0" w:line="14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definition of the term Required Lenders or alter, amend or modify this Section 16.2(b) without the</w:t>
      </w:r>
    </w:p>
    <w:p>
      <w:pPr>
        <w:spacing w:after="0" w:line="1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all Lenders;</w:t>
      </w:r>
    </w:p>
    <w:p>
      <w:pPr>
        <w:spacing w:after="0" w:line="149" w:lineRule="exact"/>
        <w:rPr>
          <w:rFonts w:ascii="Times New Roman" w:cs="Times New Roman" w:eastAsia="Times New Roman" w:hAnsi="Times New Roman"/>
          <w:sz w:val="18"/>
          <w:szCs w:val="18"/>
          <w:color w:val="auto"/>
        </w:rPr>
      </w:pPr>
    </w:p>
    <w:p>
      <w:pPr>
        <w:ind w:left="2120" w:hanging="470"/>
        <w:spacing w:after="0"/>
        <w:tabs>
          <w:tab w:leader="none" w:pos="21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amend or modify the provisions of Section 11.5 without the consent of all Lenders;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0" w:name="page341"/>
    <w:bookmarkEnd w:id="340"/>
    <w:p>
      <w:pPr>
        <w:ind w:left="69" w:right="20" w:firstLine="1590"/>
        <w:spacing w:after="0" w:line="258" w:lineRule="auto"/>
        <w:tabs>
          <w:tab w:leader="none" w:pos="2126"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Collateral during any calendar year (other than in accordance with the provisions of this Agreement) having an aggregate value in excess of $1,000,000 without the consent of all Lenders;</w:t>
      </w:r>
    </w:p>
    <w:p>
      <w:pPr>
        <w:spacing w:after="0" w:line="129" w:lineRule="exact"/>
        <w:rPr>
          <w:rFonts w:ascii="Times New Roman" w:cs="Times New Roman" w:eastAsia="Times New Roman" w:hAnsi="Times New Roman"/>
          <w:sz w:val="18"/>
          <w:szCs w:val="18"/>
          <w:color w:val="auto"/>
        </w:rPr>
      </w:pPr>
    </w:p>
    <w:p>
      <w:pPr>
        <w:ind w:left="2129" w:hanging="470"/>
        <w:spacing w:after="0"/>
        <w:tabs>
          <w:tab w:leader="none" w:pos="2129"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rights and duties of Agent without the consent of all Lenders;</w:t>
      </w:r>
    </w:p>
    <w:p>
      <w:pPr>
        <w:spacing w:after="0" w:line="169" w:lineRule="exact"/>
        <w:rPr>
          <w:rFonts w:ascii="Times New Roman" w:cs="Times New Roman" w:eastAsia="Times New Roman" w:hAnsi="Times New Roman"/>
          <w:sz w:val="18"/>
          <w:szCs w:val="18"/>
          <w:color w:val="auto"/>
        </w:rPr>
      </w:pPr>
    </w:p>
    <w:p>
      <w:pPr>
        <w:jc w:val="both"/>
        <w:ind w:left="69" w:firstLine="1590"/>
        <w:spacing w:after="0" w:line="266" w:lineRule="auto"/>
        <w:tabs>
          <w:tab w:leader="none" w:pos="2126" w:val="left"/>
        </w:tabs>
        <w:numPr>
          <w:ilvl w:val="2"/>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(e) below, permit any Revolving Advance to be made if after giving effect thereto the total of Revolving Advances outstanding hereunder would exceed the Formula Amount for more than sixty (60) consecutive Business Days or exceed one hundred and ten percent (110%) of the Formula Amount without the consent of all Lenders holding a Revolving Commitment;</w:t>
      </w:r>
    </w:p>
    <w:p>
      <w:pPr>
        <w:spacing w:after="0" w:line="124" w:lineRule="exact"/>
        <w:rPr>
          <w:rFonts w:ascii="Times New Roman" w:cs="Times New Roman" w:eastAsia="Times New Roman" w:hAnsi="Times New Roman"/>
          <w:sz w:val="17"/>
          <w:szCs w:val="17"/>
          <w:color w:val="auto"/>
        </w:rPr>
      </w:pPr>
    </w:p>
    <w:p>
      <w:pPr>
        <w:ind w:left="69" w:right="20" w:firstLine="1590"/>
        <w:spacing w:after="0" w:line="259" w:lineRule="auto"/>
        <w:tabs>
          <w:tab w:leader="none" w:pos="2126"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Advance Rates above the Advance Rates in effect on the Closing Date without the consent of all Lenders holding a Revolving Commitment; or</w:t>
      </w:r>
    </w:p>
    <w:p>
      <w:pPr>
        <w:spacing w:after="0" w:line="128" w:lineRule="exact"/>
        <w:rPr>
          <w:rFonts w:ascii="Times New Roman" w:cs="Times New Roman" w:eastAsia="Times New Roman" w:hAnsi="Times New Roman"/>
          <w:sz w:val="18"/>
          <w:szCs w:val="18"/>
          <w:color w:val="auto"/>
        </w:rPr>
      </w:pPr>
    </w:p>
    <w:p>
      <w:pPr>
        <w:ind w:left="2129" w:hanging="470"/>
        <w:spacing w:after="0"/>
        <w:tabs>
          <w:tab w:leader="none" w:pos="2129"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or Borrower without the consent of all Lenders.</w:t>
      </w:r>
    </w:p>
    <w:p>
      <w:pPr>
        <w:spacing w:after="0" w:line="169" w:lineRule="exact"/>
        <w:rPr>
          <w:rFonts w:ascii="Times New Roman" w:cs="Times New Roman" w:eastAsia="Times New Roman" w:hAnsi="Times New Roman"/>
          <w:sz w:val="18"/>
          <w:szCs w:val="18"/>
          <w:color w:val="auto"/>
        </w:rPr>
      </w:pPr>
    </w:p>
    <w:p>
      <w:pPr>
        <w:jc w:val="both"/>
        <w:ind w:left="9" w:firstLine="1053"/>
        <w:spacing w:after="0" w:line="238" w:lineRule="auto"/>
        <w:tabs>
          <w:tab w:leader="none" w:pos="160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supplemental agreement shall apply equally to each Lender and shall be binding upon Borrowers, Lenders and Agent and all future holders of the Obligations. In the case of any waiver, Borrowers, Agent and Lenders shall be restored to their former positions and rights, and any Event of Default waived shall be deemed to be cured and not continuing, but no waiver of a specific Event of Default shall extend to any subsequent Event of Default (whether or not the subsequent Event of Default is the same as the Event of Default which was waived), or impair any right consequent thereon.</w:t>
      </w:r>
    </w:p>
    <w:p>
      <w:pPr>
        <w:spacing w:after="0" w:line="146" w:lineRule="exact"/>
        <w:rPr>
          <w:rFonts w:ascii="Times New Roman" w:cs="Times New Roman" w:eastAsia="Times New Roman" w:hAnsi="Times New Roman"/>
          <w:sz w:val="18"/>
          <w:szCs w:val="18"/>
          <w:color w:val="auto"/>
        </w:rPr>
      </w:pPr>
    </w:p>
    <w:p>
      <w:pPr>
        <w:jc w:val="both"/>
        <w:ind w:left="9" w:firstLine="1053"/>
        <w:spacing w:after="0" w:line="249" w:lineRule="auto"/>
        <w:tabs>
          <w:tab w:leader="none" w:pos="1601"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Agent requests the consent of a Lender pursuant to this Section 16.2 and such consent is denied, then Agent may, at its option, require such Lender to assign its interest in the Advances to Agent or to another Lender or to any other Person designated by Agent (the “Designated Lender”), for a price equal to (i) the then outstanding principal amount thereof plus (ii) accrued and unpaid interest and fees due such Lender, which interest and fees shall be paid when collected from Borrowers. In the event Agent elects to require any Lender to assign its interest to Agent or to the Designated Lender, Agent will so notify such Lender in writing within forty five</w:t>
      </w:r>
    </w:p>
    <w:p>
      <w:pPr>
        <w:spacing w:after="0" w:line="1" w:lineRule="exact"/>
        <w:rPr>
          <w:rFonts w:ascii="Times New Roman" w:cs="Times New Roman" w:eastAsia="Times New Roman" w:hAnsi="Times New Roman"/>
          <w:sz w:val="17"/>
          <w:szCs w:val="17"/>
          <w:color w:val="auto"/>
        </w:rPr>
      </w:pPr>
    </w:p>
    <w:p>
      <w:pPr>
        <w:jc w:val="both"/>
        <w:ind w:left="9" w:hanging="9"/>
        <w:spacing w:after="0" w:line="235" w:lineRule="auto"/>
        <w:tabs>
          <w:tab w:leader="none" w:pos="35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such Lender’s denial, and such Lender will assign its interest to Agent or the Designated Lender no later than five (5) days following receipt of such notice pursuant to a Commitment Transfer Supplement executed by such Lender, Agent or the Designated Lender, as appropriate, and Agent.</w:t>
      </w:r>
    </w:p>
    <w:p>
      <w:pPr>
        <w:spacing w:after="0" w:line="146" w:lineRule="exact"/>
        <w:rPr>
          <w:rFonts w:ascii="Times New Roman" w:cs="Times New Roman" w:eastAsia="Times New Roman" w:hAnsi="Times New Roman"/>
          <w:sz w:val="18"/>
          <w:szCs w:val="18"/>
          <w:color w:val="auto"/>
        </w:rPr>
      </w:pPr>
    </w:p>
    <w:p>
      <w:pPr>
        <w:jc w:val="both"/>
        <w:ind w:left="9" w:firstLine="1053"/>
        <w:spacing w:after="0" w:line="237" w:lineRule="auto"/>
        <w:tabs>
          <w:tab w:leader="none" w:pos="1601"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(i) the existence of a Default or an Event of Default, (ii) that any of the other applicable conditions precedent set forth in Section 8.2 hereof have not been satisfied or the commitments of Lenders to make Revolving Advances hereunder have been terminated for any reason, or (iii) any other contrary provision of this Agreement, Agent may at its discretion and without the consent of any Lender, voluntarily permit the outstanding Revolving Advances at any time to exceed the Formula Amount by up to ten percent (10%) of the Formula Amount for up to sixty (60) consecutive Business Days (the “Out-of-Formula Loans”). If Agent is willing in its sole and absolute discretion to permit such Out-of-Formula Loans, Lenders holding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4">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41" w:name="page342"/>
    <w:bookmarkEnd w:id="341"/>
    <w:p>
      <w:pPr>
        <w:jc w:val="both"/>
        <w:spacing w:after="0" w:line="233" w:lineRule="auto"/>
        <w:rPr>
          <w:sz w:val="20"/>
          <w:szCs w:val="20"/>
          <w:color w:val="auto"/>
        </w:rPr>
      </w:pPr>
      <w:r>
        <w:rPr>
          <w:rFonts w:ascii="Times New Roman" w:cs="Times New Roman" w:eastAsia="Times New Roman" w:hAnsi="Times New Roman"/>
          <w:sz w:val="18"/>
          <w:szCs w:val="18"/>
          <w:color w:val="auto"/>
        </w:rPr>
        <w:t>the Revolving Commitments shall be obligated to fund such Out-of-Formula Loans in accordance with their respective Revolving Commitment Percentages, and such Out-of-Formula Loans shall be payable on demand and shall bear interest at the Default Rate for Revolving Advances consisting of Domestic Rate Loans; provided that, if Agent does permit Out-of-Formula Loans, neither Agent nor Lenders shall be deemed thereby to have changed the limits of Section 2.1(a) nor shall any Lender be obligated to fund Revolving Advances in excess of its Revolving Commitment Amount. For purposes of this paragraph, the discretion granted to Agent hereunder shall not preclude involuntary overadvances that may result from time to time due to the fact that the Formula Amount was unintentionally exceeded for any reason, including, but not limited to, Collateral previously deemed to be either “Eligible Receivables” or “Eligible Unbilled Receivables”, as applicable, becomes ineligible, collections of Receivables applied to reduce outstanding Revolving Advances are thereafter returned for insufficient funds or overadvances are made to protect or preserve the Collateral. In the event Agent involuntarily permits the outstanding Revolving Advances to exceed the Formula Amount by more than ten percent (10%), Agent shall use its efforts to have Borrowers decrease such excess in as expeditious a manner as is practicable under the circumstances and not inconsistent with the reason for such excess. Revolving Advances made after Agent has determined the existence of involuntary overadvances shall be deemed to be involuntary overadvances and shall be decreased in accordance with the preceding sentence. To the extent any Out-of-Formula Loans are not actually funded by the other Lenders as provided for in this Section 16.2(e), Agent may elect in its discretion to fund such Out-of-Formula Loans and any such Out-of-Formula Loans so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145" w:lineRule="exact"/>
        <w:rPr>
          <w:sz w:val="20"/>
          <w:szCs w:val="20"/>
          <w:color w:val="auto"/>
        </w:rPr>
      </w:pPr>
    </w:p>
    <w:p>
      <w:pPr>
        <w:jc w:val="both"/>
        <w:ind w:firstLine="1053"/>
        <w:spacing w:after="0" w:line="233" w:lineRule="auto"/>
        <w:tabs>
          <w:tab w:leader="none" w:pos="159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 in substitution of) the discretionary Revolving Advances permitted above in this Section 16.2, Agent is hereby authorized by Borrowers and Lenders, at any time in Agent’s sole discretion, regardless of (i) the existence of a Default or an Event of Default, (ii) whether any of the other applicable conditions precedent set forth in Section 8.2 hereof have not been satisfied or the commitments of Lenders to make Revolving Advances hereunder have been terminated for any reason, or (iii) any other contrary provision of this Agreement, to make Revolving Advances (“Protective Advances”) to Borrowers on behalf of Lenders which Agent, in its reasonable business judgment, deems necessary or desirable (a) to preserve or protect the Collateral, or any portion thereof, (b) to enhance the likelihood of, or maximize the amount of, repayment of the Advances and other Obligations, or (c) to pay any other amount chargeable to Borrowers pursuant to the terms of this Agreement (the “Protective Advances”). Lenders holding the Revolving Commitments shall be obligated to fund such Protective Advances and effect a settlement with Agent therefor upon demand of Agent in accordance with their respective Revolving Commitment Percentages. To the extent any Protective Advances are not actually funded by the other Lenders as provided for in this Section 16.2(f), any such Protective Advances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5">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2" w:name="page343"/>
    <w:bookmarkEnd w:id="342"/>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u w:val="single" w:color="auto"/>
          <w:color w:val="auto"/>
        </w:rPr>
        <w:t>Successors and Assigns; Participations; New Lenders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1053"/>
        <w:spacing w:after="0" w:line="245" w:lineRule="auto"/>
        <w:tabs>
          <w:tab w:leader="none" w:pos="15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Borrowers, Agent, each Lender, all future holders of the Obligations and their respective successors and assigns, except that no Borrower may assign or transfer any of its rights or obligations under this Agreement without the prior written consent of Agent and each Lender.</w:t>
      </w:r>
    </w:p>
    <w:p>
      <w:pPr>
        <w:spacing w:after="0" w:line="140" w:lineRule="exact"/>
        <w:rPr>
          <w:rFonts w:ascii="Times New Roman" w:cs="Times New Roman" w:eastAsia="Times New Roman" w:hAnsi="Times New Roman"/>
          <w:sz w:val="18"/>
          <w:szCs w:val="18"/>
          <w:color w:val="auto"/>
        </w:rPr>
      </w:pPr>
    </w:p>
    <w:p>
      <w:pPr>
        <w:ind w:firstLine="1053"/>
        <w:spacing w:after="0" w:line="234" w:lineRule="auto"/>
        <w:tabs>
          <w:tab w:leader="none" w:pos="159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acknowledges that in the regular course of commercial banking business one or more Lenders may at any time and from time to time sell participating interests in the Advances to other Persons (each such transferee or purchaser of a participating interest, a “Participant”). Each Participant may exercise all rights of payment (including rights of set-off) with respect to the portion of such Advances held by it or other Obligations payable hereunder as fully as if such Participant were the direct holder thereof provided that (i) Borrowers shall not be required to pay to any Participant more than the amount which it would have been required to pay to Lender which granted an interest in its Advances or other Obligations payable hereunder to such Participant had such Lender retained such interest in the Advances hereunder or other Obligations payable hereunder unless the sale of the participation to such Participant is made with Borrower’s prior written consent, and (ii) in no event shall Borrowers be required to pay any such amount arising from the same circumstances and with respect to the same Advances or other Obligations payable hereunder to both such Lender and such Participant. Each Borrower hereby grants to any Participant a continuing security interest in any deposits, moneys or other property actually or constructively held by such Participant as security for the Participant’s interest in the Advances.</w:t>
      </w:r>
    </w:p>
    <w:p>
      <w:pPr>
        <w:spacing w:after="0" w:line="147" w:lineRule="exact"/>
        <w:rPr>
          <w:rFonts w:ascii="Times New Roman" w:cs="Times New Roman" w:eastAsia="Times New Roman" w:hAnsi="Times New Roman"/>
          <w:sz w:val="18"/>
          <w:szCs w:val="18"/>
          <w:color w:val="auto"/>
        </w:rPr>
      </w:pPr>
    </w:p>
    <w:p>
      <w:pPr>
        <w:jc w:val="both"/>
        <w:ind w:firstLine="1053"/>
        <w:spacing w:after="0" w:line="247" w:lineRule="auto"/>
        <w:tabs>
          <w:tab w:leader="none" w:pos="1593"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with the consent of Agent, may sell, assign or transfer all or any part of its rights and obligations under or relating to Revolving Advances under this Agreement and the Other Documents to one or more additional Persons and one or more additional Persons may commit to make Advances hereunder (each a “Purchasing Lender”), in minimum amounts of not less than $5,000,000, pursuant to a Commitment Transfer Supplement, executed by a Purchasing Lender, the transferor Lender, and Agent and delivered to Agent for recording, provided, however, that each partial assignment shall be made as an assignment of a proportionate part of all the assigning Lender's rights and obligations under this Agreement with respect to each of the Advances under this Agreement in which such Lender has an interest. Upon such execution, delivery, acceptance and recording, from and after the transfer effective date determined pursuant to such Commitment Transfer Supplement, (i) Purchasing Lender thereunder shall be a party hereto and, to the extent provided in such Commitment Transfer Supplement, have the rights and obligations of a Lender thereunder with a Commitment Percentage as set forth therein, and (ii) the transferor Lender thereunder shall, to the extent provided in such Commitment Transfer Supplement, be released from its obligations under this Agreement, the Commitment Transfer Supplement creating a novation for that purpose. Such Commitment Transfer Supplement shall be deemed to amend this Agreement to the extent, and only to the extent, necessary to reflect the addition of such Purchasing Lender and the resulting adjustment of the Commitment Percentages arising from the purchase by such Purchasing Lender of all or a portion of the rights and obligations of such transferor Lender under this Agreement and the Other Documents. Each Borrower hereby consents to the addition of such Purchasing Lender and the resulting adjustment of the Commitment Percentages arising from the purchase by such Purchasing Lender of all or a portion of the rights and obligations of such transferor Lender under this Agreement and the Other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6">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3" w:name="page344"/>
    <w:bookmarkEnd w:id="343"/>
    <w:p>
      <w:pPr>
        <w:ind w:right="20"/>
        <w:spacing w:after="0" w:line="258" w:lineRule="auto"/>
        <w:rPr>
          <w:sz w:val="20"/>
          <w:szCs w:val="20"/>
          <w:color w:val="auto"/>
        </w:rPr>
      </w:pPr>
      <w:r>
        <w:rPr>
          <w:rFonts w:ascii="Times New Roman" w:cs="Times New Roman" w:eastAsia="Times New Roman" w:hAnsi="Times New Roman"/>
          <w:sz w:val="18"/>
          <w:szCs w:val="18"/>
          <w:color w:val="auto"/>
        </w:rPr>
        <w:t>Documents. Borrowers shall execute and deliver such further documents and do such further acts and things in order to effectuate the foregoing.</w:t>
      </w:r>
    </w:p>
    <w:p>
      <w:pPr>
        <w:spacing w:after="0" w:line="129" w:lineRule="exact"/>
        <w:rPr>
          <w:sz w:val="20"/>
          <w:szCs w:val="20"/>
          <w:color w:val="auto"/>
        </w:rPr>
      </w:pPr>
    </w:p>
    <w:p>
      <w:pPr>
        <w:jc w:val="both"/>
        <w:ind w:firstLine="1053"/>
        <w:spacing w:after="0" w:line="233" w:lineRule="auto"/>
        <w:tabs>
          <w:tab w:leader="none" w:pos="159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with the consent of Agent which shall not be unreasonably withheld or delayed, may directly or indirectly sell, assign or transfer all or any portion of its rights and obligations under or relating to Revolving Advances under this Agreement and the Other Documents to an entity, whether a corporation, partnership, trust, limited liability company or other entity that (i) is engaged in making, purchasing, holding or otherwise investing in bank loans and similar extensions of credit in the ordinary course of its business and (ii) is administered, serviced or managed by the assigning Lender or an Affiliate of such Lender (a “Purchasing CLO” and together with each Participant and Purchasing Lender, each a “Transferee” and collectively the “Transferees”), pursuant to a Commitment Transfer Supplement modified as appropriate to reflect the interest being assigned (“Modified Commitment Transfer Supplement”), executed by any intermediate purchaser, the Purchasing CLO, the transferor Lender, and Agent as appropriate and delivered to Agent for recording. Upon such execution and delivery, from and after the transfer effective date determined pursuant to such Modified Commitment Transfer Supplement, (i) Purchasing CLO thereunder shall be a party hereto and, to the extent provided in such Modified Commitment Transfer Supplement, have the rights and obligations of a Lender thereunder and (ii) the transferor Lender thereunder shall, to the extent provided in such Modified Commitment Transfer Supplement, be released from its obligations under this Agreement, the Modified Commitment Transfer Supplement creating a novation for that purpose. Such Modified Commitment Transfer Supplement shall be deemed to amend this Agreement to the extent, and only to the extent, necessary to reflect the addition of such Purchasing CLO. Each Borrower hereby consents to the addition of such Purchasing CLO. Borrowers shall execute and deliver such further documents and do such further acts and things in order to effectuate the foregoing.</w:t>
      </w:r>
    </w:p>
    <w:p>
      <w:pPr>
        <w:spacing w:after="0" w:line="147" w:lineRule="exact"/>
        <w:rPr>
          <w:rFonts w:ascii="Times New Roman" w:cs="Times New Roman" w:eastAsia="Times New Roman" w:hAnsi="Times New Roman"/>
          <w:sz w:val="18"/>
          <w:szCs w:val="18"/>
          <w:color w:val="auto"/>
        </w:rPr>
      </w:pPr>
    </w:p>
    <w:p>
      <w:pPr>
        <w:jc w:val="both"/>
        <w:ind w:firstLine="1053"/>
        <w:spacing w:after="0" w:line="235" w:lineRule="auto"/>
        <w:tabs>
          <w:tab w:leader="none" w:pos="159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maintain at its address a copy of each Commitment Transfer Supplement and Modified Commitment Transfer Supplement delivered to it and a register (the “Register”) for the recordation of the names and addresses of each Lender and the outstanding principal, accrued and unpaid interest and other fees due hereunder. The entries in the Register shall be conclusive, in the absence of manifest error, and each Borrower, Agent and Lenders may treat each Person whose name is recorded in the Register as the owner of the Advance recorded therein for the purposes of this Agreement. The Register shall be available for inspection by Borrowing Agent or any Lender at any reasonable time and from time to time upon reasonable prior notice. Agent shall receive a fee in the amount of $3,500 payable by the applicable Purchasing Lender and/or Purchasing CLO upon the effective date of each transfer or assignment (other than to an intermediate purchaser) to such Purchasing Lender and/or Purchasing CLO.</w:t>
      </w:r>
    </w:p>
    <w:p>
      <w:pPr>
        <w:spacing w:after="0" w:line="148"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authorizes each Lender to disclose to any Transferee and any prospective Transferee any and all financial information in such Lender’s possession concerning such Borrower which has been delivered to such Lender by or on behalf of such Borrower pursuant to this Agreement or in connection with such Lender’s credit evaluation of such Borrower.</w:t>
      </w:r>
    </w:p>
    <w:p>
      <w:pPr>
        <w:spacing w:after="0" w:line="140" w:lineRule="exact"/>
        <w:rPr>
          <w:rFonts w:ascii="Times New Roman" w:cs="Times New Roman" w:eastAsia="Times New Roman" w:hAnsi="Times New Roman"/>
          <w:sz w:val="18"/>
          <w:szCs w:val="18"/>
          <w:color w:val="auto"/>
        </w:rPr>
      </w:pPr>
    </w:p>
    <w:p>
      <w:pPr>
        <w:jc w:val="both"/>
        <w:ind w:firstLine="1053"/>
        <w:spacing w:after="0" w:line="245" w:lineRule="auto"/>
        <w:tabs>
          <w:tab w:leader="none" w:pos="159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any Lender may at any time and from time to time pledge or assign a security interest in all or any portion of its rights under this Agreement to secure obligations of such Lender, including 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4" w:name="page345"/>
    <w:bookmarkEnd w:id="34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29" w:lineRule="exact"/>
        <w:rPr>
          <w:sz w:val="20"/>
          <w:szCs w:val="20"/>
          <w:color w:val="auto"/>
        </w:rPr>
      </w:pPr>
    </w:p>
    <w:p>
      <w:pPr>
        <w:jc w:val="both"/>
        <w:ind w:firstLine="531"/>
        <w:spacing w:after="0" w:line="237"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Agent shall have the continuing and exclusive right to apply or reverse and re-apply any payment and any and all proceeds of Collateral to any portion of the Obligations. To the extent that any Borrower makes a payment or Agent or any Lender receives any payment or proceeds of the Collateral for any Borrower’s benefit, which are subsequently invalidated, declared to be fraudulent or preferential, set aside or required to be repaid to a trustee, debtor in possession, receiver, custodian or any other party under any bankruptcy law, common law or equitable cause, then, to such extent, the Obligations or part thereof intended to be satisfied shall be revived and continue as if such payment or proceeds had not been received by Agent or such Lender.</w:t>
      </w:r>
    </w:p>
    <w:p>
      <w:pPr>
        <w:spacing w:after="0" w:line="145" w:lineRule="exact"/>
        <w:rPr>
          <w:sz w:val="20"/>
          <w:szCs w:val="20"/>
          <w:color w:val="auto"/>
        </w:rPr>
      </w:pPr>
    </w:p>
    <w:p>
      <w:pPr>
        <w:jc w:val="both"/>
        <w:ind w:firstLine="531"/>
        <w:spacing w:after="0" w:line="232"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Each Borrower shall defend, protect, indemnify, pay and save harmless Agent, Issuer, each Lender and each of their respective officers, directors, Affiliates, attorneys, employees and agents (each an “Indemnified Party”) for and from and against any and all claims, demands, liabilities, obligations, losses, damages, penalties, fines, actions, judgments, suits, costs, charges, expenses and disbursements of any kind or nature whatsoever (including fees and disbursements of counsel (including allocated costs of internal counsel)) (collectively, “Claims”) which may be imposed on, incurred by, or asserted against any Indemnified Party in arising out of or in any way relating to or as a consequence, direct or indirect, of: (i) this Agreement, the Other Documents, the Advances and other Obligations and/or the transactions contemplated hereby including the Transactions, (ii) any action or failure to act or action taken only after delay or the satisfaction of any conditions by any Indemnified Party in connection with and/or relating to the negotiation, execution, delivery or administration of the Agreement and the Other Documents, the credit facilities established hereunder and thereunder and/or the transactions contemplated hereby including the Transactions, (iii) any Borrower’s or any Guarantor’s failure to observe, perform or discharge any of its covenants, obligations, agreements or duties under or breach of any of the representations or warranties made in this Agreement and the Other Documents, (iv) the enforcement of any of the rights and remedies of Agent, Issuer or any Lender under the Agreement and the Other Documents, (v) any threatened or actual imposition of fines or penalties, or disgorgement of benefits, for violation of any Anti-Terrorism Law by any Borrower, any Affiliate or Subsidiary of any Borrowers, or any Guarantor, and (vi) any claim, litigation, proceeding or investigation instituted or conducted by any Governmental Body or instrumentality or any other Person with respect to any aspect of, or any transaction contemplated by, or referred to in, or any matter related to, this Agreement or the Other Documents, whether or not Agent or any Lender is a party thereto. Without limiting the generality of any of the foregoing, each Borrower shall defend, protect, indemnify, pay and save harmless each Indemnified Party from (x) any Claims which may be imposed on, incurred by, or asserted against any Indemnified Party arising out of or in any way relating to or as a consequence, direct or indirect, of the issuance of any Letter of Credit hereunder and (y) any Claims which may be imposed on, incurred by, or asserted against any Indemnified Party under any Environmental Laws with respect to or in connection with the Real Property, any Hazardous Discharge, the presence of any Hazardous Materials affecting the Real Property (whether or not the same originates or emerges from the Real Property or any contiguous real estate), including any Claims consisting of or relating to the imposition or assertion of any Lien on any of the Real Property under any Environmental Laws and any loss of value of the Real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8">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5" w:name="page346"/>
    <w:bookmarkEnd w:id="345"/>
    <w:p>
      <w:pPr>
        <w:jc w:val="both"/>
        <w:spacing w:after="0" w:line="233" w:lineRule="auto"/>
        <w:rPr>
          <w:sz w:val="20"/>
          <w:szCs w:val="20"/>
          <w:color w:val="auto"/>
        </w:rPr>
      </w:pPr>
      <w:r>
        <w:rPr>
          <w:rFonts w:ascii="Times New Roman" w:cs="Times New Roman" w:eastAsia="Times New Roman" w:hAnsi="Times New Roman"/>
          <w:sz w:val="18"/>
          <w:szCs w:val="18"/>
          <w:color w:val="auto"/>
        </w:rPr>
        <w:t>Property as a result of the foregoing except to the extent such loss, liability, damage and expense is attributable to any Hazardous Discharge resulting from actions on the part of Agent or any Lender. Borrowers’ obligations under this Section 16.5 shall arise upon the discovery of the presence of any Hazardous Materials at the Real Property, whether or not any federal, state, or local environmental agency has taken or threatened any action in connection with the presence of any Hazardous Materials, in each such case except to the extent that any of the foregoing arises out of the gross negligence or willful misconduct of the Indemnified Party (as determined by a court of competent jurisdiction in a final and non-appealable judgment). Without limiting the generality of the foregoing, this indemnity shall extend to any liabilities, obligations, losses, damages, penalties, actions, judgments, suits, costs, expenses and disbursements of any kind or nature whatsoever (including fees and disbursements of counsel) asserted against or incurred by any of the Indemnified Parties by any Person under any Environmental Laws or similar laws by reason of any Borrower’s or any other Person’s failure to comply with laws applicable to solid or hazardous waste materials, including Hazardous Materials and Hazardous Waste, or other Toxic Substances. Additionally, if any taxes (excluding taxes imposed upon or measured solely by the net income of Agent and Lenders, but including any intangibles taxes, stamp tax, recording tax or franchise tax) shall be payable by Agent, Lenders or Borrowers on account of the execution or delivery of this Agreement, or the execution, delivery, issuance or recording of any of the Other Documents, or the creation or repayment of any of the Obligations hereunder, by reason of any Applicable Law now or hereafter in effect, Borrowers will pay (or will promptly reimburse Agent and Lenders for payment of) all such taxes, including interest and penalties thereon, and will indemnify and hold the Indemnified Parties harmless from and against all liability in connection therewith.</w:t>
      </w:r>
    </w:p>
    <w:p>
      <w:pPr>
        <w:spacing w:after="0" w:line="146" w:lineRule="exact"/>
        <w:rPr>
          <w:sz w:val="20"/>
          <w:szCs w:val="20"/>
          <w:color w:val="auto"/>
        </w:rPr>
      </w:pPr>
    </w:p>
    <w:p>
      <w:pPr>
        <w:jc w:val="both"/>
        <w:ind w:firstLine="531"/>
        <w:spacing w:after="0" w:line="234"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request hereunder may be given to Borrowing Agent or any Borrower or to Agent or any Lender at their respective addresses set forth below or at such other address as may hereafter be specified in a notice designated as a notice of change of address under this Section. Any notice, request, demand, direction or other communication (for purposes of this Section 16.6 only, a “Notice”) to be given to or made upon any party hereto under any provision of this Agreement shall be given or made by telephone or in writing (which includes by means of electronic transmission (i.e., “e-mail”) or facsimile transmission or by setting forth such Notice on a website to which Borrowers are directed (an “Internet Posting”) if Notice of such Internet Posting (including the information necessary to access such site) has previously been delivered to the applicable parties hereto by another means set forth in this Section 16.6) in accordance with this Section 16.6. Any such Notice must be delivered to the applicable parties hereto at the addresses and numbers set forth under their respective names on Section 16.6 hereof or in accordance with any subsequent unrevoked Notice from any such party that is given in accordance with this Section 16.6. Any Notice shall be effective:</w:t>
      </w:r>
    </w:p>
    <w:p>
      <w:pPr>
        <w:spacing w:after="0" w:line="150" w:lineRule="exact"/>
        <w:rPr>
          <w:sz w:val="20"/>
          <w:szCs w:val="20"/>
          <w:color w:val="auto"/>
        </w:rPr>
      </w:pPr>
    </w:p>
    <w:p>
      <w:pPr>
        <w:ind w:left="1580" w:hanging="527"/>
        <w:spacing w:after="0"/>
        <w:tabs>
          <w:tab w:leader="none" w:pos="15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hand-delivery, when delivered;</w:t>
      </w:r>
    </w:p>
    <w:p>
      <w:pPr>
        <w:spacing w:after="0" w:line="169" w:lineRule="exact"/>
        <w:rPr>
          <w:rFonts w:ascii="Times New Roman" w:cs="Times New Roman" w:eastAsia="Times New Roman" w:hAnsi="Times New Roman"/>
          <w:sz w:val="18"/>
          <w:szCs w:val="18"/>
          <w:color w:val="auto"/>
        </w:rPr>
      </w:pPr>
    </w:p>
    <w:p>
      <w:pPr>
        <w:ind w:firstLine="1053"/>
        <w:spacing w:after="0" w:line="259" w:lineRule="auto"/>
        <w:tabs>
          <w:tab w:leader="none" w:pos="159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given by mail, four (4) days after such Notice is deposited with the United States Postal Service, with first-class postage prepaid, return receipt requested;</w:t>
      </w:r>
    </w:p>
    <w:p>
      <w:pPr>
        <w:spacing w:after="0" w:line="128" w:lineRule="exact"/>
        <w:rPr>
          <w:rFonts w:ascii="Times New Roman" w:cs="Times New Roman" w:eastAsia="Times New Roman" w:hAnsi="Times New Roman"/>
          <w:sz w:val="18"/>
          <w:szCs w:val="18"/>
          <w:color w:val="auto"/>
        </w:rPr>
      </w:pPr>
    </w:p>
    <w:p>
      <w:pPr>
        <w:ind w:firstLine="1053"/>
        <w:spacing w:after="0" w:line="259" w:lineRule="auto"/>
        <w:tabs>
          <w:tab w:leader="none" w:pos="159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telephonic Notice, when a party is contacted by telephone, if delivery of such telephonic Notice is confirmed no later than the next Business Day by hand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9">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6" w:name="page347"/>
    <w:bookmarkEnd w:id="346"/>
    <w:p>
      <w:pPr>
        <w:spacing w:after="0" w:line="258" w:lineRule="auto"/>
        <w:rPr>
          <w:sz w:val="20"/>
          <w:szCs w:val="20"/>
          <w:color w:val="auto"/>
        </w:rPr>
      </w:pPr>
      <w:r>
        <w:rPr>
          <w:rFonts w:ascii="Times New Roman" w:cs="Times New Roman" w:eastAsia="Times New Roman" w:hAnsi="Times New Roman"/>
          <w:sz w:val="18"/>
          <w:szCs w:val="18"/>
          <w:color w:val="auto"/>
        </w:rPr>
        <w:t>delivery, a facsimile or electronic transmission, an Internet Posting or an overnight courier delivery of a confirmatory Notice (received at or before noon on such next Business Day);</w:t>
      </w:r>
    </w:p>
    <w:p>
      <w:pPr>
        <w:spacing w:after="0" w:line="129" w:lineRule="exact"/>
        <w:rPr>
          <w:sz w:val="20"/>
          <w:szCs w:val="20"/>
          <w:color w:val="auto"/>
        </w:rPr>
      </w:pPr>
    </w:p>
    <w:p>
      <w:pPr>
        <w:ind w:firstLine="1053"/>
        <w:spacing w:after="0" w:line="259" w:lineRule="auto"/>
        <w:tabs>
          <w:tab w:leader="none" w:pos="159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facsimile transmission, when sent to the applicable party’s facsimile machine’s telephone number, if the party sending such Notice receives confirmation of the delivery thereof from its own facsimile machine;</w:t>
      </w:r>
    </w:p>
    <w:p>
      <w:pPr>
        <w:spacing w:after="0" w:line="128"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electronic transmission, when actually received;</w:t>
      </w:r>
    </w:p>
    <w:p>
      <w:pPr>
        <w:spacing w:after="0" w:line="169" w:lineRule="exact"/>
        <w:rPr>
          <w:rFonts w:ascii="Times New Roman" w:cs="Times New Roman" w:eastAsia="Times New Roman" w:hAnsi="Times New Roman"/>
          <w:sz w:val="18"/>
          <w:szCs w:val="18"/>
          <w:color w:val="auto"/>
        </w:rPr>
      </w:pPr>
    </w:p>
    <w:p>
      <w:pPr>
        <w:ind w:right="20" w:firstLine="1053"/>
        <w:spacing w:after="0" w:line="259" w:lineRule="auto"/>
        <w:tabs>
          <w:tab w:leader="none" w:pos="159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Internet Posting, upon delivery of a Notice of such posting (including the information necessary to access such site) by another means set forth in this Section 16.6; and</w:t>
      </w:r>
    </w:p>
    <w:p>
      <w:pPr>
        <w:spacing w:after="0" w:line="128"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given by any other means (including by overnight courier), when actually received.</w:t>
      </w:r>
    </w:p>
    <w:p>
      <w:pPr>
        <w:spacing w:after="0" w:line="169" w:lineRule="exact"/>
        <w:rPr>
          <w:sz w:val="20"/>
          <w:szCs w:val="20"/>
          <w:color w:val="auto"/>
        </w:rPr>
      </w:pPr>
    </w:p>
    <w:p>
      <w:pPr>
        <w:ind w:firstLine="531"/>
        <w:spacing w:after="0" w:line="259" w:lineRule="auto"/>
        <w:rPr>
          <w:sz w:val="20"/>
          <w:szCs w:val="20"/>
          <w:color w:val="auto"/>
        </w:rPr>
      </w:pPr>
      <w:r>
        <w:rPr>
          <w:rFonts w:ascii="Times New Roman" w:cs="Times New Roman" w:eastAsia="Times New Roman" w:hAnsi="Times New Roman"/>
          <w:sz w:val="18"/>
          <w:szCs w:val="18"/>
          <w:color w:val="auto"/>
        </w:rPr>
        <w:t>Any Lender giving a Notice to Borrowing Agent or any Borrower shall concurrently send a copy thereof to Agent, and Agent shall promptly notify the other Lenders of its receipt of such Notice.</w:t>
      </w:r>
    </w:p>
    <w:p>
      <w:pPr>
        <w:spacing w:after="0" w:line="128" w:lineRule="exact"/>
        <w:rPr>
          <w:sz w:val="20"/>
          <w:szCs w:val="20"/>
          <w:color w:val="auto"/>
        </w:rPr>
      </w:pPr>
    </w:p>
    <w:p>
      <w:pPr>
        <w:ind w:left="1580" w:hanging="527"/>
        <w:spacing w:after="0"/>
        <w:tabs>
          <w:tab w:leader="none" w:pos="1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Agent or PNC at:</w:t>
      </w:r>
    </w:p>
    <w:p>
      <w:pPr>
        <w:spacing w:after="0" w:line="169" w:lineRule="exact"/>
        <w:rPr>
          <w:rFonts w:ascii="Times New Roman" w:cs="Times New Roman" w:eastAsia="Times New Roman" w:hAnsi="Times New Roman"/>
          <w:sz w:val="18"/>
          <w:szCs w:val="18"/>
          <w:color w:val="auto"/>
        </w:rPr>
      </w:pPr>
    </w:p>
    <w:p>
      <w:pPr>
        <w:ind w:left="1580" w:right="5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PNC Bank, National Association 1600 Market Street Philadelphia, PA 19103 Attention: Jacqueline MacKenzie Telephone: 215- 585-2056 Facsimile: 215- 585-4771</w:t>
      </w:r>
    </w:p>
    <w:p>
      <w:pPr>
        <w:spacing w:after="0" w:line="34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w:t>
      </w:r>
    </w:p>
    <w:p>
      <w:pPr>
        <w:spacing w:after="0" w:line="169" w:lineRule="exact"/>
        <w:rPr>
          <w:rFonts w:ascii="Times New Roman" w:cs="Times New Roman" w:eastAsia="Times New Roman" w:hAnsi="Times New Roman"/>
          <w:sz w:val="18"/>
          <w:szCs w:val="18"/>
          <w:color w:val="auto"/>
        </w:rPr>
      </w:pPr>
    </w:p>
    <w:p>
      <w:pPr>
        <w:ind w:left="1580" w:right="66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Blank Rome LLP One Logan Square Philadelphia, PA 19103</w:t>
      </w:r>
    </w:p>
    <w:p>
      <w:pPr>
        <w:spacing w:after="0" w:line="1" w:lineRule="exact"/>
        <w:rPr>
          <w:rFonts w:ascii="Times New Roman" w:cs="Times New Roman" w:eastAsia="Times New Roman" w:hAnsi="Times New Roman"/>
          <w:sz w:val="18"/>
          <w:szCs w:val="18"/>
          <w:color w:val="auto"/>
        </w:rPr>
      </w:pPr>
    </w:p>
    <w:p>
      <w:pPr>
        <w:ind w:left="1580"/>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Michael C. Graziano, Esq.</w:t>
      </w:r>
    </w:p>
    <w:p>
      <w:pPr>
        <w:ind w:left="1580"/>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215-569-5387</w:t>
      </w: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215-832-5387</w:t>
      </w:r>
    </w:p>
    <w:p>
      <w:pPr>
        <w:spacing w:after="0" w:line="149"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other than Agent, as specified on the signature pages hereof</w:t>
      </w:r>
    </w:p>
    <w:p>
      <w:pPr>
        <w:spacing w:after="0" w:line="169" w:lineRule="exact"/>
        <w:rPr>
          <w:rFonts w:ascii="Times New Roman" w:cs="Times New Roman" w:eastAsia="Times New Roman" w:hAnsi="Times New Roman"/>
          <w:sz w:val="18"/>
          <w:szCs w:val="18"/>
          <w:color w:val="auto"/>
        </w:rPr>
      </w:pPr>
    </w:p>
    <w:p>
      <w:pPr>
        <w:ind w:left="1580" w:hanging="527"/>
        <w:spacing w:after="0"/>
        <w:tabs>
          <w:tab w:leader="none" w:pos="15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Borrowing Agent or any Borrower:</w:t>
      </w:r>
    </w:p>
    <w:p>
      <w:pPr>
        <w:spacing w:after="0" w:line="169" w:lineRule="exact"/>
        <w:rPr>
          <w:rFonts w:ascii="Times New Roman" w:cs="Times New Roman" w:eastAsia="Times New Roman" w:hAnsi="Times New Roman"/>
          <w:sz w:val="18"/>
          <w:szCs w:val="18"/>
          <w:color w:val="auto"/>
        </w:rPr>
      </w:pPr>
    </w:p>
    <w:p>
      <w:pPr>
        <w:ind w:left="1580" w:right="410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TRG Customer Solutions, Inc. d/b/a IBEX Global Solutions 1700 Pennsylvania Avenue, NW</w:t>
      </w:r>
    </w:p>
    <w:p>
      <w:pPr>
        <w:ind w:left="1580" w:right="65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Washington, DC 20006 Attention: Karl Gabel Telephone: 202-580-6052 Facsimile: 817-299-8038</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0">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7" w:name="page348"/>
    <w:bookmarkEnd w:id="347"/>
    <w:p>
      <w:pPr>
        <w:jc w:val="both"/>
        <w:ind w:firstLine="531"/>
        <w:spacing w:after="0" w:line="244"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obligations of Borrowers under Sections 2.2(f), 2.2(g), 2.2(h), 3.7, 3.8, 3.9, 3.10, 16.5 and 16.9 and the obligations of Lenders under Sections 2.2, 2.15(b), 2.16, 2.18, 2.19, 14.8 and 16.5, shall survive termination of this Agreement and the Other Documents and payment in full of the Obligations.</w:t>
      </w:r>
    </w:p>
    <w:p>
      <w:pPr>
        <w:spacing w:after="0" w:line="142"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Agreement is contrary to, prohibited by, or deemed invalid under Applicable Laws, such provision shall be inapplicable and deemed omitted to the extent so contrary, prohibited or invalid, but the remainder hereof shall not be invalidated thereby and shall be given effect so far as possible.</w:t>
      </w:r>
    </w:p>
    <w:p>
      <w:pPr>
        <w:spacing w:after="0" w:line="140" w:lineRule="exact"/>
        <w:rPr>
          <w:sz w:val="20"/>
          <w:szCs w:val="20"/>
          <w:color w:val="auto"/>
        </w:rPr>
      </w:pPr>
    </w:p>
    <w:p>
      <w:pPr>
        <w:jc w:val="both"/>
        <w:ind w:firstLine="531"/>
        <w:spacing w:after="0" w:line="233" w:lineRule="auto"/>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Borrowers shall pay (i) all out-of-pocket expenses incurred by Agent and its Affiliates (including the reasonable fees, charges and disbursements of counsel for Agent), and shall pay all fees and time charges and disbursements for attorneys who may be employees of Agent, in connection with the syndication of the credit facilities provided for herein, the preparation, negotiation, execution, delivery and administration of this Agreement and the Other Documents or any amendments, modifications or waivers of the provisions hereof or thereof (whether or not the transactions contemplated hereby or thereby shall be consummated), (ii) all out-of-pocket expenses incurred by Issuer in connection with the issuance, amendment, renewal or extension of any Letter of Credit or any demand for payment thereunder, (iii) all out-of-pocket expenses incurred by Agent, any Lender or Issuer (including the fees, charges and disbursements of any counsel for Agent, any Lender or Issuer), and shall pay all fees and time charges for attorneys who may be employees of Agent, any Lender or Issuer, in connection with the enforcement or protection of its rights (A) in connection with this Agreement and the Other Documents, including its rights under this Section, or (B) in connection with the Advances made or Letters of Credit issued hereunder, including all such out-of-pocket expenses incurred during any workout, restructuring or negotiations in respect of such Loans or Letters of Credit, and (iv) all reasonable out-of-pocket expenses of Agent’s regular employees and agents engaged periodically to perform audits of the any Borrower’s or any Borrower’s Affiliate’s or Subsidiary’s books, records and business properties.</w:t>
      </w:r>
    </w:p>
    <w:p>
      <w:pPr>
        <w:spacing w:after="0" w:line="153"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16.10.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Each Borrower recognizes that, in the event any Borrower fails to perform, observe or discharge any of its obligations or liabilities under this Agreement, or threatens to fail to perform, observe or discharge such obligations or liabilities, any remedy at law may prove to be inadequate relief to Lenders; therefor, Agent, if Agent so requests, shall be entitled to temporary and permanent injunctive relief in any such case without the necessity of proving that actual damages are not an adequate remedy.</w:t>
      </w:r>
    </w:p>
    <w:p>
      <w:pPr>
        <w:spacing w:after="0" w:line="145" w:lineRule="exact"/>
        <w:rPr>
          <w:sz w:val="20"/>
          <w:szCs w:val="20"/>
          <w:color w:val="auto"/>
        </w:rPr>
      </w:pPr>
    </w:p>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16.11.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Neither Agent nor any Lender, nor any agent or attorney for any of them, shall be liable to any Borrower, or any Guarantor (or any Affiliate of any such Person) for indirect, punitive, exemplary or consequential damages arising from any breach of contract, tort or other wrong relating to the establishment, administration or collection of the Obligations or as a result of any transaction contemplated under this Agreement or any Other Document.</w:t>
      </w:r>
    </w:p>
    <w:p>
      <w:pPr>
        <w:spacing w:after="0" w:line="145" w:lineRule="exact"/>
        <w:rPr>
          <w:sz w:val="20"/>
          <w:szCs w:val="20"/>
          <w:color w:val="auto"/>
        </w:rPr>
      </w:pPr>
    </w:p>
    <w:p>
      <w:pPr>
        <w:jc w:val="both"/>
        <w:ind w:firstLine="531"/>
        <w:spacing w:after="0" w:line="259" w:lineRule="auto"/>
        <w:rPr>
          <w:sz w:val="20"/>
          <w:szCs w:val="20"/>
          <w:color w:val="auto"/>
        </w:rPr>
      </w:pPr>
      <w:r>
        <w:rPr>
          <w:rFonts w:ascii="Times New Roman" w:cs="Times New Roman" w:eastAsia="Times New Roman" w:hAnsi="Times New Roman"/>
          <w:sz w:val="18"/>
          <w:szCs w:val="18"/>
          <w:color w:val="auto"/>
        </w:rPr>
        <w:t xml:space="preserve">16.12.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at various places in this Agreement are intended for convenience only and do not constitute and shall not be interpreted as part of this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8" w:name="page349"/>
    <w:bookmarkEnd w:id="348"/>
    <w:p>
      <w:pPr>
        <w:jc w:val="both"/>
        <w:ind w:firstLine="531"/>
        <w:spacing w:after="0"/>
        <w:rPr>
          <w:sz w:val="20"/>
          <w:szCs w:val="20"/>
          <w:color w:val="auto"/>
        </w:rPr>
      </w:pPr>
      <w:r>
        <w:rPr>
          <w:rFonts w:ascii="Times New Roman" w:cs="Times New Roman" w:eastAsia="Times New Roman" w:hAnsi="Times New Roman"/>
          <w:sz w:val="18"/>
          <w:szCs w:val="18"/>
          <w:color w:val="auto"/>
        </w:rPr>
        <w:t xml:space="preserve">16.13.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any number of and by different parties hereto on separate counterparts, all of which, when so executed, shall be deemed an original, but all such counterparts shall constitute one and the same agreement. Any signature delivered by a party by facsimile or electronic transmission (including email transmission of a PDF image) shall be deemed to be an original signature hereto.</w:t>
      </w:r>
    </w:p>
    <w:p>
      <w:pPr>
        <w:spacing w:after="0" w:line="144"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16.14.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acknowledge that each party and its counsel have reviewed this Agreement and that the normal rule of construction to the effect that any ambiguities are to be resolved against the drafting party shall not be employed in the interpretation of this Agreement or any amendments, schedules or exhibits thereto.</w:t>
      </w:r>
    </w:p>
    <w:p>
      <w:pPr>
        <w:spacing w:after="0" w:line="140" w:lineRule="exact"/>
        <w:rPr>
          <w:sz w:val="20"/>
          <w:szCs w:val="20"/>
          <w:color w:val="auto"/>
        </w:rPr>
      </w:pPr>
    </w:p>
    <w:p>
      <w:pPr>
        <w:jc w:val="both"/>
        <w:ind w:firstLine="531"/>
        <w:spacing w:after="0" w:line="232" w:lineRule="auto"/>
        <w:rPr>
          <w:sz w:val="20"/>
          <w:szCs w:val="20"/>
          <w:color w:val="auto"/>
        </w:rPr>
      </w:pPr>
      <w:r>
        <w:rPr>
          <w:rFonts w:ascii="Times New Roman" w:cs="Times New Roman" w:eastAsia="Times New Roman" w:hAnsi="Times New Roman"/>
          <w:sz w:val="18"/>
          <w:szCs w:val="18"/>
          <w:color w:val="auto"/>
        </w:rPr>
        <w:t xml:space="preserve">16.15. </w:t>
      </w:r>
      <w:r>
        <w:rPr>
          <w:rFonts w:ascii="Times New Roman" w:cs="Times New Roman" w:eastAsia="Times New Roman" w:hAnsi="Times New Roman"/>
          <w:sz w:val="18"/>
          <w:szCs w:val="18"/>
          <w:u w:val="single" w:color="auto"/>
          <w:color w:val="auto"/>
        </w:rPr>
        <w:t>Confidentiality; Sharing Information</w:t>
      </w:r>
      <w:r>
        <w:rPr>
          <w:rFonts w:ascii="Times New Roman" w:cs="Times New Roman" w:eastAsia="Times New Roman" w:hAnsi="Times New Roman"/>
          <w:sz w:val="18"/>
          <w:szCs w:val="18"/>
          <w:color w:val="auto"/>
        </w:rPr>
        <w:t>. Agent, each Lender and each Transferee shall hold all non-public information obtained by Agent, such Lender or such Transferee pursuant to the requirements of this Agreement or any Other Document in accordance with Agent’s, such Lender’s and such Transferee’s customary procedures for handling confidential information of this nature; provided, however, Agent, each Lender and each Transferee may disclose such confidential information (a) to its examiners, Affiliates, outside auditors, counsel and other professional advisors, (b) to Agent, any Lender or to any prospective Transferees, and (c) as required or requested by any Governmental Body or representative thereof or pursuant to legal process; provided, further that (i) unless specifically prohibited by Applicable Law, Agent, each Lender and each Transferee shall use its reasonable best efforts prior to disclosure thereof, to notify the applicable Borrower of the applicable request for disclosure of such non-public information (A) by a Governmental Body or representative thereof (other than any such request in connection with an examination of the financial condition of a Lender or a Transferee by such Governmental Body) or (B) pursuant to legal process and (ii) in no event shall Agent, any Lender or any Transferee be obligated to return any materials furnished by any Borrower other than those documents and instruments in possession of Agent or any Lender in order to perfect its Lien on the Collateral once the Obligations have been paid in full and this Agreement has been terminated. Each Borrower acknowledges that from time to time financial advisory, investment banking and other services may be offered or provided to such Borrower or one or more of its Affiliates (in connection with this Agreement or otherwise) by any Lender or by one or more Subsidiaries or Affiliates of such Lender and each Borrower hereby authorizes each Lender to share any information delivered to such Lender by such Borrower and its Subsidiaries pursuant to this Agreement, or in connection with the decision of such Lender to enter into this Agreement, to any such Subsidiary or Affiliate of such Lender, it being understood that any such Subsidiary or Affiliate of any Lender receiving such information shall be bound by the provisions of this Section 16.15 as if it were a Lender hereunder. Such authorization shall survive the repayment of the other Obligations and the termination of this Agreement. Notwithstanding any non-disclosure agreement or similar document executed by Agent in favor of any Borrower or any of any Borrower’s affiliates, the provisions of this Agreement shall supersede such agreements.</w:t>
      </w:r>
    </w:p>
    <w:p>
      <w:pPr>
        <w:spacing w:after="0" w:line="156" w:lineRule="exact"/>
        <w:rPr>
          <w:sz w:val="20"/>
          <w:szCs w:val="20"/>
          <w:color w:val="auto"/>
        </w:rPr>
      </w:pPr>
    </w:p>
    <w:p>
      <w:pPr>
        <w:jc w:val="both"/>
        <w:ind w:firstLine="531"/>
        <w:spacing w:after="0" w:line="245" w:lineRule="auto"/>
        <w:rPr>
          <w:sz w:val="20"/>
          <w:szCs w:val="20"/>
          <w:color w:val="auto"/>
        </w:rPr>
      </w:pPr>
      <w:r>
        <w:rPr>
          <w:rFonts w:ascii="Times New Roman" w:cs="Times New Roman" w:eastAsia="Times New Roman" w:hAnsi="Times New Roman"/>
          <w:sz w:val="18"/>
          <w:szCs w:val="18"/>
          <w:color w:val="auto"/>
        </w:rPr>
        <w:t xml:space="preserve">16.16.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Each Borrower and each Lender hereby authorizes Agent to make appropriate announcements of the financial arrangement entered into among Borrowers, Agent and Lenders, including announcements which are commonly known as tombstones, in such publications and to such selected parties as Agent shall in its sole and absolute discretion deem appropriate.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6314440"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2">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349" w:name="page350"/>
    <w:bookmarkEnd w:id="349"/>
    <w:p>
      <w:pPr>
        <w:ind w:left="529"/>
        <w:spacing w:after="0"/>
        <w:rPr>
          <w:sz w:val="20"/>
          <w:szCs w:val="20"/>
          <w:color w:val="auto"/>
        </w:rPr>
      </w:pPr>
      <w:r>
        <w:rPr>
          <w:rFonts w:ascii="Times New Roman" w:cs="Times New Roman" w:eastAsia="Times New Roman" w:hAnsi="Times New Roman"/>
          <w:sz w:val="18"/>
          <w:szCs w:val="18"/>
          <w:color w:val="auto"/>
        </w:rPr>
        <w:t xml:space="preserve">16.17.  </w:t>
      </w:r>
      <w:r>
        <w:rPr>
          <w:rFonts w:ascii="Times New Roman" w:cs="Times New Roman" w:eastAsia="Times New Roman" w:hAnsi="Times New Roman"/>
          <w:sz w:val="18"/>
          <w:szCs w:val="18"/>
          <w:u w:val="single" w:color="auto"/>
          <w:color w:val="auto"/>
        </w:rPr>
        <w:t>Certifications From Banks and Participants; USA PATRIOT Act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left="9" w:firstLine="1053"/>
        <w:spacing w:after="0" w:line="236" w:lineRule="auto"/>
        <w:tabs>
          <w:tab w:leader="none" w:pos="160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assignee or participant of a Lender that is not incorporated under the Laws of the United States of America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(1) within ten (10) days after the Closing Date, and (2) as such other times as are required under the USA PATRIOT Act.</w:t>
      </w:r>
    </w:p>
    <w:p>
      <w:pPr>
        <w:spacing w:after="0" w:line="145" w:lineRule="exact"/>
        <w:rPr>
          <w:rFonts w:ascii="Times New Roman" w:cs="Times New Roman" w:eastAsia="Times New Roman" w:hAnsi="Times New Roman"/>
          <w:sz w:val="18"/>
          <w:szCs w:val="18"/>
          <w:color w:val="auto"/>
        </w:rPr>
      </w:pPr>
    </w:p>
    <w:p>
      <w:pPr>
        <w:jc w:val="both"/>
        <w:ind w:left="9" w:firstLine="1053"/>
        <w:spacing w:after="0"/>
        <w:tabs>
          <w:tab w:leader="none" w:pos="160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USA PATRIOT Act requires all financial institutions to obtain, verify and record certain information that identifies individuals or business entities which open an "account" with such financial institution. Consequently, Lender may from time to time request, and each Borrower shall provide to Lender, such Borrower's name, address, tax identification number and/or such other identifying information as shall be necessary for Lender to comply with the USA PATRIOT Act and any other Anti-Terrorism Law.</w:t>
      </w:r>
    </w:p>
    <w:p>
      <w:pPr>
        <w:spacing w:after="0" w:line="145" w:lineRule="exact"/>
        <w:rPr>
          <w:sz w:val="20"/>
          <w:szCs w:val="20"/>
          <w:color w:val="auto"/>
        </w:rPr>
      </w:pPr>
    </w:p>
    <w:p>
      <w:pPr>
        <w:ind w:left="529"/>
        <w:spacing w:after="0"/>
        <w:rPr>
          <w:sz w:val="20"/>
          <w:szCs w:val="20"/>
          <w:color w:val="auto"/>
        </w:rPr>
      </w:pPr>
      <w:r>
        <w:rPr>
          <w:rFonts w:ascii="Times New Roman" w:cs="Times New Roman" w:eastAsia="Times New Roman" w:hAnsi="Times New Roman"/>
          <w:sz w:val="18"/>
          <w:szCs w:val="18"/>
          <w:color w:val="auto"/>
        </w:rPr>
        <w:t xml:space="preserve">16.18.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left="9" w:firstLine="1053"/>
        <w:spacing w:after="0" w:line="238" w:lineRule="auto"/>
        <w:tabs>
          <w:tab w:leader="none" w:pos="160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represents and warrants that (i) no Covered Entity is a Sanctioned Person and (ii) no Covered Entity, either in its own right or through any third party, (A) has any of its assets in a Sanctioned Country or in the possession, custody or control of a Sanctioned Person in violation of any Anti-Terrorism Law; (B) does business in or with, or derives any of its income from investments in or transactions with, any Sanctioned Country or Sanctioned Person in violation of any Anti-Terrorism Law; or (C) engages in any dealings or transactions prohibited by any Anti-Terrorism Law.</w:t>
      </w:r>
    </w:p>
    <w:p>
      <w:pPr>
        <w:spacing w:after="0" w:line="146" w:lineRule="exact"/>
        <w:rPr>
          <w:rFonts w:ascii="Times New Roman" w:cs="Times New Roman" w:eastAsia="Times New Roman" w:hAnsi="Times New Roman"/>
          <w:sz w:val="18"/>
          <w:szCs w:val="18"/>
          <w:color w:val="auto"/>
        </w:rPr>
      </w:pPr>
    </w:p>
    <w:p>
      <w:pPr>
        <w:jc w:val="both"/>
        <w:ind w:left="9" w:firstLine="1053"/>
        <w:spacing w:after="0" w:line="248" w:lineRule="auto"/>
        <w:tabs>
          <w:tab w:leader="none" w:pos="1601"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Borrower covenants and agrees that (i) no Covered Entity will become a Sanctioned Person, (ii) no Covered Entity, either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Advances to fund any operations in, finance any investments or activities in, or, make any payments to, a Sanctioned Country or Sanctioned Person in violation of any Anti-Terrorism Law,</w:t>
      </w:r>
    </w:p>
    <w:p>
      <w:pPr>
        <w:spacing w:after="0" w:line="2" w:lineRule="exact"/>
        <w:rPr>
          <w:rFonts w:ascii="Times New Roman" w:cs="Times New Roman" w:eastAsia="Times New Roman" w:hAnsi="Times New Roman"/>
          <w:sz w:val="17"/>
          <w:szCs w:val="17"/>
          <w:color w:val="auto"/>
        </w:rPr>
      </w:pPr>
    </w:p>
    <w:p>
      <w:pPr>
        <w:jc w:val="both"/>
        <w:ind w:left="9" w:hanging="9"/>
        <w:spacing w:after="0" w:line="235" w:lineRule="auto"/>
        <w:tabs>
          <w:tab w:leader="none" w:pos="32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used to repay the Obligations will not be derived from any unlawful activity, (iv) each Covered Entity shall comply with all Anti-Terrorism Laws and (v) the Borrowers shall promptly notify the Agent in writing upon the occurrence of a Reportable Compliance Event.</w:t>
      </w:r>
    </w:p>
    <w:p>
      <w:pPr>
        <w:spacing w:after="0" w:line="1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6314440"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3">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949"/>
          </w:cols>
          <w:pgMar w:left="971" w:top="118" w:right="979" w:bottom="1440" w:gutter="0" w:footer="0" w:header="0"/>
        </w:sectPr>
      </w:pPr>
    </w:p>
    <w:bookmarkStart w:id="350" w:name="page351"/>
    <w:bookmarkEnd w:id="350"/>
    <w:p>
      <w:pPr>
        <w:ind w:left="60"/>
        <w:spacing w:after="0"/>
        <w:rPr>
          <w:sz w:val="20"/>
          <w:szCs w:val="20"/>
          <w:color w:val="auto"/>
        </w:rPr>
      </w:pPr>
      <w:r>
        <w:rPr>
          <w:rFonts w:ascii="Times New Roman" w:cs="Times New Roman" w:eastAsia="Times New Roman" w:hAnsi="Times New Roman"/>
          <w:sz w:val="18"/>
          <w:szCs w:val="18"/>
          <w:color w:val="auto"/>
        </w:rPr>
        <w:t>Each of the parties has signed this Agreement as of the day and year first above written.</w:t>
      </w:r>
    </w:p>
    <w:p>
      <w:pPr>
        <w:spacing w:after="0" w:line="17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TRG CUSTOMER SOLUTIONS, INC.</w:t>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d/b/a IBEX Global Solutions</w:t>
      </w:r>
    </w:p>
    <w:p>
      <w:pPr>
        <w:spacing w:after="0" w:line="200" w:lineRule="exact"/>
        <w:rPr>
          <w:sz w:val="20"/>
          <w:szCs w:val="20"/>
          <w:color w:val="auto"/>
        </w:rPr>
      </w:pPr>
    </w:p>
    <w:p>
      <w:pPr>
        <w:spacing w:after="0" w:line="3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By:</w:t>
      </w:r>
    </w:p>
    <w:p>
      <w:pPr>
        <w:spacing w:after="0" w:line="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-108585</wp:posOffset>
            </wp:positionV>
            <wp:extent cx="273240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4">
                      <a:extLst>
                        <a:ext uri="{28A0092B-C50C-407E-A947-70E740481C1C}"/>
                      </a:extLst>
                    </a:blip>
                    <a:srcRect/>
                    <a:stretch>
                      <a:fillRect/>
                    </a:stretch>
                  </pic:blipFill>
                  <pic:spPr bwMode="auto">
                    <a:xfrm>
                      <a:off x="0" y="0"/>
                      <a:ext cx="2732405" cy="698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10160</wp:posOffset>
            </wp:positionV>
            <wp:extent cx="273240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5">
                      <a:extLst>
                        <a:ext uri="{28A0092B-C50C-407E-A947-70E740481C1C}"/>
                      </a:extLst>
                    </a:blip>
                    <a:srcRect/>
                    <a:stretch>
                      <a:fillRect/>
                    </a:stretch>
                  </pic:blipFill>
                  <pic:spPr bwMode="auto">
                    <a:xfrm>
                      <a:off x="0" y="0"/>
                      <a:ext cx="2732405" cy="698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-108585</wp:posOffset>
            </wp:positionV>
            <wp:extent cx="273240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6">
                      <a:extLst>
                        <a:ext uri="{28A0092B-C50C-407E-A947-70E740481C1C}"/>
                      </a:extLst>
                    </a:blip>
                    <a:srcRect/>
                    <a:stretch>
                      <a:fillRect/>
                    </a:stretch>
                  </pic:blipFill>
                  <pic:spPr bwMode="auto">
                    <a:xfrm>
                      <a:off x="0" y="0"/>
                      <a:ext cx="27324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Revolving Credit and Security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283845</wp:posOffset>
            </wp:positionV>
            <wp:extent cx="6314440"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7">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51" w:name="page352"/>
    <w:bookmarkEnd w:id="351"/>
    <w:p>
      <w:pPr>
        <w:ind w:left="4600"/>
        <w:spacing w:after="0"/>
        <w:rPr>
          <w:sz w:val="20"/>
          <w:szCs w:val="20"/>
          <w:color w:val="auto"/>
        </w:rPr>
      </w:pPr>
      <w:r>
        <w:rPr>
          <w:rFonts w:ascii="Times New Roman" w:cs="Times New Roman" w:eastAsia="Times New Roman" w:hAnsi="Times New Roman"/>
          <w:sz w:val="15"/>
          <w:szCs w:val="15"/>
          <w:color w:val="auto"/>
        </w:rPr>
        <w:t>PNC BANK, NATIONAL ASSOCIATION,</w:t>
      </w:r>
    </w:p>
    <w:p>
      <w:pPr>
        <w:spacing w:after="0" w:line="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As Lender and as Agent</w:t>
      </w:r>
    </w:p>
    <w:p>
      <w:pPr>
        <w:spacing w:after="0" w:line="200" w:lineRule="exact"/>
        <w:rPr>
          <w:sz w:val="20"/>
          <w:szCs w:val="20"/>
          <w:color w:val="auto"/>
        </w:rPr>
      </w:pPr>
    </w:p>
    <w:p>
      <w:pPr>
        <w:spacing w:after="0" w:line="3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By:</w:t>
      </w:r>
    </w:p>
    <w:p>
      <w:pPr>
        <w:spacing w:after="0" w:line="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-108585</wp:posOffset>
            </wp:positionV>
            <wp:extent cx="273240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8">
                      <a:extLst>
                        <a:ext uri="{28A0092B-C50C-407E-A947-70E740481C1C}"/>
                      </a:extLst>
                    </a:blip>
                    <a:srcRect/>
                    <a:stretch>
                      <a:fillRect/>
                    </a:stretch>
                  </pic:blipFill>
                  <pic:spPr bwMode="auto">
                    <a:xfrm>
                      <a:off x="0" y="0"/>
                      <a:ext cx="2732405" cy="698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10160</wp:posOffset>
            </wp:positionV>
            <wp:extent cx="273240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9">
                      <a:extLst>
                        <a:ext uri="{28A0092B-C50C-407E-A947-70E740481C1C}"/>
                      </a:extLst>
                    </a:blip>
                    <a:srcRect/>
                    <a:stretch>
                      <a:fillRect/>
                    </a:stretch>
                  </pic:blipFill>
                  <pic:spPr bwMode="auto">
                    <a:xfrm>
                      <a:off x="0" y="0"/>
                      <a:ext cx="2732405" cy="698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-108585</wp:posOffset>
            </wp:positionV>
            <wp:extent cx="273240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0">
                      <a:extLst>
                        <a:ext uri="{28A0092B-C50C-407E-A947-70E740481C1C}"/>
                      </a:extLst>
                    </a:blip>
                    <a:srcRect/>
                    <a:stretch>
                      <a:fillRect/>
                    </a:stretch>
                  </pic:blipFill>
                  <pic:spPr bwMode="auto">
                    <a:xfrm>
                      <a:off x="0" y="0"/>
                      <a:ext cx="2732405" cy="6985"/>
                    </a:xfrm>
                    <a:prstGeom prst="rect">
                      <a:avLst/>
                    </a:prstGeom>
                    <a:noFill/>
                  </pic:spPr>
                </pic:pic>
              </a:graphicData>
            </a:graphic>
          </wp:anchor>
        </w:drawing>
      </w:r>
    </w:p>
    <w:p>
      <w:pPr>
        <w:spacing w:after="0" w:line="33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 xml:space="preserve">Revolving Commitment Percentage:  </w:t>
      </w:r>
      <w:r>
        <w:rPr>
          <w:rFonts w:ascii="Times New Roman" w:cs="Times New Roman" w:eastAsia="Times New Roman" w:hAnsi="Times New Roman"/>
          <w:sz w:val="17"/>
          <w:szCs w:val="17"/>
          <w:color w:val="auto"/>
        </w:rPr>
        <w:t>100%</w:t>
      </w:r>
    </w:p>
    <w:p>
      <w:pPr>
        <w:spacing w:after="0" w:line="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Revolving Commitment Amount  $35,000,000</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Revolving Credit and Security Agreement]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283845</wp:posOffset>
            </wp:positionV>
            <wp:extent cx="6314440"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1">
                      <a:extLst>
                        <a:ext uri="{28A0092B-C50C-407E-A947-70E740481C1C}"/>
                      </a:extLst>
                    </a:blip>
                    <a:srcRect/>
                    <a:stretch>
                      <a:fillRect/>
                    </a:stretch>
                  </pic:blipFill>
                  <pic:spPr bwMode="auto">
                    <a:xfrm>
                      <a:off x="0" y="0"/>
                      <a:ext cx="631444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2" w:name="page353"/>
    <w:bookmarkEnd w:id="352"/>
    <w:tbl>
      <w:tblPr>
        <w:tblLayout w:type="fixed"/>
        <w:tblInd w:w="2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40" w:type="dxa"/>
            <w:vAlign w:val="bottom"/>
            <w:gridSpan w:val="2"/>
          </w:tcPr>
          <w:p>
            <w:pPr>
              <w:ind w:left="600"/>
              <w:spacing w:after="0"/>
              <w:rPr>
                <w:sz w:val="20"/>
                <w:szCs w:val="20"/>
                <w:color w:val="auto"/>
              </w:rPr>
            </w:pPr>
            <w:r>
              <w:rPr>
                <w:rFonts w:ascii="Arial" w:cs="Arial" w:eastAsia="Arial" w:hAnsi="Arial"/>
                <w:sz w:val="15"/>
                <w:szCs w:val="15"/>
                <w:b w:val="1"/>
                <w:bCs w:val="1"/>
                <w:color w:val="auto"/>
                <w:w w:val="97"/>
              </w:rPr>
              <w:t>EXHIBIT 8.1</w:t>
            </w:r>
          </w:p>
        </w:tc>
      </w:tr>
      <w:tr>
        <w:trPr>
          <w:trHeight w:val="335"/>
        </w:trPr>
        <w:tc>
          <w:tcPr>
            <w:tcW w:w="3420" w:type="dxa"/>
            <w:vAlign w:val="bottom"/>
          </w:tcPr>
          <w:p>
            <w:pPr>
              <w:spacing w:after="0"/>
              <w:rPr>
                <w:sz w:val="24"/>
                <w:szCs w:val="24"/>
                <w:color w:val="auto"/>
              </w:rPr>
            </w:pPr>
          </w:p>
        </w:tc>
        <w:tc>
          <w:tcPr>
            <w:tcW w:w="4100" w:type="dxa"/>
            <w:vAlign w:val="bottom"/>
          </w:tcPr>
          <w:p>
            <w:pPr>
              <w:ind w:left="460"/>
              <w:spacing w:after="0"/>
              <w:rPr>
                <w:sz w:val="20"/>
                <w:szCs w:val="20"/>
                <w:color w:val="auto"/>
              </w:rPr>
            </w:pPr>
            <w:r>
              <w:rPr>
                <w:rFonts w:ascii="Arial" w:cs="Arial" w:eastAsia="Arial" w:hAnsi="Arial"/>
                <w:sz w:val="15"/>
                <w:szCs w:val="15"/>
                <w:color w:val="auto"/>
              </w:rPr>
              <w:t>List of subsidiaries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342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92"/>
        </w:trPr>
        <w:tc>
          <w:tcPr>
            <w:tcW w:w="34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tcPr>
          <w:p>
            <w:pPr>
              <w:ind w:left="3240"/>
              <w:spacing w:after="0" w:line="188" w:lineRule="exact"/>
              <w:rPr>
                <w:sz w:val="20"/>
                <w:szCs w:val="20"/>
                <w:color w:val="auto"/>
              </w:rPr>
            </w:pPr>
            <w:r>
              <w:rPr>
                <w:rFonts w:ascii="Calibri" w:cs="Calibri" w:eastAsia="Calibri" w:hAnsi="Calibri"/>
                <w:sz w:val="16"/>
                <w:szCs w:val="16"/>
                <w:b w:val="1"/>
                <w:bCs w:val="1"/>
                <w:color w:val="auto"/>
              </w:rPr>
              <w:t>COUNTRY</w:t>
            </w:r>
          </w:p>
        </w:tc>
        <w:tc>
          <w:tcPr>
            <w:tcW w:w="1420" w:type="dxa"/>
            <w:vAlign w:val="bottom"/>
            <w:tcBorders>
              <w:bottom w:val="single" w:sz="8" w:color="auto"/>
            </w:tcBorders>
          </w:tcPr>
          <w:p>
            <w:pPr>
              <w:jc w:val="right"/>
              <w:ind w:right="139"/>
              <w:spacing w:after="0" w:line="188" w:lineRule="exact"/>
              <w:rPr>
                <w:sz w:val="20"/>
                <w:szCs w:val="20"/>
                <w:color w:val="auto"/>
              </w:rPr>
            </w:pPr>
            <w:r>
              <w:rPr>
                <w:rFonts w:ascii="Calibri" w:cs="Calibri" w:eastAsia="Calibri" w:hAnsi="Calibri"/>
                <w:sz w:val="16"/>
                <w:szCs w:val="16"/>
                <w:b w:val="1"/>
                <w:bCs w:val="1"/>
                <w:color w:val="auto"/>
              </w:rPr>
              <w:t>OWNERSHIP %</w:t>
            </w:r>
          </w:p>
        </w:tc>
        <w:tc>
          <w:tcPr>
            <w:tcW w:w="20" w:type="dxa"/>
            <w:vAlign w:val="bottom"/>
            <w:tcBorders>
              <w:bottom w:val="single" w:sz="8" w:color="auto"/>
            </w:tcBorders>
            <w:shd w:val="clear" w:color="auto" w:fill="000000"/>
          </w:tcPr>
          <w:p>
            <w:pPr>
              <w:spacing w:after="0"/>
              <w:rPr>
                <w:sz w:val="16"/>
                <w:szCs w:val="16"/>
                <w:color w:val="auto"/>
              </w:rPr>
            </w:pPr>
          </w:p>
        </w:tc>
      </w:tr>
      <w:tr>
        <w:trPr>
          <w:trHeight w:val="199"/>
        </w:trPr>
        <w:tc>
          <w:tcPr>
            <w:tcW w:w="3420" w:type="dxa"/>
            <w:vAlign w:val="bottom"/>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IBEX GLOBAL LIMITED</w:t>
            </w:r>
          </w:p>
        </w:tc>
        <w:tc>
          <w:tcPr>
            <w:tcW w:w="4100" w:type="dxa"/>
            <w:vAlign w:val="bottom"/>
            <w:shd w:val="clear" w:color="auto" w:fill="CCEEFF"/>
          </w:tcPr>
          <w:p>
            <w:pPr>
              <w:ind w:left="2840"/>
              <w:spacing w:after="0" w:line="193" w:lineRule="exact"/>
              <w:rPr>
                <w:sz w:val="20"/>
                <w:szCs w:val="20"/>
                <w:color w:val="auto"/>
              </w:rPr>
            </w:pPr>
            <w:r>
              <w:rPr>
                <w:rFonts w:ascii="Calibri" w:cs="Calibri" w:eastAsia="Calibri" w:hAnsi="Calibri"/>
                <w:sz w:val="16"/>
                <w:szCs w:val="16"/>
                <w:color w:val="auto"/>
              </w:rPr>
              <w:t>Bermuda</w:t>
            </w:r>
          </w:p>
        </w:tc>
        <w:tc>
          <w:tcPr>
            <w:tcW w:w="142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200"/>
              <w:spacing w:after="0" w:line="193" w:lineRule="exact"/>
              <w:rPr>
                <w:sz w:val="20"/>
                <w:szCs w:val="20"/>
                <w:color w:val="auto"/>
              </w:rPr>
            </w:pPr>
            <w:r>
              <w:rPr>
                <w:rFonts w:ascii="Calibri" w:cs="Calibri" w:eastAsia="Calibri" w:hAnsi="Calibri"/>
                <w:sz w:val="16"/>
                <w:szCs w:val="16"/>
                <w:color w:val="auto"/>
              </w:rPr>
              <w:t>Ibex Global Bermuda Ltd</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Bermuda</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0"/>
              <w:spacing w:after="0"/>
              <w:rPr>
                <w:sz w:val="20"/>
                <w:szCs w:val="20"/>
                <w:color w:val="auto"/>
              </w:rPr>
            </w:pPr>
            <w:r>
              <w:rPr>
                <w:rFonts w:ascii="Calibri" w:cs="Calibri" w:eastAsia="Calibri" w:hAnsi="Calibri"/>
                <w:sz w:val="16"/>
                <w:szCs w:val="16"/>
                <w:color w:val="auto"/>
              </w:rPr>
              <w:t>Ibex Global Solutons, Inc.</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USA</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420"/>
              <w:spacing w:after="0" w:line="193" w:lineRule="exact"/>
              <w:rPr>
                <w:sz w:val="20"/>
                <w:szCs w:val="20"/>
                <w:color w:val="auto"/>
              </w:rPr>
            </w:pPr>
            <w:r>
              <w:rPr>
                <w:rFonts w:ascii="Calibri" w:cs="Calibri" w:eastAsia="Calibri" w:hAnsi="Calibri"/>
                <w:sz w:val="16"/>
                <w:szCs w:val="16"/>
                <w:color w:val="auto"/>
              </w:rPr>
              <w:t>TRG Customer Solutons (Canada) Inc.</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Canada</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420"/>
              <w:spacing w:after="0"/>
              <w:rPr>
                <w:sz w:val="20"/>
                <w:szCs w:val="20"/>
                <w:color w:val="auto"/>
              </w:rPr>
            </w:pPr>
            <w:r>
              <w:rPr>
                <w:rFonts w:ascii="Calibri" w:cs="Calibri" w:eastAsia="Calibri" w:hAnsi="Calibri"/>
                <w:sz w:val="16"/>
                <w:szCs w:val="16"/>
                <w:color w:val="auto"/>
              </w:rPr>
              <w:t>Digital Globe Services, LLC</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USA</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660"/>
              <w:spacing w:after="0" w:line="193" w:lineRule="exact"/>
              <w:rPr>
                <w:sz w:val="20"/>
                <w:szCs w:val="20"/>
                <w:color w:val="auto"/>
              </w:rPr>
            </w:pPr>
            <w:r>
              <w:rPr>
                <w:rFonts w:ascii="Calibri" w:cs="Calibri" w:eastAsia="Calibri" w:hAnsi="Calibri"/>
                <w:sz w:val="16"/>
                <w:szCs w:val="16"/>
                <w:color w:val="auto"/>
              </w:rPr>
              <w:t>7 Degrees, LLC</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USA</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660"/>
              <w:spacing w:after="0"/>
              <w:rPr>
                <w:sz w:val="20"/>
                <w:szCs w:val="20"/>
                <w:color w:val="auto"/>
              </w:rPr>
            </w:pPr>
            <w:r>
              <w:rPr>
                <w:rFonts w:ascii="Calibri" w:cs="Calibri" w:eastAsia="Calibri" w:hAnsi="Calibri"/>
                <w:sz w:val="16"/>
                <w:szCs w:val="16"/>
                <w:color w:val="auto"/>
              </w:rPr>
              <w:t>Lake Ball LLC</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USA</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47.5%</w:t>
            </w:r>
          </w:p>
        </w:tc>
        <w:tc>
          <w:tcPr>
            <w:tcW w:w="20" w:type="dxa"/>
            <w:vAlign w:val="bottom"/>
          </w:tcPr>
          <w:p>
            <w:pPr>
              <w:spacing w:after="0"/>
              <w:rPr>
                <w:sz w:val="17"/>
                <w:szCs w:val="17"/>
                <w:color w:val="auto"/>
              </w:rPr>
            </w:pPr>
          </w:p>
        </w:tc>
      </w:tr>
      <w:tr>
        <w:trPr>
          <w:trHeight w:val="196"/>
        </w:trPr>
        <w:tc>
          <w:tcPr>
            <w:tcW w:w="3420" w:type="dxa"/>
            <w:vAlign w:val="bottom"/>
          </w:tcPr>
          <w:p>
            <w:pPr>
              <w:ind w:left="400"/>
              <w:spacing w:after="0" w:line="193" w:lineRule="exact"/>
              <w:rPr>
                <w:sz w:val="20"/>
                <w:szCs w:val="20"/>
                <w:color w:val="auto"/>
              </w:rPr>
            </w:pPr>
            <w:r>
              <w:rPr>
                <w:rFonts w:ascii="Calibri" w:cs="Calibri" w:eastAsia="Calibri" w:hAnsi="Calibri"/>
                <w:sz w:val="16"/>
                <w:szCs w:val="16"/>
                <w:color w:val="auto"/>
              </w:rPr>
              <w:t>TelSatOnline, LLC</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USA</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400"/>
              <w:spacing w:after="0"/>
              <w:rPr>
                <w:sz w:val="20"/>
                <w:szCs w:val="20"/>
                <w:color w:val="auto"/>
              </w:rPr>
            </w:pPr>
            <w:r>
              <w:rPr>
                <w:rFonts w:ascii="Calibri" w:cs="Calibri" w:eastAsia="Calibri" w:hAnsi="Calibri"/>
                <w:sz w:val="16"/>
                <w:szCs w:val="16"/>
                <w:color w:val="auto"/>
              </w:rPr>
              <w:t>iSky, LLC</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USA</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200"/>
              <w:spacing w:after="0" w:line="193" w:lineRule="exact"/>
              <w:rPr>
                <w:sz w:val="20"/>
                <w:szCs w:val="20"/>
                <w:color w:val="auto"/>
              </w:rPr>
            </w:pPr>
            <w:r>
              <w:rPr>
                <w:rFonts w:ascii="Calibri" w:cs="Calibri" w:eastAsia="Calibri" w:hAnsi="Calibri"/>
                <w:sz w:val="16"/>
                <w:szCs w:val="16"/>
                <w:color w:val="auto"/>
              </w:rPr>
              <w:t>Ibex Receivable Solutons, Inc.</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USA</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0"/>
              <w:spacing w:after="0"/>
              <w:rPr>
                <w:sz w:val="20"/>
                <w:szCs w:val="20"/>
                <w:color w:val="auto"/>
              </w:rPr>
            </w:pPr>
            <w:r>
              <w:rPr>
                <w:rFonts w:ascii="Calibri" w:cs="Calibri" w:eastAsia="Calibri" w:hAnsi="Calibri"/>
                <w:sz w:val="16"/>
                <w:szCs w:val="16"/>
                <w:color w:val="auto"/>
              </w:rPr>
              <w:t>TRG Marketng Solutons Limited</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England</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400"/>
              <w:spacing w:after="0" w:line="193" w:lineRule="exact"/>
              <w:rPr>
                <w:sz w:val="20"/>
                <w:szCs w:val="20"/>
                <w:color w:val="auto"/>
              </w:rPr>
            </w:pPr>
            <w:r>
              <w:rPr>
                <w:rFonts w:ascii="Calibri" w:cs="Calibri" w:eastAsia="Calibri" w:hAnsi="Calibri"/>
                <w:sz w:val="16"/>
                <w:szCs w:val="16"/>
                <w:color w:val="auto"/>
              </w:rPr>
              <w:t>Ibex Global Europe</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Luxembourg</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0"/>
              <w:spacing w:after="0"/>
              <w:rPr>
                <w:sz w:val="20"/>
                <w:szCs w:val="20"/>
                <w:color w:val="auto"/>
              </w:rPr>
            </w:pPr>
            <w:r>
              <w:rPr>
                <w:rFonts w:ascii="Calibri" w:cs="Calibri" w:eastAsia="Calibri" w:hAnsi="Calibri"/>
                <w:sz w:val="16"/>
                <w:szCs w:val="16"/>
                <w:color w:val="auto"/>
              </w:rPr>
              <w:t>Ibex Philippines, Inc.</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Philippines</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400"/>
              <w:spacing w:after="0" w:line="193" w:lineRule="exact"/>
              <w:rPr>
                <w:sz w:val="20"/>
                <w:szCs w:val="20"/>
                <w:color w:val="auto"/>
              </w:rPr>
            </w:pPr>
            <w:r>
              <w:rPr>
                <w:rFonts w:ascii="Calibri" w:cs="Calibri" w:eastAsia="Calibri" w:hAnsi="Calibri"/>
                <w:sz w:val="16"/>
                <w:szCs w:val="16"/>
                <w:color w:val="auto"/>
              </w:rPr>
              <w:t>Ibex Global Solutons Philippines, Inc.</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Philippines</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0"/>
              <w:spacing w:after="0"/>
              <w:rPr>
                <w:sz w:val="20"/>
                <w:szCs w:val="20"/>
                <w:color w:val="auto"/>
              </w:rPr>
            </w:pPr>
            <w:r>
              <w:rPr>
                <w:rFonts w:ascii="Calibri" w:cs="Calibri" w:eastAsia="Calibri" w:hAnsi="Calibri"/>
                <w:sz w:val="16"/>
                <w:szCs w:val="16"/>
                <w:color w:val="auto"/>
              </w:rPr>
              <w:t>Ibex Global St. Lucia Limited</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St. Lucia</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400"/>
              <w:spacing w:after="0" w:line="193" w:lineRule="exact"/>
              <w:rPr>
                <w:sz w:val="20"/>
                <w:szCs w:val="20"/>
                <w:color w:val="auto"/>
              </w:rPr>
            </w:pPr>
            <w:r>
              <w:rPr>
                <w:rFonts w:ascii="Calibri" w:cs="Calibri" w:eastAsia="Calibri" w:hAnsi="Calibri"/>
                <w:sz w:val="16"/>
                <w:szCs w:val="16"/>
                <w:color w:val="auto"/>
              </w:rPr>
              <w:t>Ibex Global Jamaica Limited</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Jamaica</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0"/>
              <w:spacing w:after="0"/>
              <w:rPr>
                <w:sz w:val="20"/>
                <w:szCs w:val="20"/>
                <w:color w:val="auto"/>
              </w:rPr>
            </w:pPr>
            <w:r>
              <w:rPr>
                <w:rFonts w:ascii="Calibri" w:cs="Calibri" w:eastAsia="Calibri" w:hAnsi="Calibri"/>
                <w:sz w:val="16"/>
                <w:szCs w:val="16"/>
                <w:color w:val="auto"/>
              </w:rPr>
              <w:t>Ibex Global Solutons Nicaragua S.A.</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Nicaragua</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200"/>
              <w:spacing w:after="0" w:line="193" w:lineRule="exact"/>
              <w:rPr>
                <w:sz w:val="20"/>
                <w:szCs w:val="20"/>
                <w:color w:val="auto"/>
              </w:rPr>
            </w:pPr>
            <w:r>
              <w:rPr>
                <w:rFonts w:ascii="Calibri" w:cs="Calibri" w:eastAsia="Calibri" w:hAnsi="Calibri"/>
                <w:sz w:val="16"/>
                <w:szCs w:val="16"/>
                <w:color w:val="auto"/>
              </w:rPr>
              <w:t>Ibex Honduras S.A. de C.V.</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Honduras</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0"/>
              <w:spacing w:after="0"/>
              <w:rPr>
                <w:sz w:val="20"/>
                <w:szCs w:val="20"/>
                <w:color w:val="auto"/>
              </w:rPr>
            </w:pPr>
            <w:r>
              <w:rPr>
                <w:rFonts w:ascii="Calibri" w:cs="Calibri" w:eastAsia="Calibri" w:hAnsi="Calibri"/>
                <w:sz w:val="16"/>
                <w:szCs w:val="16"/>
                <w:color w:val="auto"/>
              </w:rPr>
              <w:t>Virtual World (Private) Limited</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Pakistan</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200"/>
              <w:spacing w:after="0" w:line="193" w:lineRule="exact"/>
              <w:rPr>
                <w:sz w:val="20"/>
                <w:szCs w:val="20"/>
                <w:color w:val="auto"/>
              </w:rPr>
            </w:pPr>
            <w:r>
              <w:rPr>
                <w:rFonts w:ascii="Calibri" w:cs="Calibri" w:eastAsia="Calibri" w:hAnsi="Calibri"/>
                <w:sz w:val="16"/>
                <w:szCs w:val="16"/>
                <w:color w:val="auto"/>
              </w:rPr>
              <w:t>Ibex Global Solutons (Private) Limited</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Pakistan</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0"/>
              <w:spacing w:after="0"/>
              <w:rPr>
                <w:sz w:val="20"/>
                <w:szCs w:val="20"/>
                <w:color w:val="auto"/>
              </w:rPr>
            </w:pPr>
            <w:r>
              <w:rPr>
                <w:rFonts w:ascii="Calibri" w:cs="Calibri" w:eastAsia="Calibri" w:hAnsi="Calibri"/>
                <w:sz w:val="16"/>
                <w:szCs w:val="16"/>
                <w:color w:val="auto"/>
              </w:rPr>
              <w:t>Ibex Global Solutons Senegal S.A.</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Senegal</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Pr>
          <w:p>
            <w:pPr>
              <w:ind w:left="200"/>
              <w:spacing w:after="0" w:line="193" w:lineRule="exact"/>
              <w:rPr>
                <w:sz w:val="20"/>
                <w:szCs w:val="20"/>
                <w:color w:val="auto"/>
              </w:rPr>
            </w:pPr>
            <w:r>
              <w:rPr>
                <w:rFonts w:ascii="Calibri" w:cs="Calibri" w:eastAsia="Calibri" w:hAnsi="Calibri"/>
                <w:sz w:val="16"/>
                <w:szCs w:val="16"/>
                <w:color w:val="auto"/>
              </w:rPr>
              <w:t>Ibex Global Solutons France S.a.r.l.</w:t>
            </w:r>
          </w:p>
        </w:tc>
        <w:tc>
          <w:tcPr>
            <w:tcW w:w="4100" w:type="dxa"/>
            <w:vAlign w:val="bottom"/>
          </w:tcPr>
          <w:p>
            <w:pPr>
              <w:ind w:left="2840"/>
              <w:spacing w:after="0" w:line="193" w:lineRule="exact"/>
              <w:rPr>
                <w:sz w:val="20"/>
                <w:szCs w:val="20"/>
                <w:color w:val="auto"/>
              </w:rPr>
            </w:pPr>
            <w:r>
              <w:rPr>
                <w:rFonts w:ascii="Calibri" w:cs="Calibri" w:eastAsia="Calibri" w:hAnsi="Calibri"/>
                <w:sz w:val="16"/>
                <w:szCs w:val="16"/>
                <w:color w:val="auto"/>
              </w:rPr>
              <w:t>France</w:t>
            </w:r>
          </w:p>
        </w:tc>
        <w:tc>
          <w:tcPr>
            <w:tcW w:w="1420" w:type="dxa"/>
            <w:vAlign w:val="bottom"/>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
              <w:spacing w:after="0"/>
              <w:rPr>
                <w:sz w:val="20"/>
                <w:szCs w:val="20"/>
                <w:color w:val="auto"/>
              </w:rPr>
            </w:pPr>
            <w:r>
              <w:rPr>
                <w:rFonts w:ascii="Calibri" w:cs="Calibri" w:eastAsia="Calibri" w:hAnsi="Calibri"/>
                <w:sz w:val="16"/>
                <w:szCs w:val="16"/>
                <w:color w:val="auto"/>
              </w:rPr>
              <w:t>DGS LIMITED</w:t>
            </w:r>
          </w:p>
        </w:tc>
        <w:tc>
          <w:tcPr>
            <w:tcW w:w="4100" w:type="dxa"/>
            <w:vAlign w:val="bottom"/>
            <w:shd w:val="clear" w:color="auto" w:fill="CCEEFF"/>
          </w:tcPr>
          <w:p>
            <w:pPr>
              <w:ind w:left="2840"/>
              <w:spacing w:after="0"/>
              <w:rPr>
                <w:sz w:val="20"/>
                <w:szCs w:val="20"/>
                <w:color w:val="auto"/>
              </w:rPr>
            </w:pPr>
            <w:r>
              <w:rPr>
                <w:rFonts w:ascii="Calibri" w:cs="Calibri" w:eastAsia="Calibri" w:hAnsi="Calibri"/>
                <w:sz w:val="16"/>
                <w:szCs w:val="16"/>
                <w:color w:val="auto"/>
              </w:rPr>
              <w:t>Bermuda</w:t>
            </w:r>
          </w:p>
        </w:tc>
        <w:tc>
          <w:tcPr>
            <w:tcW w:w="142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6"/>
        </w:trPr>
        <w:tc>
          <w:tcPr>
            <w:tcW w:w="3420" w:type="dxa"/>
            <w:vAlign w:val="bottom"/>
            <w:tcBorders>
              <w:bottom w:val="single" w:sz="8" w:color="auto"/>
            </w:tcBorders>
          </w:tcPr>
          <w:p>
            <w:pPr>
              <w:ind w:left="200"/>
              <w:spacing w:after="0" w:line="193" w:lineRule="exact"/>
              <w:rPr>
                <w:sz w:val="20"/>
                <w:szCs w:val="20"/>
                <w:color w:val="auto"/>
              </w:rPr>
            </w:pPr>
            <w:r>
              <w:rPr>
                <w:rFonts w:ascii="Calibri" w:cs="Calibri" w:eastAsia="Calibri" w:hAnsi="Calibri"/>
                <w:sz w:val="16"/>
                <w:szCs w:val="16"/>
                <w:color w:val="auto"/>
              </w:rPr>
              <w:t>DGS (Private) Limited</w:t>
            </w:r>
          </w:p>
        </w:tc>
        <w:tc>
          <w:tcPr>
            <w:tcW w:w="4100" w:type="dxa"/>
            <w:vAlign w:val="bottom"/>
            <w:tcBorders>
              <w:bottom w:val="single" w:sz="8" w:color="auto"/>
            </w:tcBorders>
          </w:tcPr>
          <w:p>
            <w:pPr>
              <w:ind w:left="2840"/>
              <w:spacing w:after="0" w:line="193" w:lineRule="exact"/>
              <w:rPr>
                <w:sz w:val="20"/>
                <w:szCs w:val="20"/>
                <w:color w:val="auto"/>
              </w:rPr>
            </w:pPr>
            <w:r>
              <w:rPr>
                <w:rFonts w:ascii="Calibri" w:cs="Calibri" w:eastAsia="Calibri" w:hAnsi="Calibri"/>
                <w:sz w:val="16"/>
                <w:szCs w:val="16"/>
                <w:color w:val="auto"/>
              </w:rPr>
              <w:t>Pakistan</w:t>
            </w:r>
          </w:p>
        </w:tc>
        <w:tc>
          <w:tcPr>
            <w:tcW w:w="14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100%</w:t>
            </w:r>
          </w:p>
        </w:tc>
        <w:tc>
          <w:tcPr>
            <w:tcW w:w="20" w:type="dxa"/>
            <w:vAlign w:val="bottom"/>
          </w:tcPr>
          <w:p>
            <w:pPr>
              <w:spacing w:after="0"/>
              <w:rPr>
                <w:sz w:val="17"/>
                <w:szCs w:val="17"/>
                <w:color w:val="auto"/>
              </w:rPr>
            </w:pPr>
          </w:p>
        </w:tc>
      </w:tr>
      <w:tr>
        <w:trPr>
          <w:trHeight w:val="195"/>
        </w:trPr>
        <w:tc>
          <w:tcPr>
            <w:tcW w:w="3420" w:type="dxa"/>
            <w:vAlign w:val="bottom"/>
            <w:tcBorders>
              <w:bottom w:val="single" w:sz="8" w:color="auto"/>
            </w:tcBorders>
            <w:shd w:val="clear" w:color="auto" w:fill="CCEEFF"/>
          </w:tcPr>
          <w:p>
            <w:pPr>
              <w:spacing w:after="0"/>
              <w:rPr>
                <w:sz w:val="16"/>
                <w:szCs w:val="16"/>
                <w:color w:val="auto"/>
              </w:rPr>
            </w:pPr>
          </w:p>
        </w:tc>
        <w:tc>
          <w:tcPr>
            <w:tcW w:w="4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622"/>
        </w:trPr>
        <w:tc>
          <w:tcPr>
            <w:tcW w:w="34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353" w:name="page354"/>
    <w:bookmarkEnd w:id="353"/>
    <w:p>
      <w:pPr>
        <w:jc w:val="right"/>
        <w:ind w:right="39"/>
        <w:spacing w:after="0"/>
        <w:rPr>
          <w:sz w:val="20"/>
          <w:szCs w:val="20"/>
          <w:color w:val="auto"/>
        </w:rPr>
      </w:pPr>
      <w:r>
        <w:rPr>
          <w:rFonts w:ascii="Arial" w:cs="Arial" w:eastAsia="Arial" w:hAnsi="Arial"/>
          <w:sz w:val="15"/>
          <w:szCs w:val="15"/>
          <w:b w:val="1"/>
          <w:bCs w:val="1"/>
          <w:color w:val="auto"/>
        </w:rPr>
        <w:t>EXHIBIT 12.1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the Principal Executive Officer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Rules 13a-14(a) and 15d-14(a)</w:t>
      </w:r>
    </w:p>
    <w:p>
      <w:pPr>
        <w:jc w:val="center"/>
        <w:ind w:right="19"/>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 Robert Dechant, certify that:</w:t>
      </w:r>
    </w:p>
    <w:p>
      <w:pPr>
        <w:spacing w:after="0" w:line="137" w:lineRule="exact"/>
        <w:rPr>
          <w:sz w:val="20"/>
          <w:szCs w:val="20"/>
          <w:color w:val="auto"/>
        </w:rPr>
      </w:pPr>
    </w:p>
    <w:p>
      <w:pPr>
        <w:ind w:left="460" w:hanging="215"/>
        <w:spacing w:after="0"/>
        <w:tabs>
          <w:tab w:leader="none" w:pos="46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I have reviewed this Annual Report on Form 20-F of IBEX Limited (the “Company”);</w:t>
      </w:r>
    </w:p>
    <w:p>
      <w:pPr>
        <w:spacing w:after="0" w:line="137" w:lineRule="exact"/>
        <w:rPr>
          <w:rFonts w:ascii="Arial" w:cs="Arial" w:eastAsia="Arial" w:hAnsi="Arial"/>
          <w:sz w:val="15"/>
          <w:szCs w:val="15"/>
          <w:color w:val="auto"/>
        </w:rPr>
      </w:pPr>
    </w:p>
    <w:p>
      <w:pPr>
        <w:jc w:val="both"/>
        <w:ind w:left="460" w:right="59" w:hanging="215"/>
        <w:spacing w:after="0" w:line="245" w:lineRule="auto"/>
        <w:tabs>
          <w:tab w:leader="none" w:pos="46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5"/>
          <w:szCs w:val="15"/>
          <w:color w:val="auto"/>
        </w:rPr>
      </w:pPr>
    </w:p>
    <w:p>
      <w:pPr>
        <w:jc w:val="both"/>
        <w:ind w:left="460" w:right="39" w:hanging="215"/>
        <w:spacing w:after="0" w:line="245" w:lineRule="auto"/>
        <w:tabs>
          <w:tab w:leader="none" w:pos="46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3" w:lineRule="exact"/>
        <w:rPr>
          <w:rFonts w:ascii="Arial" w:cs="Arial" w:eastAsia="Arial" w:hAnsi="Arial"/>
          <w:sz w:val="15"/>
          <w:szCs w:val="15"/>
          <w:color w:val="auto"/>
        </w:rPr>
      </w:pPr>
    </w:p>
    <w:p>
      <w:pPr>
        <w:jc w:val="both"/>
        <w:ind w:left="460" w:right="59" w:hanging="215"/>
        <w:spacing w:after="0" w:line="245" w:lineRule="auto"/>
        <w:tabs>
          <w:tab w:leader="none" w:pos="46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for the Company and have:</w:t>
      </w:r>
    </w:p>
    <w:p>
      <w:pPr>
        <w:spacing w:after="0" w:line="113" w:lineRule="exact"/>
        <w:rPr>
          <w:rFonts w:ascii="Arial" w:cs="Arial" w:eastAsia="Arial" w:hAnsi="Arial"/>
          <w:sz w:val="15"/>
          <w:szCs w:val="15"/>
          <w:color w:val="auto"/>
        </w:rPr>
      </w:pPr>
    </w:p>
    <w:p>
      <w:pPr>
        <w:jc w:val="both"/>
        <w:ind w:left="760" w:right="39" w:hanging="305"/>
        <w:spacing w:after="0" w:line="245" w:lineRule="auto"/>
        <w:tabs>
          <w:tab w:leader="none" w:pos="760" w:val="left"/>
        </w:tabs>
        <w:numPr>
          <w:ilvl w:val="1"/>
          <w:numId w:val="26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5"/>
          <w:szCs w:val="15"/>
          <w:color w:val="auto"/>
        </w:rPr>
      </w:pPr>
    </w:p>
    <w:p>
      <w:pPr>
        <w:jc w:val="both"/>
        <w:ind w:left="760" w:right="59" w:hanging="305"/>
        <w:spacing w:after="0" w:line="245" w:lineRule="auto"/>
        <w:tabs>
          <w:tab w:leader="none" w:pos="760" w:val="left"/>
        </w:tabs>
        <w:numPr>
          <w:ilvl w:val="1"/>
          <w:numId w:val="26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5"/>
          <w:szCs w:val="15"/>
          <w:color w:val="auto"/>
        </w:rPr>
      </w:pPr>
    </w:p>
    <w:p>
      <w:pPr>
        <w:jc w:val="both"/>
        <w:ind w:left="760" w:right="59" w:hanging="305"/>
        <w:spacing w:after="0" w:line="245" w:lineRule="auto"/>
        <w:tabs>
          <w:tab w:leader="none" w:pos="760" w:val="left"/>
        </w:tabs>
        <w:numPr>
          <w:ilvl w:val="1"/>
          <w:numId w:val="269"/>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5"/>
          <w:szCs w:val="15"/>
          <w:color w:val="auto"/>
        </w:rPr>
      </w:pPr>
    </w:p>
    <w:p>
      <w:pPr>
        <w:jc w:val="both"/>
        <w:ind w:left="760" w:right="59" w:hanging="305"/>
        <w:spacing w:after="0" w:line="245" w:lineRule="auto"/>
        <w:tabs>
          <w:tab w:leader="none" w:pos="760" w:val="left"/>
        </w:tabs>
        <w:numPr>
          <w:ilvl w:val="1"/>
          <w:numId w:val="269"/>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rFonts w:ascii="Arial" w:cs="Arial" w:eastAsia="Arial" w:hAnsi="Arial"/>
          <w:sz w:val="15"/>
          <w:szCs w:val="15"/>
          <w:color w:val="auto"/>
        </w:rPr>
      </w:pPr>
    </w:p>
    <w:p>
      <w:pPr>
        <w:jc w:val="both"/>
        <w:ind w:left="460" w:right="59" w:hanging="215"/>
        <w:spacing w:after="0" w:line="245" w:lineRule="auto"/>
        <w:tabs>
          <w:tab w:leader="none" w:pos="46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3" w:lineRule="exact"/>
        <w:rPr>
          <w:rFonts w:ascii="Arial" w:cs="Arial" w:eastAsia="Arial" w:hAnsi="Arial"/>
          <w:sz w:val="15"/>
          <w:szCs w:val="15"/>
          <w:color w:val="auto"/>
        </w:rPr>
      </w:pPr>
    </w:p>
    <w:p>
      <w:pPr>
        <w:jc w:val="both"/>
        <w:ind w:left="760" w:right="59" w:hanging="305"/>
        <w:spacing w:after="0" w:line="245" w:lineRule="auto"/>
        <w:tabs>
          <w:tab w:leader="none" w:pos="760" w:val="left"/>
        </w:tabs>
        <w:numPr>
          <w:ilvl w:val="1"/>
          <w:numId w:val="26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3" w:lineRule="exact"/>
        <w:rPr>
          <w:rFonts w:ascii="Arial" w:cs="Arial" w:eastAsia="Arial" w:hAnsi="Arial"/>
          <w:sz w:val="15"/>
          <w:szCs w:val="15"/>
          <w:color w:val="auto"/>
        </w:rPr>
      </w:pPr>
    </w:p>
    <w:p>
      <w:pPr>
        <w:ind w:left="760" w:right="59" w:hanging="305"/>
        <w:spacing w:after="0" w:line="260" w:lineRule="auto"/>
        <w:tabs>
          <w:tab w:leader="none" w:pos="760" w:val="left"/>
        </w:tabs>
        <w:numPr>
          <w:ilvl w:val="1"/>
          <w:numId w:val="26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Company’s internal control over financial reporting.</w:t>
      </w:r>
    </w:p>
    <w:p>
      <w:pPr>
        <w:spacing w:after="0" w:line="146"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Date: October 3, 2022</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5020" w:type="dxa"/>
            <w:vAlign w:val="bottom"/>
            <w:vMerge w:val="restart"/>
          </w:tcPr>
          <w:p>
            <w:pPr>
              <w:ind w:left="3920"/>
              <w:spacing w:after="0"/>
              <w:rPr>
                <w:sz w:val="20"/>
                <w:szCs w:val="20"/>
                <w:color w:val="auto"/>
              </w:rPr>
            </w:pPr>
            <w:r>
              <w:rPr>
                <w:rFonts w:ascii="Arial" w:cs="Arial" w:eastAsia="Arial" w:hAnsi="Arial"/>
                <w:sz w:val="15"/>
                <w:szCs w:val="15"/>
                <w:color w:val="auto"/>
              </w:rPr>
              <w:t>Name</w:t>
            </w:r>
          </w:p>
        </w:tc>
        <w:tc>
          <w:tcPr>
            <w:tcW w:w="3940" w:type="dxa"/>
            <w:vAlign w:val="bottom"/>
            <w:gridSpan w:val="2"/>
          </w:tcPr>
          <w:p>
            <w:pPr>
              <w:spacing w:after="0"/>
              <w:rPr>
                <w:sz w:val="20"/>
                <w:szCs w:val="20"/>
                <w:color w:val="auto"/>
              </w:rPr>
            </w:pPr>
            <w:r>
              <w:rPr>
                <w:rFonts w:ascii="Arial" w:cs="Arial" w:eastAsia="Arial" w:hAnsi="Arial"/>
                <w:sz w:val="15"/>
                <w:szCs w:val="15"/>
                <w:color w:val="auto"/>
              </w:rPr>
              <w:t>/s/ Robert Dechant</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392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Robert Dechant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20" w:type="dxa"/>
            <w:vAlign w:val="bottom"/>
          </w:tcPr>
          <w:p>
            <w:pPr>
              <w:ind w:left="3920"/>
              <w:spacing w:after="0"/>
              <w:rPr>
                <w:sz w:val="20"/>
                <w:szCs w:val="20"/>
                <w:color w:val="auto"/>
              </w:rPr>
            </w:pPr>
            <w:r>
              <w:rPr>
                <w:rFonts w:ascii="Arial" w:cs="Arial" w:eastAsia="Arial" w:hAnsi="Arial"/>
                <w:sz w:val="15"/>
                <w:szCs w:val="15"/>
                <w:color w:val="auto"/>
              </w:rPr>
              <w:t>Title:</w:t>
            </w:r>
          </w:p>
        </w:tc>
        <w:tc>
          <w:tcPr>
            <w:tcW w:w="3940" w:type="dxa"/>
            <w:vAlign w:val="bottom"/>
            <w:gridSpan w:val="2"/>
          </w:tcPr>
          <w:p>
            <w:pPr>
              <w:spacing w:after="0"/>
              <w:rPr>
                <w:sz w:val="20"/>
                <w:szCs w:val="20"/>
                <w:color w:val="auto"/>
              </w:rPr>
            </w:pPr>
            <w:r>
              <w:rPr>
                <w:rFonts w:ascii="Arial" w:cs="Arial" w:eastAsia="Arial" w:hAnsi="Arial"/>
                <w:sz w:val="15"/>
                <w:szCs w:val="15"/>
                <w:color w:val="auto"/>
              </w:rPr>
              <w:t>Chief Executive Officer (Principal Executive Officer)</w:t>
            </w:r>
          </w:p>
        </w:tc>
        <w:tc>
          <w:tcPr>
            <w:tcW w:w="0" w:type="dxa"/>
            <w:vAlign w:val="bottom"/>
          </w:tcPr>
          <w:p>
            <w:pPr>
              <w:spacing w:after="0"/>
              <w:rPr>
                <w:sz w:val="1"/>
                <w:szCs w:val="1"/>
                <w:color w:val="auto"/>
              </w:rPr>
            </w:pPr>
          </w:p>
        </w:tc>
      </w:tr>
      <w:tr>
        <w:trPr>
          <w:trHeight w:val="609"/>
        </w:trPr>
        <w:tc>
          <w:tcPr>
            <w:tcW w:w="50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4" w:right="1440" w:bottom="1440" w:gutter="0" w:footer="0" w:header="0"/>
        </w:sectPr>
      </w:pPr>
    </w:p>
    <w:bookmarkStart w:id="354" w:name="page355"/>
    <w:bookmarkEnd w:id="354"/>
    <w:p>
      <w:pPr>
        <w:jc w:val="right"/>
        <w:ind w:right="39"/>
        <w:spacing w:after="0"/>
        <w:rPr>
          <w:sz w:val="20"/>
          <w:szCs w:val="20"/>
          <w:color w:val="auto"/>
        </w:rPr>
      </w:pPr>
      <w:r>
        <w:rPr>
          <w:rFonts w:ascii="Arial" w:cs="Arial" w:eastAsia="Arial" w:hAnsi="Arial"/>
          <w:sz w:val="15"/>
          <w:szCs w:val="15"/>
          <w:b w:val="1"/>
          <w:bCs w:val="1"/>
          <w:color w:val="auto"/>
        </w:rPr>
        <w:t>EXHIBIT 12.2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the Principal Financial Officer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Rules 13a-14(a) and 15d-14(a)</w:t>
      </w:r>
    </w:p>
    <w:p>
      <w:pPr>
        <w:jc w:val="center"/>
        <w:ind w:right="19"/>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 Karl Gabel, certify that:</w:t>
      </w:r>
    </w:p>
    <w:p>
      <w:pPr>
        <w:spacing w:after="0" w:line="137" w:lineRule="exact"/>
        <w:rPr>
          <w:sz w:val="20"/>
          <w:szCs w:val="20"/>
          <w:color w:val="auto"/>
        </w:rPr>
      </w:pPr>
    </w:p>
    <w:p>
      <w:pPr>
        <w:ind w:left="460" w:hanging="215"/>
        <w:spacing w:after="0"/>
        <w:tabs>
          <w:tab w:leader="none" w:pos="46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I have reviewed this Annual Report on Form 20-F of IBEX Limited (the “Company”);</w:t>
      </w:r>
    </w:p>
    <w:p>
      <w:pPr>
        <w:spacing w:after="0" w:line="148" w:lineRule="exact"/>
        <w:rPr>
          <w:rFonts w:ascii="Arial" w:cs="Arial" w:eastAsia="Arial" w:hAnsi="Arial"/>
          <w:sz w:val="15"/>
          <w:szCs w:val="15"/>
          <w:color w:val="auto"/>
        </w:rPr>
      </w:pPr>
    </w:p>
    <w:p>
      <w:pPr>
        <w:jc w:val="both"/>
        <w:ind w:left="460" w:right="59" w:hanging="215"/>
        <w:spacing w:after="0" w:line="245" w:lineRule="auto"/>
        <w:tabs>
          <w:tab w:leader="none" w:pos="46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5"/>
          <w:szCs w:val="15"/>
          <w:color w:val="auto"/>
        </w:rPr>
      </w:pPr>
    </w:p>
    <w:p>
      <w:pPr>
        <w:jc w:val="both"/>
        <w:ind w:left="460" w:right="39" w:hanging="215"/>
        <w:spacing w:after="0" w:line="245" w:lineRule="auto"/>
        <w:tabs>
          <w:tab w:leader="none" w:pos="46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3" w:lineRule="exact"/>
        <w:rPr>
          <w:rFonts w:ascii="Arial" w:cs="Arial" w:eastAsia="Arial" w:hAnsi="Arial"/>
          <w:sz w:val="15"/>
          <w:szCs w:val="15"/>
          <w:color w:val="auto"/>
        </w:rPr>
      </w:pPr>
    </w:p>
    <w:p>
      <w:pPr>
        <w:jc w:val="both"/>
        <w:ind w:left="460" w:right="59" w:hanging="215"/>
        <w:spacing w:after="0" w:line="245" w:lineRule="auto"/>
        <w:tabs>
          <w:tab w:leader="none" w:pos="46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4" w:lineRule="exact"/>
        <w:rPr>
          <w:rFonts w:ascii="Arial" w:cs="Arial" w:eastAsia="Arial" w:hAnsi="Arial"/>
          <w:sz w:val="15"/>
          <w:szCs w:val="15"/>
          <w:color w:val="auto"/>
        </w:rPr>
      </w:pPr>
    </w:p>
    <w:p>
      <w:pPr>
        <w:jc w:val="both"/>
        <w:ind w:left="760" w:right="39" w:hanging="305"/>
        <w:spacing w:after="0" w:line="245" w:lineRule="auto"/>
        <w:tabs>
          <w:tab w:leader="none" w:pos="760" w:val="left"/>
        </w:tabs>
        <w:numPr>
          <w:ilvl w:val="1"/>
          <w:numId w:val="27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5"/>
          <w:szCs w:val="15"/>
          <w:color w:val="auto"/>
        </w:rPr>
      </w:pPr>
    </w:p>
    <w:p>
      <w:pPr>
        <w:jc w:val="both"/>
        <w:ind w:left="760" w:right="59" w:hanging="305"/>
        <w:spacing w:after="0" w:line="245" w:lineRule="auto"/>
        <w:tabs>
          <w:tab w:leader="none" w:pos="760" w:val="left"/>
        </w:tabs>
        <w:numPr>
          <w:ilvl w:val="1"/>
          <w:numId w:val="27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5"/>
          <w:szCs w:val="15"/>
          <w:color w:val="auto"/>
        </w:rPr>
      </w:pPr>
    </w:p>
    <w:p>
      <w:pPr>
        <w:jc w:val="both"/>
        <w:ind w:left="760" w:right="59" w:hanging="305"/>
        <w:spacing w:after="0" w:line="245" w:lineRule="auto"/>
        <w:tabs>
          <w:tab w:leader="none" w:pos="760" w:val="left"/>
        </w:tabs>
        <w:numPr>
          <w:ilvl w:val="1"/>
          <w:numId w:val="270"/>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5"/>
          <w:szCs w:val="15"/>
          <w:color w:val="auto"/>
        </w:rPr>
      </w:pPr>
    </w:p>
    <w:p>
      <w:pPr>
        <w:jc w:val="both"/>
        <w:ind w:left="760" w:right="59" w:hanging="305"/>
        <w:spacing w:after="0" w:line="245" w:lineRule="auto"/>
        <w:tabs>
          <w:tab w:leader="none" w:pos="760" w:val="left"/>
        </w:tabs>
        <w:numPr>
          <w:ilvl w:val="1"/>
          <w:numId w:val="270"/>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3" w:lineRule="exact"/>
        <w:rPr>
          <w:rFonts w:ascii="Arial" w:cs="Arial" w:eastAsia="Arial" w:hAnsi="Arial"/>
          <w:sz w:val="15"/>
          <w:szCs w:val="15"/>
          <w:color w:val="auto"/>
        </w:rPr>
      </w:pPr>
    </w:p>
    <w:p>
      <w:pPr>
        <w:jc w:val="both"/>
        <w:ind w:left="460" w:right="59" w:hanging="215"/>
        <w:spacing w:after="0" w:line="245" w:lineRule="auto"/>
        <w:tabs>
          <w:tab w:leader="none" w:pos="46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3" w:lineRule="exact"/>
        <w:rPr>
          <w:rFonts w:ascii="Arial" w:cs="Arial" w:eastAsia="Arial" w:hAnsi="Arial"/>
          <w:sz w:val="15"/>
          <w:szCs w:val="15"/>
          <w:color w:val="auto"/>
        </w:rPr>
      </w:pPr>
    </w:p>
    <w:p>
      <w:pPr>
        <w:jc w:val="both"/>
        <w:ind w:left="760" w:right="59" w:hanging="305"/>
        <w:spacing w:after="0" w:line="245" w:lineRule="auto"/>
        <w:tabs>
          <w:tab w:leader="none" w:pos="760" w:val="left"/>
        </w:tabs>
        <w:numPr>
          <w:ilvl w:val="1"/>
          <w:numId w:val="27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4" w:lineRule="exact"/>
        <w:rPr>
          <w:rFonts w:ascii="Arial" w:cs="Arial" w:eastAsia="Arial" w:hAnsi="Arial"/>
          <w:sz w:val="15"/>
          <w:szCs w:val="15"/>
          <w:color w:val="auto"/>
        </w:rPr>
      </w:pPr>
    </w:p>
    <w:p>
      <w:pPr>
        <w:ind w:left="760" w:right="59" w:hanging="305"/>
        <w:spacing w:after="0" w:line="260" w:lineRule="auto"/>
        <w:tabs>
          <w:tab w:leader="none" w:pos="760" w:val="left"/>
        </w:tabs>
        <w:numPr>
          <w:ilvl w:val="1"/>
          <w:numId w:val="27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Company’s internal control over financial reporting.</w:t>
      </w:r>
    </w:p>
    <w:p>
      <w:pPr>
        <w:spacing w:after="0" w:line="146"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Date: October 3, 2022</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5020" w:type="dxa"/>
            <w:vAlign w:val="bottom"/>
            <w:vMerge w:val="restart"/>
          </w:tcPr>
          <w:p>
            <w:pPr>
              <w:ind w:left="3920"/>
              <w:spacing w:after="0"/>
              <w:rPr>
                <w:sz w:val="20"/>
                <w:szCs w:val="20"/>
                <w:color w:val="auto"/>
              </w:rPr>
            </w:pPr>
            <w:r>
              <w:rPr>
                <w:rFonts w:ascii="Arial" w:cs="Arial" w:eastAsia="Arial" w:hAnsi="Arial"/>
                <w:sz w:val="15"/>
                <w:szCs w:val="15"/>
                <w:color w:val="auto"/>
              </w:rPr>
              <w:t>Name</w:t>
            </w:r>
          </w:p>
        </w:tc>
        <w:tc>
          <w:tcPr>
            <w:tcW w:w="3940" w:type="dxa"/>
            <w:vAlign w:val="bottom"/>
            <w:gridSpan w:val="2"/>
          </w:tcPr>
          <w:p>
            <w:pPr>
              <w:spacing w:after="0"/>
              <w:rPr>
                <w:sz w:val="20"/>
                <w:szCs w:val="20"/>
                <w:color w:val="auto"/>
              </w:rPr>
            </w:pPr>
            <w:r>
              <w:rPr>
                <w:rFonts w:ascii="Arial" w:cs="Arial" w:eastAsia="Arial" w:hAnsi="Arial"/>
                <w:sz w:val="15"/>
                <w:szCs w:val="15"/>
                <w:color w:val="auto"/>
              </w:rPr>
              <w:t>/s/ Karl Gabel</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392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Karl Gabel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20" w:type="dxa"/>
            <w:vAlign w:val="bottom"/>
          </w:tcPr>
          <w:p>
            <w:pPr>
              <w:ind w:left="3920"/>
              <w:spacing w:after="0"/>
              <w:rPr>
                <w:sz w:val="20"/>
                <w:szCs w:val="20"/>
                <w:color w:val="auto"/>
              </w:rPr>
            </w:pPr>
            <w:r>
              <w:rPr>
                <w:rFonts w:ascii="Arial" w:cs="Arial" w:eastAsia="Arial" w:hAnsi="Arial"/>
                <w:sz w:val="15"/>
                <w:szCs w:val="15"/>
                <w:color w:val="auto"/>
              </w:rPr>
              <w:t>Title:</w:t>
            </w:r>
          </w:p>
        </w:tc>
        <w:tc>
          <w:tcPr>
            <w:tcW w:w="3940" w:type="dxa"/>
            <w:vAlign w:val="bottom"/>
            <w:gridSpan w:val="2"/>
          </w:tcPr>
          <w:p>
            <w:pPr>
              <w:spacing w:after="0"/>
              <w:rPr>
                <w:sz w:val="20"/>
                <w:szCs w:val="20"/>
                <w:color w:val="auto"/>
              </w:rPr>
            </w:pPr>
            <w:r>
              <w:rPr>
                <w:rFonts w:ascii="Arial" w:cs="Arial" w:eastAsia="Arial" w:hAnsi="Arial"/>
                <w:sz w:val="15"/>
                <w:szCs w:val="15"/>
                <w:color w:val="auto"/>
              </w:rPr>
              <w:t>Chief Financial Officer (Principal Financial Officer)</w:t>
            </w:r>
          </w:p>
        </w:tc>
        <w:tc>
          <w:tcPr>
            <w:tcW w:w="0" w:type="dxa"/>
            <w:vAlign w:val="bottom"/>
          </w:tcPr>
          <w:p>
            <w:pPr>
              <w:spacing w:after="0"/>
              <w:rPr>
                <w:sz w:val="1"/>
                <w:szCs w:val="1"/>
                <w:color w:val="auto"/>
              </w:rPr>
            </w:pPr>
          </w:p>
        </w:tc>
      </w:tr>
      <w:tr>
        <w:trPr>
          <w:trHeight w:val="598"/>
        </w:trPr>
        <w:tc>
          <w:tcPr>
            <w:tcW w:w="50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4" w:right="1440" w:bottom="1440" w:gutter="0" w:footer="0" w:header="0"/>
        </w:sectPr>
      </w:pPr>
    </w:p>
    <w:bookmarkStart w:id="355" w:name="page356"/>
    <w:bookmarkEnd w:id="355"/>
    <w:p>
      <w:pPr>
        <w:ind w:left="8060"/>
        <w:spacing w:after="0"/>
        <w:rPr>
          <w:sz w:val="20"/>
          <w:szCs w:val="20"/>
          <w:color w:val="auto"/>
        </w:rPr>
      </w:pPr>
      <w:r>
        <w:rPr>
          <w:rFonts w:ascii="Arial" w:cs="Arial" w:eastAsia="Arial" w:hAnsi="Arial"/>
          <w:sz w:val="14"/>
          <w:szCs w:val="14"/>
          <w:b w:val="1"/>
          <w:bCs w:val="1"/>
          <w:color w:val="auto"/>
        </w:rPr>
        <w:t>EXHIBIT 13.1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the Principal Executive Officer and Principal Financial Officer pursuant to</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5"/>
          <w:szCs w:val="15"/>
          <w:b w:val="1"/>
          <w:bCs w:val="1"/>
          <w:color w:val="auto"/>
        </w:rPr>
        <w:t>18 U.S.C. Section 1350, as adopted pursuant to</w:t>
      </w:r>
    </w:p>
    <w:p>
      <w:pPr>
        <w:ind w:left="288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56" w:lineRule="exact"/>
        <w:rPr>
          <w:sz w:val="20"/>
          <w:szCs w:val="20"/>
          <w:color w:val="auto"/>
        </w:rPr>
      </w:pPr>
    </w:p>
    <w:p>
      <w:pPr>
        <w:ind w:left="40" w:right="39"/>
        <w:spacing w:after="0" w:line="295" w:lineRule="auto"/>
        <w:rPr>
          <w:sz w:val="20"/>
          <w:szCs w:val="20"/>
          <w:color w:val="auto"/>
        </w:rPr>
      </w:pPr>
      <w:r>
        <w:rPr>
          <w:rFonts w:ascii="Arial" w:cs="Arial" w:eastAsia="Arial" w:hAnsi="Arial"/>
          <w:sz w:val="14"/>
          <w:szCs w:val="14"/>
          <w:color w:val="auto"/>
        </w:rPr>
        <w:t>Pursuant to 18 U.S.C. Section 1350, as adopted pursuant to Section 906 of the Sarbanes-Oxley Act of 2002, Robert Dechant, the Chief Executive Officer, and Karl Gabel, the Chief Financial Officer, of IBEX Limited (the “Company”), hereby certify, that, to their knowledge:</w:t>
      </w:r>
    </w:p>
    <w:p>
      <w:pPr>
        <w:spacing w:after="0" w:line="113" w:lineRule="exact"/>
        <w:rPr>
          <w:sz w:val="20"/>
          <w:szCs w:val="20"/>
          <w:color w:val="auto"/>
        </w:rPr>
      </w:pPr>
    </w:p>
    <w:p>
      <w:pPr>
        <w:jc w:val="both"/>
        <w:ind w:left="560" w:right="59" w:hanging="260"/>
        <w:spacing w:after="0" w:line="245" w:lineRule="auto"/>
        <w:tabs>
          <w:tab w:leader="none" w:pos="675" w:val="left"/>
        </w:tabs>
        <w:numPr>
          <w:ilvl w:val="0"/>
          <w:numId w:val="271"/>
        </w:numPr>
        <w:rPr>
          <w:rFonts w:ascii="Arial" w:cs="Arial" w:eastAsia="Arial" w:hAnsi="Arial"/>
          <w:sz w:val="15"/>
          <w:szCs w:val="15"/>
          <w:color w:val="auto"/>
        </w:rPr>
      </w:pPr>
      <w:r>
        <w:rPr>
          <w:rFonts w:ascii="Arial" w:cs="Arial" w:eastAsia="Arial" w:hAnsi="Arial"/>
          <w:sz w:val="15"/>
          <w:szCs w:val="15"/>
          <w:color w:val="auto"/>
        </w:rPr>
        <w:t>The Company’s Annual Report on Form 20-F for the year ended June 30, 2022 (the “Report”), to which this Certification is attached as Exhibit 13.1 fully complies with the requirements of Section 13(a) or 15(d) of the Securities Exchange Act of 1934, as amended; and</w:t>
      </w:r>
    </w:p>
    <w:p>
      <w:pPr>
        <w:spacing w:after="0" w:line="146" w:lineRule="exact"/>
        <w:rPr>
          <w:rFonts w:ascii="Arial" w:cs="Arial" w:eastAsia="Arial" w:hAnsi="Arial"/>
          <w:sz w:val="15"/>
          <w:szCs w:val="15"/>
          <w:color w:val="auto"/>
        </w:rPr>
      </w:pPr>
    </w:p>
    <w:p>
      <w:pPr>
        <w:ind w:left="560" w:right="59" w:hanging="260"/>
        <w:spacing w:after="0" w:line="260" w:lineRule="auto"/>
        <w:tabs>
          <w:tab w:leader="none" w:pos="56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360" w:type="dxa"/>
            <w:vAlign w:val="bottom"/>
          </w:tcPr>
          <w:p>
            <w:pPr>
              <w:ind w:left="2660"/>
              <w:spacing w:after="0"/>
              <w:rPr>
                <w:sz w:val="20"/>
                <w:szCs w:val="20"/>
                <w:color w:val="auto"/>
              </w:rPr>
            </w:pPr>
            <w:r>
              <w:rPr>
                <w:rFonts w:ascii="Arial" w:cs="Arial" w:eastAsia="Arial" w:hAnsi="Arial"/>
                <w:sz w:val="15"/>
                <w:szCs w:val="15"/>
                <w:color w:val="auto"/>
              </w:rPr>
              <w:t>Date: October 3, 2022</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97"/>
        </w:trPr>
        <w:tc>
          <w:tcPr>
            <w:tcW w:w="4360" w:type="dxa"/>
            <w:vAlign w:val="bottom"/>
          </w:tcPr>
          <w:p>
            <w:pPr>
              <w:spacing w:after="0"/>
              <w:rPr>
                <w:sz w:val="24"/>
                <w:szCs w:val="2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5"/>
              </w:rPr>
              <w:t>/s/ Robert Dechant</w:t>
            </w:r>
          </w:p>
        </w:tc>
        <w:tc>
          <w:tcPr>
            <w:tcW w:w="3380" w:type="dxa"/>
            <w:vAlign w:val="bottom"/>
          </w:tcPr>
          <w:p>
            <w:pPr>
              <w:spacing w:after="0"/>
              <w:rPr>
                <w:sz w:val="24"/>
                <w:szCs w:val="24"/>
                <w:color w:val="auto"/>
              </w:rPr>
            </w:pPr>
          </w:p>
        </w:tc>
      </w:tr>
      <w:tr>
        <w:trPr>
          <w:trHeight w:val="164"/>
        </w:trPr>
        <w:tc>
          <w:tcPr>
            <w:tcW w:w="4360" w:type="dxa"/>
            <w:vAlign w:val="bottom"/>
          </w:tcPr>
          <w:p>
            <w:pPr>
              <w:ind w:left="2660"/>
              <w:spacing w:after="0" w:line="164" w:lineRule="exact"/>
              <w:rPr>
                <w:sz w:val="20"/>
                <w:szCs w:val="20"/>
                <w:color w:val="auto"/>
              </w:rPr>
            </w:pPr>
            <w:r>
              <w:rPr>
                <w:rFonts w:ascii="Arial" w:cs="Arial" w:eastAsia="Arial" w:hAnsi="Arial"/>
                <w:sz w:val="15"/>
                <w:szCs w:val="15"/>
                <w:color w:val="auto"/>
              </w:rPr>
              <w:t>Name</w:t>
            </w:r>
          </w:p>
        </w:tc>
        <w:tc>
          <w:tcPr>
            <w:tcW w:w="4600" w:type="dxa"/>
            <w:vAlign w:val="bottom"/>
            <w:gridSpan w:val="3"/>
          </w:tcPr>
          <w:p>
            <w:pPr>
              <w:spacing w:after="0" w:line="164" w:lineRule="exact"/>
              <w:rPr>
                <w:sz w:val="20"/>
                <w:szCs w:val="20"/>
                <w:color w:val="auto"/>
              </w:rPr>
            </w:pPr>
            <w:r>
              <w:rPr>
                <w:rFonts w:ascii="Arial" w:cs="Arial" w:eastAsia="Arial" w:hAnsi="Arial"/>
                <w:sz w:val="15"/>
                <w:szCs w:val="15"/>
                <w:color w:val="auto"/>
              </w:rPr>
              <w:t>Robert Dechant</w:t>
            </w:r>
          </w:p>
        </w:tc>
      </w:tr>
      <w:tr>
        <w:trPr>
          <w:trHeight w:val="193"/>
        </w:trPr>
        <w:tc>
          <w:tcPr>
            <w:tcW w:w="4360" w:type="dxa"/>
            <w:vAlign w:val="bottom"/>
          </w:tcPr>
          <w:p>
            <w:pPr>
              <w:ind w:left="2660"/>
              <w:spacing w:after="0"/>
              <w:rPr>
                <w:sz w:val="20"/>
                <w:szCs w:val="20"/>
                <w:color w:val="auto"/>
              </w:rPr>
            </w:pPr>
            <w:r>
              <w:rPr>
                <w:rFonts w:ascii="Arial" w:cs="Arial" w:eastAsia="Arial" w:hAnsi="Arial"/>
                <w:sz w:val="15"/>
                <w:szCs w:val="15"/>
                <w:color w:val="auto"/>
              </w:rPr>
              <w:t>Title:</w:t>
            </w:r>
          </w:p>
        </w:tc>
        <w:tc>
          <w:tcPr>
            <w:tcW w:w="4600" w:type="dxa"/>
            <w:vAlign w:val="bottom"/>
            <w:gridSpan w:val="3"/>
          </w:tcPr>
          <w:p>
            <w:pPr>
              <w:spacing w:after="0"/>
              <w:rPr>
                <w:sz w:val="20"/>
                <w:szCs w:val="20"/>
                <w:color w:val="auto"/>
              </w:rPr>
            </w:pPr>
            <w:r>
              <w:rPr>
                <w:rFonts w:ascii="Arial" w:cs="Arial" w:eastAsia="Arial" w:hAnsi="Arial"/>
                <w:sz w:val="15"/>
                <w:szCs w:val="15"/>
                <w:color w:val="auto"/>
              </w:rPr>
              <w:t>Chief Executive Officer (Principal Executive Officer)</w:t>
            </w:r>
          </w:p>
        </w:tc>
      </w:tr>
      <w:tr>
        <w:trPr>
          <w:trHeight w:val="297"/>
        </w:trPr>
        <w:tc>
          <w:tcPr>
            <w:tcW w:w="4360" w:type="dxa"/>
            <w:vAlign w:val="bottom"/>
          </w:tcPr>
          <w:p>
            <w:pPr>
              <w:spacing w:after="0"/>
              <w:rPr>
                <w:sz w:val="24"/>
                <w:szCs w:val="24"/>
                <w:color w:val="auto"/>
              </w:rPr>
            </w:pPr>
          </w:p>
        </w:tc>
        <w:tc>
          <w:tcPr>
            <w:tcW w:w="4600" w:type="dxa"/>
            <w:vAlign w:val="bottom"/>
            <w:gridSpan w:val="3"/>
          </w:tcPr>
          <w:p>
            <w:pPr>
              <w:spacing w:after="0"/>
              <w:rPr>
                <w:sz w:val="20"/>
                <w:szCs w:val="20"/>
                <w:color w:val="auto"/>
              </w:rPr>
            </w:pPr>
            <w:r>
              <w:rPr>
                <w:rFonts w:ascii="Arial" w:cs="Arial" w:eastAsia="Arial" w:hAnsi="Arial"/>
                <w:sz w:val="15"/>
                <w:szCs w:val="15"/>
                <w:color w:val="auto"/>
              </w:rPr>
              <w:t>/s/ Karl Gabel</w:t>
            </w:r>
          </w:p>
        </w:tc>
      </w:tr>
      <w:tr>
        <w:trPr>
          <w:trHeight w:val="164"/>
        </w:trPr>
        <w:tc>
          <w:tcPr>
            <w:tcW w:w="4360" w:type="dxa"/>
            <w:vAlign w:val="bottom"/>
          </w:tcPr>
          <w:p>
            <w:pPr>
              <w:ind w:left="2660"/>
              <w:spacing w:after="0" w:line="164" w:lineRule="exact"/>
              <w:rPr>
                <w:sz w:val="20"/>
                <w:szCs w:val="20"/>
                <w:color w:val="auto"/>
              </w:rPr>
            </w:pPr>
            <w:r>
              <w:rPr>
                <w:rFonts w:ascii="Arial" w:cs="Arial" w:eastAsia="Arial" w:hAnsi="Arial"/>
                <w:sz w:val="15"/>
                <w:szCs w:val="15"/>
                <w:color w:val="auto"/>
              </w:rPr>
              <w:t>Name</w:t>
            </w:r>
          </w:p>
        </w:tc>
        <w:tc>
          <w:tcPr>
            <w:tcW w:w="88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Karl Gabel</w:t>
            </w:r>
          </w:p>
        </w:tc>
        <w:tc>
          <w:tcPr>
            <w:tcW w:w="3720" w:type="dxa"/>
            <w:vAlign w:val="bottom"/>
            <w:gridSpan w:val="2"/>
          </w:tcPr>
          <w:p>
            <w:pPr>
              <w:spacing w:after="0"/>
              <w:rPr>
                <w:sz w:val="14"/>
                <w:szCs w:val="14"/>
                <w:color w:val="auto"/>
              </w:rPr>
            </w:pPr>
          </w:p>
        </w:tc>
      </w:tr>
      <w:tr>
        <w:trPr>
          <w:trHeight w:val="193"/>
        </w:trPr>
        <w:tc>
          <w:tcPr>
            <w:tcW w:w="4360" w:type="dxa"/>
            <w:vAlign w:val="bottom"/>
          </w:tcPr>
          <w:p>
            <w:pPr>
              <w:ind w:left="2660"/>
              <w:spacing w:after="0"/>
              <w:rPr>
                <w:sz w:val="20"/>
                <w:szCs w:val="20"/>
                <w:color w:val="auto"/>
              </w:rPr>
            </w:pPr>
            <w:r>
              <w:rPr>
                <w:rFonts w:ascii="Arial" w:cs="Arial" w:eastAsia="Arial" w:hAnsi="Arial"/>
                <w:sz w:val="15"/>
                <w:szCs w:val="15"/>
                <w:color w:val="auto"/>
              </w:rPr>
              <w:t>Title:</w:t>
            </w:r>
          </w:p>
        </w:tc>
        <w:tc>
          <w:tcPr>
            <w:tcW w:w="4600" w:type="dxa"/>
            <w:vAlign w:val="bottom"/>
            <w:gridSpan w:val="3"/>
          </w:tcPr>
          <w:p>
            <w:pPr>
              <w:spacing w:after="0"/>
              <w:rPr>
                <w:sz w:val="20"/>
                <w:szCs w:val="20"/>
                <w:color w:val="auto"/>
              </w:rPr>
            </w:pPr>
            <w:r>
              <w:rPr>
                <w:rFonts w:ascii="Arial" w:cs="Arial" w:eastAsia="Arial" w:hAnsi="Arial"/>
                <w:sz w:val="15"/>
                <w:szCs w:val="15"/>
                <w:color w:val="auto"/>
              </w:rPr>
              <w:t>Chief Financial Officer (Principal Financial Officer)</w:t>
            </w:r>
          </w:p>
        </w:tc>
      </w:tr>
      <w:tr>
        <w:trPr>
          <w:trHeight w:val="609"/>
        </w:trPr>
        <w:tc>
          <w:tcPr>
            <w:tcW w:w="4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6438900</wp:posOffset>
            </wp:positionH>
            <wp:positionV relativeFrom="paragraph">
              <wp:posOffset>-624205</wp:posOffset>
            </wp:positionV>
            <wp:extent cx="5080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2">
                      <a:extLst>
                        <a:ext uri="{28A0092B-C50C-407E-A947-70E740481C1C}"/>
                      </a:extLst>
                    </a:blip>
                    <a:srcRect/>
                    <a:stretch>
                      <a:fillRect/>
                    </a:stretch>
                  </pic:blipFill>
                  <pic:spPr bwMode="auto">
                    <a:xfrm>
                      <a:off x="0" y="0"/>
                      <a:ext cx="50800" cy="6985"/>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-1052830</wp:posOffset>
            </wp:positionV>
            <wp:extent cx="5080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3">
                      <a:extLst>
                        <a:ext uri="{28A0092B-C50C-407E-A947-70E740481C1C}"/>
                      </a:extLst>
                    </a:blip>
                    <a:srcRect/>
                    <a:stretch>
                      <a:fillRect/>
                    </a:stretch>
                  </pic:blipFill>
                  <pic:spPr bwMode="auto">
                    <a:xfrm>
                      <a:off x="0" y="0"/>
                      <a:ext cx="50800" cy="698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56" w:name="page357"/>
    <w:bookmarkEnd w:id="356"/>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Exhibit 15.1</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83" w:lineRule="exact"/>
        <w:rPr>
          <w:sz w:val="20"/>
          <w:szCs w:val="20"/>
          <w:color w:val="auto"/>
        </w:rPr>
      </w:pPr>
    </w:p>
    <w:p>
      <w:pPr>
        <w:ind w:left="200" w:right="319"/>
        <w:spacing w:after="0" w:line="309"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333-263228 and 333-242044 on Form S-8 of IBEX Limited, of our report dated October 3, 2022, relating to the consolidated financial statements of Ibex Limited appearing in this Annual Report on Form 20-F.</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/s/ Deloitte &amp; Touche LLP</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Tampa, Florida</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283845</wp:posOffset>
            </wp:positionV>
            <wp:extent cx="5471160"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4">
                      <a:extLst>
                        <a:ext uri="{28A0092B-C50C-407E-A947-70E740481C1C}"/>
                      </a:extLst>
                    </a:blip>
                    <a:srcRect/>
                    <a:stretch>
                      <a:fillRect/>
                    </a:stretch>
                  </pic:blipFill>
                  <pic:spPr bwMode="auto">
                    <a:xfrm>
                      <a:off x="0" y="0"/>
                      <a:ext cx="5471160"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57" w:name="page358"/>
    <w:bookmarkEnd w:id="357"/>
    <w:p>
      <w:pPr>
        <w:jc w:val="right"/>
        <w:ind w:right="39"/>
        <w:spacing w:after="0"/>
        <w:rPr>
          <w:sz w:val="20"/>
          <w:szCs w:val="20"/>
          <w:color w:val="auto"/>
        </w:rPr>
      </w:pPr>
      <w:r>
        <w:rPr>
          <w:rFonts w:ascii="Arial" w:cs="Arial" w:eastAsia="Arial" w:hAnsi="Arial"/>
          <w:sz w:val="15"/>
          <w:szCs w:val="15"/>
          <w:b w:val="1"/>
          <w:bCs w:val="1"/>
          <w:color w:val="auto"/>
        </w:rPr>
        <w:t>EXHIBIT 15.2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CONSENT OF INDEPENDENT REGISTERED PUBLIC ACCOUNTING FIRM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Ibex Limited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5"/>
          <w:szCs w:val="15"/>
          <w:color w:val="auto"/>
        </w:rPr>
        <w:t>Hamilton, Bermuda</w:t>
      </w:r>
    </w:p>
    <w:p>
      <w:pPr>
        <w:spacing w:after="0" w:line="156" w:lineRule="exact"/>
        <w:rPr>
          <w:sz w:val="20"/>
          <w:szCs w:val="20"/>
          <w:color w:val="auto"/>
        </w:rPr>
      </w:pPr>
    </w:p>
    <w:p>
      <w:pPr>
        <w:ind w:left="40" w:right="99"/>
        <w:spacing w:after="0" w:line="245" w:lineRule="auto"/>
        <w:rPr>
          <w:sz w:val="20"/>
          <w:szCs w:val="20"/>
          <w:color w:val="auto"/>
        </w:rPr>
      </w:pPr>
      <w:r>
        <w:rPr>
          <w:rFonts w:ascii="Arial" w:cs="Arial" w:eastAsia="Arial" w:hAnsi="Arial"/>
          <w:sz w:val="15"/>
          <w:szCs w:val="15"/>
          <w:color w:val="auto"/>
        </w:rPr>
        <w:t>We hereby consent to the incorporation by reference in the Registration Statements on Form S-8 (No. 333-263228 and No. 333-242044) of Ibex Limited, of our report dated October 13, 2021, relating to the consolidated financial statements, which appears in this Annual Report on Form 20-F.</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 BDO LLP</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color w:val="auto"/>
        </w:rPr>
        <w:t>BDO LLP</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Reading, United Kingdom</w:t>
      </w:r>
    </w:p>
    <w:p>
      <w:pPr>
        <w:ind w:left="40"/>
        <w:spacing w:after="0"/>
        <w:rPr>
          <w:sz w:val="20"/>
          <w:szCs w:val="20"/>
          <w:color w:val="auto"/>
        </w:rPr>
      </w:pPr>
      <w:r>
        <w:rPr>
          <w:rFonts w:ascii="Arial" w:cs="Arial" w:eastAsia="Arial" w:hAnsi="Arial"/>
          <w:sz w:val="15"/>
          <w:szCs w:val="15"/>
          <w:color w:val="auto"/>
        </w:rPr>
        <w:t>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277495</wp:posOffset>
            </wp:positionV>
            <wp:extent cx="5681980"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5">
                      <a:extLst>
                        <a:ext uri="{28A0092B-C50C-407E-A947-70E740481C1C}"/>
                      </a:extLst>
                    </a:blip>
                    <a:srcRect/>
                    <a:stretch>
                      <a:fillRect/>
                    </a:stretch>
                  </pic:blipFill>
                  <pic:spPr bwMode="auto">
                    <a:xfrm>
                      <a:off x="0" y="0"/>
                      <a:ext cx="5681980" cy="20955"/>
                    </a:xfrm>
                    <a:prstGeom prst="rect">
                      <a:avLst/>
                    </a:prstGeom>
                    <a:noFill/>
                  </pic:spPr>
                </pic:pic>
              </a:graphicData>
            </a:graphic>
          </wp:anchor>
        </w:drawing>
      </w:r>
    </w:p>
    <w:sectPr>
      <w:pgSz w:w="11900" w:h="16838" w:orient="portrait"/>
      <w:cols w:equalWidth="0" w:num="1">
        <w:col w:w="9019"/>
      </w:cols>
      <w:pgMar w:left="144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abstractNum>
  <w:abstractNum w:abstractNumId="1">
    <w:nsid w:val="49D0FEAC"/>
    <w:multiLevelType w:val="hybridMultilevel"/>
    <w:lvl w:ilvl="0">
      <w:lvlJc w:val="left"/>
      <w:lvlText w:val="☒"/>
      <w:numFmt w:val="bullet"/>
      <w:start w:val="1"/>
    </w:lvl>
  </w:abstractNum>
  <w:abstractNum w:abstractNumId="2">
    <w:nsid w:val="4BEE5A5B"/>
    <w:multiLevelType w:val="hybridMultilevel"/>
    <w:lvl w:ilvl="0">
      <w:lvlJc w:val="left"/>
      <w:lvlText w:val="☐"/>
      <w:numFmt w:val="bullet"/>
      <w:start w:val="1"/>
    </w:lvl>
  </w:abstractNum>
  <w:abstractNum w:abstractNumId="3">
    <w:nsid w:val="5551B9F3"/>
    <w:multiLevelType w:val="hybridMultilevel"/>
    <w:lvl w:ilvl="0">
      <w:lvlJc w:val="left"/>
      <w:lvlText w:val="†"/>
      <w:numFmt w:val="bullet"/>
      <w:start w:val="1"/>
    </w:lvl>
  </w:abstractNum>
  <w:abstractNum w:abstractNumId="4">
    <w:nsid w:val="24F6AB8E"/>
    <w:multiLevelType w:val="hybridMultilevel"/>
    <w:lvl w:ilvl="0">
      <w:lvlJc w:val="left"/>
      <w:lvlText w:val="●"/>
      <w:numFmt w:val="bullet"/>
      <w:start w:val="1"/>
    </w:lvl>
  </w:abstractNum>
  <w:abstractNum w:abstractNumId="5">
    <w:nsid w:val="634C574C"/>
    <w:multiLevelType w:val="hybridMultilevel"/>
    <w:lvl w:ilvl="0">
      <w:lvlJc w:val="left"/>
      <w:lvlText w:val="%1."/>
      <w:numFmt w:val="upperLetter"/>
      <w:start w:val="1"/>
    </w:lvl>
  </w:abstractNum>
  <w:abstractNum w:abstractNumId="6">
    <w:nsid w:val="24E99DD7"/>
    <w:multiLevelType w:val="hybridMultilevel"/>
    <w:lvl w:ilvl="0">
      <w:lvlJc w:val="left"/>
      <w:lvlText w:val="●"/>
      <w:numFmt w:val="bullet"/>
      <w:start w:val="1"/>
    </w:lvl>
  </w:abstractNum>
  <w:abstractNum w:abstractNumId="7">
    <w:nsid w:val="2A31B62D"/>
    <w:multiLevelType w:val="hybridMultilevel"/>
    <w:lvl w:ilvl="0">
      <w:lvlJc w:val="left"/>
      <w:lvlText w:val="●"/>
      <w:numFmt w:val="bullet"/>
      <w:start w:val="1"/>
    </w:lvl>
  </w:abstractNum>
  <w:abstractNum w:abstractNumId="8">
    <w:nsid w:val="1849C29B"/>
    <w:multiLevelType w:val="hybridMultilevel"/>
    <w:lvl w:ilvl="0">
      <w:lvlJc w:val="left"/>
      <w:lvlText w:val="●"/>
      <w:numFmt w:val="bullet"/>
      <w:start w:val="1"/>
    </w:lvl>
  </w:abstractNum>
  <w:abstractNum w:abstractNumId="9">
    <w:nsid w:val="7DFF9D09"/>
    <w:multiLevelType w:val="hybridMultilevel"/>
    <w:lvl w:ilvl="0">
      <w:lvlJc w:val="left"/>
      <w:lvlText w:val="●"/>
      <w:numFmt w:val="bullet"/>
      <w:start w:val="1"/>
    </w:lvl>
  </w:abstractNum>
  <w:abstractNum w:abstractNumId="10">
    <w:nsid w:val="754342"/>
    <w:multiLevelType w:val="hybridMultilevel"/>
    <w:lvl w:ilvl="0">
      <w:lvlJc w:val="left"/>
      <w:lvlText w:val="●"/>
      <w:numFmt w:val="bullet"/>
      <w:start w:val="1"/>
    </w:lvl>
  </w:abstractNum>
  <w:abstractNum w:abstractNumId="11">
    <w:nsid w:val="69E7F3E5"/>
    <w:multiLevelType w:val="hybridMultilevel"/>
    <w:lvl w:ilvl="0">
      <w:lvlJc w:val="left"/>
      <w:lvlText w:val="●"/>
      <w:numFmt w:val="bullet"/>
      <w:start w:val="1"/>
    </w:lvl>
  </w:abstractNum>
  <w:abstractNum w:abstractNumId="12">
    <w:nsid w:val="2A6DE806"/>
    <w:multiLevelType w:val="hybridMultilevel"/>
    <w:lvl w:ilvl="0">
      <w:lvlJc w:val="left"/>
      <w:lvlText w:val="●"/>
      <w:numFmt w:val="bullet"/>
      <w:start w:val="1"/>
    </w:lvl>
  </w:abstractNum>
  <w:abstractNum w:abstractNumId="13">
    <w:nsid w:val="1816F8C4"/>
    <w:multiLevelType w:val="hybridMultilevel"/>
    <w:lvl w:ilvl="0">
      <w:lvlJc w:val="left"/>
      <w:lvlText w:val="●"/>
      <w:numFmt w:val="bullet"/>
      <w:start w:val="1"/>
    </w:lvl>
  </w:abstractNum>
  <w:abstractNum w:abstractNumId="14">
    <w:nsid w:val="37DF2233"/>
    <w:multiLevelType w:val="hybridMultilevel"/>
    <w:lvl w:ilvl="0">
      <w:lvlJc w:val="left"/>
      <w:lvlText w:val="●"/>
      <w:numFmt w:val="bullet"/>
      <w:start w:val="1"/>
    </w:lvl>
  </w:abstractNum>
  <w:abstractNum w:abstractNumId="15">
    <w:nsid w:val="7AB49DAF"/>
    <w:multiLevelType w:val="hybridMultilevel"/>
    <w:lvl w:ilvl="0">
      <w:lvlJc w:val="left"/>
      <w:lvlText w:val="●"/>
      <w:numFmt w:val="bullet"/>
      <w:start w:val="1"/>
    </w:lvl>
  </w:abstractNum>
  <w:abstractNum w:abstractNumId="16">
    <w:nsid w:val="759F82CD"/>
    <w:multiLevelType w:val="hybridMultilevel"/>
    <w:lvl w:ilvl="0">
      <w:lvlJc w:val="left"/>
      <w:lvlText w:val="●"/>
      <w:numFmt w:val="bullet"/>
      <w:start w:val="1"/>
    </w:lvl>
  </w:abstractNum>
  <w:abstractNum w:abstractNumId="17">
    <w:nsid w:val="61E74EA3"/>
    <w:multiLevelType w:val="hybridMultilevel"/>
    <w:lvl w:ilvl="0">
      <w:lvlJc w:val="left"/>
      <w:lvlText w:val="●"/>
      <w:numFmt w:val="bullet"/>
      <w:start w:val="1"/>
    </w:lvl>
  </w:abstractNum>
  <w:abstractNum w:abstractNumId="18">
    <w:nsid w:val="597B4D84"/>
    <w:multiLevelType w:val="hybridMultilevel"/>
    <w:lvl w:ilvl="0">
      <w:lvlJc w:val="left"/>
      <w:lvlText w:val="%1."/>
      <w:numFmt w:val="upperLetter"/>
      <w:start w:val="1"/>
    </w:lvl>
  </w:abstractNum>
  <w:abstractNum w:abstractNumId="19">
    <w:nsid w:val="F819E7F"/>
    <w:multiLevelType w:val="hybridMultilevel"/>
    <w:lvl w:ilvl="0">
      <w:lvlJc w:val="left"/>
      <w:lvlText w:val="●"/>
      <w:numFmt w:val="bullet"/>
      <w:start w:val="1"/>
    </w:lvl>
  </w:abstractNum>
  <w:abstractNum w:abstractNumId="20">
    <w:nsid w:val="57C7D42D"/>
    <w:multiLevelType w:val="hybridMultilevel"/>
    <w:lvl w:ilvl="0">
      <w:lvlJc w:val="left"/>
      <w:lvlText w:val="%1."/>
      <w:numFmt w:val="upperLetter"/>
      <w:start w:val="2"/>
    </w:lvl>
  </w:abstractNum>
  <w:abstractNum w:abstractNumId="21">
    <w:nsid w:val="312167AD"/>
    <w:multiLevelType w:val="hybridMultilevel"/>
    <w:lvl w:ilvl="0">
      <w:lvlJc w:val="left"/>
      <w:lvlText w:val="%1."/>
      <w:numFmt w:val="decimal"/>
      <w:start w:val="1"/>
    </w:lvl>
  </w:abstractNum>
  <w:abstractNum w:abstractNumId="22">
    <w:nsid w:val="631B64D4"/>
    <w:multiLevelType w:val="hybridMultilevel"/>
    <w:lvl w:ilvl="0">
      <w:lvlJc w:val="left"/>
      <w:lvlText w:val="●"/>
      <w:numFmt w:val="bullet"/>
      <w:start w:val="1"/>
    </w:lvl>
  </w:abstractNum>
  <w:abstractNum w:abstractNumId="23">
    <w:nsid w:val="78B5E776"/>
    <w:multiLevelType w:val="hybridMultilevel"/>
    <w:lvl w:ilvl="0">
      <w:lvlJc w:val="left"/>
      <w:lvlText w:val="●"/>
      <w:numFmt w:val="bullet"/>
      <w:start w:val="1"/>
    </w:lvl>
  </w:abstractNum>
  <w:abstractNum w:abstractNumId="24">
    <w:nsid w:val="75486E47"/>
    <w:multiLevelType w:val="hybridMultilevel"/>
    <w:lvl w:ilvl="0">
      <w:lvlJc w:val="left"/>
      <w:lvlText w:val="●"/>
      <w:numFmt w:val="bullet"/>
      <w:start w:val="1"/>
    </w:lvl>
  </w:abstractNum>
  <w:abstractNum w:abstractNumId="25">
    <w:nsid w:val="6E534CDE"/>
    <w:multiLevelType w:val="hybridMultilevel"/>
    <w:lvl w:ilvl="0">
      <w:lvlJc w:val="left"/>
      <w:lvlText w:val="●"/>
      <w:numFmt w:val="bullet"/>
      <w:start w:val="1"/>
    </w:lvl>
  </w:abstractNum>
  <w:abstractNum w:abstractNumId="26">
    <w:nsid w:val="1A0DDE32"/>
    <w:multiLevelType w:val="hybridMultilevel"/>
    <w:lvl w:ilvl="0">
      <w:lvlJc w:val="left"/>
      <w:lvlText w:val="●"/>
      <w:numFmt w:val="bullet"/>
      <w:start w:val="1"/>
    </w:lvl>
    <w:lvl w:ilvl="1">
      <w:lvlJc w:val="left"/>
      <w:lvlText w:val="●"/>
      <w:numFmt w:val="bullet"/>
      <w:start w:val="1"/>
    </w:lvl>
  </w:abstractNum>
  <w:abstractNum w:abstractNumId="27">
    <w:nsid w:val="65968C1C"/>
    <w:multiLevelType w:val="hybridMultilevel"/>
    <w:lvl w:ilvl="0">
      <w:lvlJc w:val="left"/>
      <w:lvlText w:val="●"/>
      <w:numFmt w:val="bullet"/>
      <w:start w:val="1"/>
    </w:lvl>
  </w:abstractNum>
  <w:abstractNum w:abstractNumId="28">
    <w:nsid w:val="46263DEC"/>
    <w:multiLevelType w:val="hybridMultilevel"/>
    <w:lvl w:ilvl="0">
      <w:lvlJc w:val="left"/>
      <w:lvlText w:val="●"/>
      <w:numFmt w:val="bullet"/>
      <w:start w:val="1"/>
    </w:lvl>
  </w:abstractNum>
  <w:abstractNum w:abstractNumId="29">
    <w:nsid w:val="260D8C4A"/>
    <w:multiLevelType w:val="hybridMultilevel"/>
    <w:lvl w:ilvl="0">
      <w:lvlJc w:val="left"/>
      <w:lvlText w:val="●"/>
      <w:numFmt w:val="bullet"/>
      <w:start w:val="1"/>
    </w:lvl>
  </w:abstractNum>
  <w:abstractNum w:abstractNumId="30">
    <w:nsid w:val="73D4D3C4"/>
    <w:multiLevelType w:val="hybridMultilevel"/>
    <w:lvl w:ilvl="0">
      <w:lvlJc w:val="left"/>
      <w:lvlText w:val="●"/>
      <w:numFmt w:val="bullet"/>
      <w:start w:val="1"/>
    </w:lvl>
  </w:abstractNum>
  <w:abstractNum w:abstractNumId="31">
    <w:nsid w:val="746F2E30"/>
    <w:multiLevelType w:val="hybridMultilevel"/>
    <w:lvl w:ilvl="0">
      <w:lvlJc w:val="left"/>
      <w:lvlText w:val="%1."/>
      <w:numFmt w:val="upperLetter"/>
      <w:start w:val="1"/>
    </w:lvl>
  </w:abstractNum>
  <w:abstractNum w:abstractNumId="32">
    <w:nsid w:val="6FDE8AF6"/>
    <w:multiLevelType w:val="hybridMultilevel"/>
    <w:lvl w:ilvl="0">
      <w:lvlJc w:val="left"/>
      <w:lvlText w:val="(%1)"/>
      <w:numFmt w:val="lowerLetter"/>
      <w:start w:val="1"/>
    </w:lvl>
  </w:abstractNum>
  <w:abstractNum w:abstractNumId="33">
    <w:nsid w:val="3FC32E20"/>
    <w:multiLevelType w:val="hybridMultilevel"/>
    <w:lvl w:ilvl="0">
      <w:lvlJc w:val="left"/>
      <w:lvlText w:val="(%1)"/>
      <w:numFmt w:val="lowerLetter"/>
      <w:start w:val="2"/>
    </w:lvl>
    <w:lvl w:ilvl="1">
      <w:lvlJc w:val="left"/>
      <w:lvlText w:val="(%2)"/>
      <w:numFmt w:val="lowerRoman"/>
      <w:start w:val="1"/>
    </w:lvl>
  </w:abstractNum>
  <w:abstractNum w:abstractNumId="34">
    <w:nsid w:val="49C0E823"/>
    <w:multiLevelType w:val="hybridMultilevel"/>
    <w:lvl w:ilvl="0">
      <w:lvlJc w:val="left"/>
      <w:lvlText w:val="●"/>
      <w:numFmt w:val="bullet"/>
      <w:start w:val="1"/>
    </w:lvl>
  </w:abstractNum>
  <w:abstractNum w:abstractNumId="35">
    <w:nsid w:val="14D53685"/>
    <w:multiLevelType w:val="hybridMultilevel"/>
    <w:lvl w:ilvl="0">
      <w:lvlJc w:val="left"/>
      <w:lvlText w:val="(%1)"/>
      <w:numFmt w:val="lowerLetter"/>
      <w:start w:val="1"/>
    </w:lvl>
  </w:abstractNum>
  <w:abstractNum w:abstractNumId="36">
    <w:nsid w:val="230F856C"/>
    <w:multiLevelType w:val="hybridMultilevel"/>
    <w:lvl w:ilvl="0">
      <w:lvlJc w:val="left"/>
      <w:lvlText w:val="•"/>
      <w:numFmt w:val="bullet"/>
      <w:start w:val="1"/>
    </w:lvl>
  </w:abstractNum>
  <w:abstractNum w:abstractNumId="37">
    <w:nsid w:val="6EAA85FB"/>
    <w:multiLevelType w:val="hybridMultilevel"/>
    <w:lvl w:ilvl="0">
      <w:lvlJc w:val="left"/>
      <w:lvlText w:val="•"/>
      <w:numFmt w:val="bullet"/>
      <w:start w:val="1"/>
    </w:lvl>
  </w:abstractNum>
  <w:abstractNum w:abstractNumId="38">
    <w:nsid w:val="3F06ECB2"/>
    <w:multiLevelType w:val="hybridMultilevel"/>
    <w:lvl w:ilvl="0">
      <w:lvlJc w:val="left"/>
      <w:lvlText w:val="•"/>
      <w:numFmt w:val="bullet"/>
      <w:start w:val="1"/>
    </w:lvl>
  </w:abstractNum>
  <w:abstractNum w:abstractNumId="39">
    <w:nsid w:val="3B594807"/>
    <w:multiLevelType w:val="hybridMultilevel"/>
    <w:lvl w:ilvl="0">
      <w:lvlJc w:val="left"/>
      <w:lvlText w:val="•"/>
      <w:numFmt w:val="bullet"/>
      <w:start w:val="1"/>
    </w:lvl>
  </w:abstractNum>
  <w:abstractNum w:abstractNumId="40">
    <w:nsid w:val="6CAA2304"/>
    <w:multiLevelType w:val="hybridMultilevel"/>
    <w:lvl w:ilvl="0">
      <w:lvlJc w:val="left"/>
      <w:lvlText w:val="●"/>
      <w:numFmt w:val="bullet"/>
      <w:start w:val="1"/>
    </w:lvl>
  </w:abstractNum>
  <w:abstractNum w:abstractNumId="41">
    <w:nsid w:val="3F7C2FF4"/>
    <w:multiLevelType w:val="hybridMultilevel"/>
    <w:lvl w:ilvl="0">
      <w:lvlJc w:val="left"/>
      <w:lvlText w:val="(%1)"/>
      <w:numFmt w:val="lowerLetter"/>
      <w:start w:val="1"/>
    </w:lvl>
    <w:lvl w:ilvl="1">
      <w:lvlJc w:val="left"/>
      <w:lvlText w:val="(%2)"/>
      <w:numFmt w:val="lowerLetter"/>
      <w:start w:val="61"/>
    </w:lvl>
  </w:abstractNum>
  <w:abstractNum w:abstractNumId="42">
    <w:nsid w:val="25413BEC"/>
    <w:multiLevelType w:val="hybridMultilevel"/>
    <w:lvl w:ilvl="0">
      <w:lvlJc w:val="left"/>
      <w:lvlText w:val="(%1)"/>
      <w:numFmt w:val="lowerLetter"/>
      <w:start w:val="4"/>
    </w:lvl>
  </w:abstractNum>
  <w:abstractNum w:abstractNumId="43">
    <w:nsid w:val="17180B0B"/>
    <w:multiLevelType w:val="hybridMultilevel"/>
    <w:lvl w:ilvl="0">
      <w:lvlJc w:val="left"/>
      <w:lvlText w:val="●"/>
      <w:numFmt w:val="bullet"/>
      <w:start w:val="1"/>
    </w:lvl>
  </w:abstractNum>
  <w:abstractNum w:abstractNumId="44">
    <w:nsid w:val="579328B9"/>
    <w:multiLevelType w:val="hybridMultilevel"/>
    <w:lvl w:ilvl="0">
      <w:lvlJc w:val="left"/>
      <w:lvlText w:val="●"/>
      <w:numFmt w:val="bullet"/>
      <w:start w:val="1"/>
    </w:lvl>
  </w:abstractNum>
  <w:abstractNum w:abstractNumId="45">
    <w:nsid w:val="5D205E20"/>
    <w:multiLevelType w:val="hybridMultilevel"/>
    <w:lvl w:ilvl="0">
      <w:lvlJc w:val="left"/>
      <w:lvlText w:val="●"/>
      <w:numFmt w:val="bullet"/>
      <w:start w:val="1"/>
    </w:lvl>
  </w:abstractNum>
  <w:abstractNum w:abstractNumId="46">
    <w:nsid w:val="11CCA8BA"/>
    <w:multiLevelType w:val="hybridMultilevel"/>
    <w:lvl w:ilvl="0">
      <w:lvlJc w:val="left"/>
      <w:lvlText w:val="●"/>
      <w:numFmt w:val="bullet"/>
      <w:start w:val="1"/>
    </w:lvl>
  </w:abstractNum>
  <w:abstractNum w:abstractNumId="47">
    <w:nsid w:val="4D32AB86"/>
    <w:multiLevelType w:val="hybridMultilevel"/>
    <w:lvl w:ilvl="0">
      <w:lvlJc w:val="left"/>
      <w:lvlText w:val="●"/>
      <w:numFmt w:val="bullet"/>
      <w:start w:val="1"/>
    </w:lvl>
  </w:abstractNum>
  <w:abstractNum w:abstractNumId="48">
    <w:nsid w:val="3F07ACC3"/>
    <w:multiLevelType w:val="hybridMultilevel"/>
    <w:lvl w:ilvl="0">
      <w:lvlJc w:val="left"/>
      <w:lvlText w:val="*"/>
      <w:numFmt w:val="bullet"/>
      <w:start w:val="1"/>
    </w:lvl>
  </w:abstractNum>
  <w:abstractNum w:abstractNumId="49">
    <w:nsid w:val="6B47F63E"/>
    <w:multiLevelType w:val="hybridMultilevel"/>
    <w:lvl w:ilvl="0">
      <w:lvlJc w:val="left"/>
      <w:lvlText w:val="(%1)"/>
      <w:numFmt w:val="decimal"/>
      <w:start w:val="1"/>
    </w:lvl>
  </w:abstractNum>
  <w:abstractNum w:abstractNumId="50">
    <w:nsid w:val="5CB44A05"/>
    <w:multiLevelType w:val="hybridMultilevel"/>
    <w:lvl w:ilvl="0">
      <w:lvlJc w:val="left"/>
      <w:lvlText w:val="(%1)"/>
      <w:numFmt w:val="decimal"/>
      <w:start w:val="9"/>
    </w:lvl>
  </w:abstractNum>
  <w:abstractNum w:abstractNumId="51">
    <w:nsid w:val="16CF80F1"/>
    <w:multiLevelType w:val="hybridMultilevel"/>
    <w:lvl w:ilvl="0">
      <w:lvlJc w:val="left"/>
      <w:lvlText w:val="●"/>
      <w:numFmt w:val="bullet"/>
      <w:start w:val="1"/>
    </w:lvl>
  </w:abstractNum>
  <w:abstractNum w:abstractNumId="52">
    <w:nsid w:val="1C695DEC"/>
    <w:multiLevelType w:val="hybridMultilevel"/>
    <w:lvl w:ilvl="0">
      <w:lvlJc w:val="left"/>
      <w:lvlText w:val="●"/>
      <w:numFmt w:val="bullet"/>
      <w:start w:val="1"/>
    </w:lvl>
  </w:abstractNum>
  <w:abstractNum w:abstractNumId="53">
    <w:nsid w:val="3FCFAED9"/>
    <w:multiLevelType w:val="hybridMultilevel"/>
    <w:lvl w:ilvl="0">
      <w:lvlJc w:val="left"/>
      <w:lvlText w:val="%1."/>
      <w:numFmt w:val="upperLetter"/>
      <w:start w:val="1"/>
    </w:lvl>
  </w:abstractNum>
  <w:abstractNum w:abstractNumId="54">
    <w:nsid w:val="F856867"/>
    <w:multiLevelType w:val="hybridMultilevel"/>
    <w:lvl w:ilvl="0">
      <w:lvlJc w:val="left"/>
      <w:lvlText w:val="●"/>
      <w:numFmt w:val="bullet"/>
      <w:start w:val="1"/>
    </w:lvl>
  </w:abstractNum>
  <w:abstractNum w:abstractNumId="55">
    <w:nsid w:val="11B1CC33"/>
    <w:multiLevelType w:val="hybridMultilevel"/>
    <w:lvl w:ilvl="0">
      <w:lvlJc w:val="left"/>
      <w:lvlText w:val="●"/>
      <w:numFmt w:val="bullet"/>
      <w:start w:val="1"/>
    </w:lvl>
  </w:abstractNum>
  <w:abstractNum w:abstractNumId="56">
    <w:nsid w:val="2E22FBB7"/>
    <w:multiLevelType w:val="hybridMultilevel"/>
    <w:lvl w:ilvl="0">
      <w:lvlJc w:val="left"/>
      <w:lvlText w:val="(%1)"/>
      <w:numFmt w:val="lowerLetter"/>
      <w:start w:val="2"/>
    </w:lvl>
  </w:abstractNum>
  <w:abstractNum w:abstractNumId="57">
    <w:nsid w:val="29934699"/>
    <w:multiLevelType w:val="hybridMultilevel"/>
    <w:lvl w:ilvl="0">
      <w:lvlJc w:val="left"/>
      <w:lvlText w:val="●"/>
      <w:numFmt w:val="bullet"/>
      <w:start w:val="1"/>
    </w:lvl>
  </w:abstractNum>
  <w:abstractNum w:abstractNumId="58">
    <w:nsid w:val="77485850"/>
    <w:multiLevelType w:val="hybridMultilevel"/>
    <w:lvl w:ilvl="0">
      <w:lvlJc w:val="left"/>
      <w:lvlText w:val="●"/>
      <w:numFmt w:val="bullet"/>
      <w:start w:val="1"/>
    </w:lvl>
  </w:abstractNum>
  <w:abstractNum w:abstractNumId="59">
    <w:nsid w:val="744939A3"/>
    <w:multiLevelType w:val="hybridMultilevel"/>
    <w:lvl w:ilvl="0">
      <w:lvlJc w:val="left"/>
      <w:lvlText w:val="*"/>
      <w:numFmt w:val="bullet"/>
      <w:start w:val="1"/>
    </w:lvl>
  </w:abstractNum>
  <w:abstractNum w:abstractNumId="60">
    <w:nsid w:val="4FA0D2E3"/>
    <w:multiLevelType w:val="hybridMultilevel"/>
    <w:lvl w:ilvl="0">
      <w:lvlJc w:val="left"/>
      <w:lvlText w:val="#"/>
      <w:numFmt w:val="bullet"/>
      <w:start w:val="1"/>
    </w:lvl>
  </w:abstractNum>
  <w:abstractNum w:abstractNumId="61">
    <w:nsid w:val="6B1D2C14"/>
    <w:multiLevelType w:val="hybridMultilevel"/>
    <w:lvl w:ilvl="0">
      <w:lvlJc w:val="left"/>
      <w:lvlText w:val="+"/>
      <w:numFmt w:val="bullet"/>
      <w:start w:val="1"/>
    </w:lvl>
  </w:abstractNum>
  <w:abstractNum w:abstractNumId="62">
    <w:nsid w:val="68B867D3"/>
    <w:multiLevelType w:val="hybridMultilevel"/>
    <w:lvl w:ilvl="0">
      <w:lvlJc w:val="left"/>
      <w:lvlText w:val="%1."/>
      <w:numFmt w:val="decimal"/>
      <w:start w:val="1"/>
    </w:lvl>
  </w:abstractNum>
  <w:abstractNum w:abstractNumId="63">
    <w:nsid w:val="3F7F5DD9"/>
    <w:multiLevelType w:val="hybridMultilevel"/>
    <w:lvl w:ilvl="0">
      <w:lvlJc w:val="left"/>
      <w:lvlText w:val="%1."/>
      <w:numFmt w:val="decimal"/>
      <w:start w:val="2"/>
    </w:lvl>
  </w:abstractNum>
  <w:abstractNum w:abstractNumId="64">
    <w:nsid w:val="2AE05A34"/>
    <w:multiLevelType w:val="hybridMultilevel"/>
    <w:lvl w:ilvl="0">
      <w:lvlJc w:val="left"/>
      <w:lvlText w:val="2.%1."/>
      <w:numFmt w:val="decimal"/>
      <w:start w:val="1"/>
    </w:lvl>
  </w:abstractNum>
  <w:abstractNum w:abstractNumId="65">
    <w:nsid w:val="32794FF7"/>
    <w:multiLevelType w:val="hybridMultilevel"/>
    <w:lvl w:ilvl="0">
      <w:lvlJc w:val="left"/>
      <w:lvlText w:val="●"/>
      <w:numFmt w:val="bullet"/>
      <w:start w:val="1"/>
    </w:lvl>
  </w:abstractNum>
  <w:abstractNum w:abstractNumId="66">
    <w:nsid w:val="5454945E"/>
    <w:multiLevelType w:val="hybridMultilevel"/>
    <w:lvl w:ilvl="0">
      <w:lvlJc w:val="left"/>
      <w:lvlText w:val="●"/>
      <w:numFmt w:val="bullet"/>
      <w:start w:val="1"/>
    </w:lvl>
  </w:abstractNum>
  <w:abstractNum w:abstractNumId="67">
    <w:nsid w:val="4DEFDFA0"/>
    <w:multiLevelType w:val="hybridMultilevel"/>
    <w:lvl w:ilvl="0">
      <w:lvlJc w:val="left"/>
      <w:lvlText w:val="●"/>
      <w:numFmt w:val="bullet"/>
      <w:start w:val="1"/>
    </w:lvl>
  </w:abstractNum>
  <w:abstractNum w:abstractNumId="68">
    <w:nsid w:val="2123D5F2"/>
    <w:multiLevelType w:val="hybridMultilevel"/>
    <w:lvl w:ilvl="0">
      <w:lvlJc w:val="left"/>
      <w:lvlText w:val="•"/>
      <w:numFmt w:val="bullet"/>
      <w:start w:val="1"/>
    </w:lvl>
  </w:abstractNum>
  <w:abstractNum w:abstractNumId="69">
    <w:nsid w:val="135B8110"/>
    <w:multiLevelType w:val="hybridMultilevel"/>
    <w:lvl w:ilvl="0">
      <w:lvlJc w:val="left"/>
      <w:lvlText w:val="●"/>
      <w:numFmt w:val="bullet"/>
      <w:start w:val="1"/>
    </w:lvl>
  </w:abstractNum>
  <w:abstractNum w:abstractNumId="70">
    <w:nsid w:val="94927A8"/>
    <w:multiLevelType w:val="hybridMultilevel"/>
    <w:lvl w:ilvl="0">
      <w:lvlJc w:val="left"/>
      <w:lvlText w:val="●"/>
      <w:numFmt w:val="bullet"/>
      <w:start w:val="1"/>
    </w:lvl>
  </w:abstractNum>
  <w:abstractNum w:abstractNumId="71">
    <w:nsid w:val="DCDF8F6"/>
    <w:multiLevelType w:val="hybridMultilevel"/>
    <w:lvl w:ilvl="0">
      <w:lvlJc w:val="left"/>
      <w:lvlText w:val="●"/>
      <w:numFmt w:val="bullet"/>
      <w:start w:val="1"/>
    </w:lvl>
  </w:abstractNum>
  <w:abstractNum w:abstractNumId="72">
    <w:nsid w:val="52D7B105"/>
    <w:multiLevelType w:val="hybridMultilevel"/>
    <w:lvl w:ilvl="0">
      <w:lvlJc w:val="left"/>
      <w:lvlText w:val="●"/>
      <w:numFmt w:val="bullet"/>
      <w:start w:val="1"/>
    </w:lvl>
  </w:abstractNum>
  <w:abstractNum w:abstractNumId="73">
    <w:nsid w:val="2E8A6394"/>
    <w:multiLevelType w:val="hybridMultilevel"/>
    <w:lvl w:ilvl="0">
      <w:lvlJc w:val="left"/>
      <w:lvlText w:val="●"/>
      <w:numFmt w:val="bullet"/>
      <w:start w:val="1"/>
    </w:lvl>
  </w:abstractNum>
  <w:abstractNum w:abstractNumId="74">
    <w:nsid w:val="24E60401"/>
    <w:multiLevelType w:val="hybridMultilevel"/>
    <w:lvl w:ilvl="0">
      <w:lvlJc w:val="left"/>
      <w:lvlText w:val="●"/>
      <w:numFmt w:val="bullet"/>
      <w:start w:val="1"/>
    </w:lvl>
  </w:abstractNum>
  <w:abstractNum w:abstractNumId="75">
    <w:nsid w:val="2A6AD9BE"/>
    <w:multiLevelType w:val="hybridMultilevel"/>
    <w:lvl w:ilvl="0">
      <w:lvlJc w:val="left"/>
      <w:lvlText w:val="●"/>
      <w:numFmt w:val="bullet"/>
      <w:start w:val="1"/>
    </w:lvl>
  </w:abstractNum>
  <w:abstractNum w:abstractNumId="76">
    <w:nsid w:val="BAAC1B4"/>
    <w:multiLevelType w:val="hybridMultilevel"/>
    <w:lvl w:ilvl="0">
      <w:lvlJc w:val="left"/>
      <w:lvlText w:val="%1."/>
      <w:numFmt w:val="decimal"/>
      <w:start w:val="3"/>
    </w:lvl>
  </w:abstractNum>
  <w:abstractNum w:abstractNumId="77">
    <w:nsid w:val="36B2ACBC"/>
    <w:multiLevelType w:val="hybridMultilevel"/>
    <w:lvl w:ilvl="0">
      <w:lvlJc w:val="left"/>
      <w:lvlText w:val="3.%1."/>
      <w:numFmt w:val="decimal"/>
      <w:start w:val="1"/>
    </w:lvl>
  </w:abstractNum>
  <w:abstractNum w:abstractNumId="78">
    <w:nsid w:val="779D8544"/>
    <w:multiLevelType w:val="hybridMultilevel"/>
    <w:lvl w:ilvl="0">
      <w:lvlJc w:val="left"/>
      <w:lvlText w:val="●"/>
      <w:numFmt w:val="bullet"/>
      <w:start w:val="1"/>
    </w:lvl>
  </w:abstractNum>
  <w:abstractNum w:abstractNumId="79">
    <w:nsid w:val="4AB26E78"/>
    <w:multiLevelType w:val="hybridMultilevel"/>
    <w:lvl w:ilvl="0">
      <w:lvlJc w:val="left"/>
      <w:lvlText w:val="●"/>
      <w:numFmt w:val="bullet"/>
      <w:start w:val="1"/>
    </w:lvl>
  </w:abstractNum>
  <w:abstractNum w:abstractNumId="80">
    <w:nsid w:val="21FAA2FA"/>
    <w:multiLevelType w:val="hybridMultilevel"/>
    <w:lvl w:ilvl="0">
      <w:lvlJc w:val="left"/>
      <w:lvlText w:val="●"/>
      <w:numFmt w:val="bullet"/>
      <w:start w:val="1"/>
    </w:lvl>
  </w:abstractNum>
  <w:abstractNum w:abstractNumId="81">
    <w:nsid w:val="5451CF49"/>
    <w:multiLevelType w:val="hybridMultilevel"/>
    <w:lvl w:ilvl="0">
      <w:lvlJc w:val="left"/>
      <w:lvlText w:val="●"/>
      <w:numFmt w:val="bullet"/>
      <w:start w:val="1"/>
    </w:lvl>
  </w:abstractNum>
  <w:abstractNum w:abstractNumId="82">
    <w:nsid w:val="6181EF69"/>
    <w:multiLevelType w:val="hybridMultilevel"/>
    <w:lvl w:ilvl="0">
      <w:lvlJc w:val="left"/>
      <w:lvlText w:val="●"/>
      <w:numFmt w:val="bullet"/>
      <w:start w:val="1"/>
    </w:lvl>
  </w:abstractNum>
  <w:abstractNum w:abstractNumId="83">
    <w:nsid w:val="3E6400E6"/>
    <w:multiLevelType w:val="hybridMultilevel"/>
    <w:lvl w:ilvl="0">
      <w:lvlJc w:val="left"/>
      <w:lvlText w:val="●"/>
      <w:numFmt w:val="bullet"/>
      <w:start w:val="1"/>
    </w:lvl>
  </w:abstractNum>
  <w:abstractNum w:abstractNumId="84">
    <w:nsid w:val="14217E23"/>
    <w:multiLevelType w:val="hybridMultilevel"/>
    <w:lvl w:ilvl="0">
      <w:lvlJc w:val="left"/>
      <w:lvlText w:val="●"/>
      <w:numFmt w:val="bullet"/>
      <w:start w:val="1"/>
    </w:lvl>
  </w:abstractNum>
  <w:abstractNum w:abstractNumId="85">
    <w:nsid w:val="710757D0"/>
    <w:multiLevelType w:val="hybridMultilevel"/>
    <w:lvl w:ilvl="0">
      <w:lvlJc w:val="left"/>
      <w:lvlText w:val="●"/>
      <w:numFmt w:val="bullet"/>
      <w:start w:val="1"/>
    </w:lvl>
  </w:abstractNum>
  <w:abstractNum w:abstractNumId="86">
    <w:nsid w:val="5015CD1A"/>
    <w:multiLevelType w:val="hybridMultilevel"/>
    <w:lvl w:ilvl="0">
      <w:lvlJc w:val="left"/>
      <w:lvlText w:val="●"/>
      <w:numFmt w:val="bullet"/>
      <w:start w:val="1"/>
    </w:lvl>
  </w:abstractNum>
  <w:abstractNum w:abstractNumId="87">
    <w:nsid w:val="424479DA"/>
    <w:multiLevelType w:val="hybridMultilevel"/>
    <w:lvl w:ilvl="0">
      <w:lvlJc w:val="left"/>
      <w:lvlText w:val="(%1)"/>
      <w:numFmt w:val="lowerRoman"/>
      <w:start w:val="1"/>
    </w:lvl>
  </w:abstractNum>
  <w:abstractNum w:abstractNumId="88">
    <w:nsid w:val="1A9A9E69"/>
    <w:multiLevelType w:val="hybridMultilevel"/>
    <w:lvl w:ilvl="0">
      <w:lvlJc w:val="left"/>
      <w:lvlText w:val="●"/>
      <w:numFmt w:val="bullet"/>
      <w:start w:val="1"/>
    </w:lvl>
  </w:abstractNum>
  <w:abstractNum w:abstractNumId="89">
    <w:nsid w:val="475E256A"/>
    <w:multiLevelType w:val="hybridMultilevel"/>
    <w:lvl w:ilvl="0">
      <w:lvlJc w:val="left"/>
      <w:lvlText w:val="●"/>
      <w:numFmt w:val="bullet"/>
      <w:start w:val="1"/>
    </w:lvl>
  </w:abstractNum>
  <w:abstractNum w:abstractNumId="90">
    <w:nsid w:val="368DB37E"/>
    <w:multiLevelType w:val="hybridMultilevel"/>
    <w:lvl w:ilvl="0">
      <w:lvlJc w:val="left"/>
      <w:lvlText w:val="●"/>
      <w:numFmt w:val="bullet"/>
      <w:start w:val="1"/>
    </w:lvl>
  </w:abstractNum>
  <w:abstractNum w:abstractNumId="91">
    <w:nsid w:val="6A3B714C"/>
    <w:multiLevelType w:val="hybridMultilevel"/>
    <w:lvl w:ilvl="0">
      <w:lvlJc w:val="left"/>
      <w:lvlText w:val="●"/>
      <w:numFmt w:val="bullet"/>
      <w:start w:val="1"/>
    </w:lvl>
  </w:abstractNum>
  <w:abstractNum w:abstractNumId="92">
    <w:nsid w:val="327B517E"/>
    <w:multiLevelType w:val="hybridMultilevel"/>
    <w:lvl w:ilvl="0">
      <w:lvlJc w:val="left"/>
      <w:lvlText w:val="●"/>
      <w:numFmt w:val="bullet"/>
      <w:start w:val="1"/>
    </w:lvl>
  </w:abstractNum>
  <w:abstractNum w:abstractNumId="93">
    <w:nsid w:val="1F461B51"/>
    <w:multiLevelType w:val="hybridMultilevel"/>
    <w:lvl w:ilvl="0">
      <w:lvlJc w:val="left"/>
      <w:lvlText w:val="●"/>
      <w:numFmt w:val="bullet"/>
      <w:start w:val="1"/>
    </w:lvl>
  </w:abstractNum>
  <w:abstractNum w:abstractNumId="94">
    <w:nsid w:val="29BACF25"/>
    <w:multiLevelType w:val="hybridMultilevel"/>
    <w:lvl w:ilvl="0">
      <w:lvlJc w:val="left"/>
      <w:lvlText w:val="●"/>
      <w:numFmt w:val="bullet"/>
      <w:start w:val="1"/>
    </w:lvl>
    <w:lvl w:ilvl="1">
      <w:lvlJc w:val="left"/>
      <w:lvlText w:val="-"/>
      <w:numFmt w:val="bullet"/>
      <w:start w:val="1"/>
    </w:lvl>
  </w:abstractNum>
  <w:abstractNum w:abstractNumId="95">
    <w:nsid w:val="5D5BABB3"/>
    <w:multiLevelType w:val="hybridMultilevel"/>
    <w:lvl w:ilvl="0">
      <w:lvlJc w:val="left"/>
      <w:lvlText w:val="●"/>
      <w:numFmt w:val="bullet"/>
      <w:start w:val="1"/>
    </w:lvl>
  </w:abstractNum>
  <w:abstractNum w:abstractNumId="96">
    <w:nsid w:val="51BF6B48"/>
    <w:multiLevelType w:val="hybridMultilevel"/>
    <w:lvl w:ilvl="0">
      <w:lvlJc w:val="left"/>
      <w:lvlText w:val="%1."/>
      <w:numFmt w:val="decimal"/>
      <w:start w:val="5"/>
    </w:lvl>
  </w:abstractNum>
  <w:abstractNum w:abstractNumId="97">
    <w:nsid w:val="7E0F6384"/>
    <w:multiLevelType w:val="hybridMultilevel"/>
    <w:lvl w:ilvl="0">
      <w:lvlJc w:val="left"/>
      <w:lvlText w:val="%1."/>
      <w:numFmt w:val="decimal"/>
      <w:start w:val="6"/>
    </w:lvl>
  </w:abstractNum>
  <w:abstractNum w:abstractNumId="98">
    <w:nsid w:val="2B4B8B53"/>
    <w:multiLevelType w:val="hybridMultilevel"/>
    <w:lvl w:ilvl="0">
      <w:lvlJc w:val="left"/>
      <w:lvlText w:val="%1."/>
      <w:numFmt w:val="decimal"/>
      <w:start w:val="7"/>
    </w:lvl>
  </w:abstractNum>
  <w:abstractNum w:abstractNumId="99">
    <w:nsid w:val="72E3413A"/>
    <w:multiLevelType w:val="hybridMultilevel"/>
    <w:lvl w:ilvl="0">
      <w:lvlJc w:val="left"/>
      <w:lvlText w:val="%1."/>
      <w:numFmt w:val="decimal"/>
      <w:start w:val="8"/>
    </w:lvl>
  </w:abstractNum>
  <w:abstractNum w:abstractNumId="100">
    <w:nsid w:val="116AE494"/>
    <w:multiLevelType w:val="hybridMultilevel"/>
    <w:lvl w:ilvl="0">
      <w:lvlJc w:val="left"/>
      <w:lvlText w:val="%1."/>
      <w:numFmt w:val="decimal"/>
      <w:start w:val="10"/>
    </w:lvl>
  </w:abstractNum>
  <w:abstractNum w:abstractNumId="101">
    <w:nsid w:val="3494B2FB"/>
    <w:multiLevelType w:val="hybridMultilevel"/>
    <w:lvl w:ilvl="0">
      <w:lvlJc w:val="left"/>
      <w:lvlText w:val="%1."/>
      <w:numFmt w:val="decimal"/>
      <w:start w:val="12"/>
    </w:lvl>
  </w:abstractNum>
  <w:abstractNum w:abstractNumId="102">
    <w:nsid w:val="B13A31"/>
    <w:multiLevelType w:val="hybridMultilevel"/>
    <w:lvl w:ilvl="0">
      <w:lvlJc w:val="left"/>
      <w:lvlText w:val="12.%1."/>
      <w:numFmt w:val="decimal"/>
      <w:start w:val="1"/>
    </w:lvl>
  </w:abstractNum>
  <w:abstractNum w:abstractNumId="103">
    <w:nsid w:val="64429599"/>
    <w:multiLevelType w:val="hybridMultilevel"/>
    <w:lvl w:ilvl="0">
      <w:lvlJc w:val="left"/>
      <w:lvlText w:val="●"/>
      <w:numFmt w:val="bullet"/>
      <w:start w:val="1"/>
    </w:lvl>
  </w:abstractNum>
  <w:abstractNum w:abstractNumId="104">
    <w:nsid w:val="631F1690"/>
    <w:multiLevelType w:val="hybridMultilevel"/>
    <w:lvl w:ilvl="0">
      <w:lvlJc w:val="left"/>
      <w:lvlText w:val="●"/>
      <w:numFmt w:val="bullet"/>
      <w:start w:val="1"/>
    </w:lvl>
  </w:abstractNum>
  <w:abstractNum w:abstractNumId="105">
    <w:nsid w:val="25973E32"/>
    <w:multiLevelType w:val="hybridMultilevel"/>
    <w:lvl w:ilvl="0">
      <w:lvlJc w:val="left"/>
      <w:lvlText w:val="●"/>
      <w:numFmt w:val="bullet"/>
      <w:start w:val="1"/>
    </w:lvl>
  </w:abstractNum>
  <w:abstractNum w:abstractNumId="106">
    <w:nsid w:val="EAD6F57"/>
    <w:multiLevelType w:val="hybridMultilevel"/>
    <w:lvl w:ilvl="0">
      <w:lvlJc w:val="left"/>
      <w:lvlText w:val="%1."/>
      <w:numFmt w:val="decimal"/>
      <w:start w:val="15"/>
    </w:lvl>
  </w:abstractNum>
  <w:abstractNum w:abstractNumId="107">
    <w:nsid w:val="6EC9D844"/>
    <w:multiLevelType w:val="hybridMultilevel"/>
    <w:lvl w:ilvl="0">
      <w:lvlJc w:val="left"/>
      <w:lvlText w:val="%1."/>
      <w:numFmt w:val="decimal"/>
      <w:start w:val="16"/>
    </w:lvl>
  </w:abstractNum>
  <w:abstractNum w:abstractNumId="108">
    <w:nsid w:val="5C49EAEE"/>
    <w:multiLevelType w:val="hybridMultilevel"/>
    <w:lvl w:ilvl="0">
      <w:lvlJc w:val="left"/>
      <w:lvlText w:val="16.%1."/>
      <w:numFmt w:val="decimal"/>
      <w:start w:val="1"/>
    </w:lvl>
  </w:abstractNum>
  <w:abstractNum w:abstractNumId="109">
    <w:nsid w:val="64AF49B"/>
    <w:multiLevelType w:val="hybridMultilevel"/>
    <w:lvl w:ilvl="0">
      <w:lvlJc w:val="left"/>
      <w:lvlText w:val="%1."/>
      <w:numFmt w:val="decimal"/>
      <w:start w:val="17"/>
    </w:lvl>
  </w:abstractNum>
  <w:abstractNum w:abstractNumId="110">
    <w:nsid w:val="397C46BC"/>
    <w:multiLevelType w:val="hybridMultilevel"/>
    <w:lvl w:ilvl="0">
      <w:lvlJc w:val="left"/>
      <w:lvlText w:val="%1."/>
      <w:numFmt w:val="decimal"/>
      <w:start w:val="19"/>
    </w:lvl>
  </w:abstractNum>
  <w:abstractNum w:abstractNumId="111">
    <w:nsid w:val="7E448DE9"/>
    <w:multiLevelType w:val="hybridMultilevel"/>
    <w:lvl w:ilvl="0">
      <w:lvlJc w:val="left"/>
      <w:lvlText w:val="●"/>
      <w:numFmt w:val="bullet"/>
      <w:start w:val="1"/>
    </w:lvl>
  </w:abstractNum>
  <w:abstractNum w:abstractNumId="112">
    <w:nsid w:val="5A9CC3E5"/>
    <w:multiLevelType w:val="hybridMultilevel"/>
    <w:lvl w:ilvl="0">
      <w:lvlJc w:val="left"/>
      <w:lvlText w:val="●"/>
      <w:numFmt w:val="bullet"/>
      <w:start w:val="1"/>
    </w:lvl>
  </w:abstractNum>
  <w:abstractNum w:abstractNumId="113">
    <w:nsid w:val="1AFE3625"/>
    <w:multiLevelType w:val="hybridMultilevel"/>
    <w:lvl w:ilvl="0">
      <w:lvlJc w:val="left"/>
      <w:lvlText w:val="●"/>
      <w:numFmt w:val="bullet"/>
      <w:start w:val="1"/>
    </w:lvl>
  </w:abstractNum>
  <w:abstractNum w:abstractNumId="114">
    <w:nsid w:val="3CA88ECF"/>
    <w:multiLevelType w:val="hybridMultilevel"/>
    <w:lvl w:ilvl="0">
      <w:lvlJc w:val="left"/>
      <w:lvlText w:val="●"/>
      <w:numFmt w:val="bullet"/>
      <w:start w:val="1"/>
    </w:lvl>
  </w:abstractNum>
  <w:abstractNum w:abstractNumId="115">
    <w:nsid w:val="6EBE4208"/>
    <w:multiLevelType w:val="hybridMultilevel"/>
    <w:lvl w:ilvl="0">
      <w:lvlJc w:val="left"/>
      <w:lvlText w:val="%1."/>
      <w:numFmt w:val="decimal"/>
      <w:start w:val="20"/>
    </w:lvl>
  </w:abstractNum>
  <w:abstractNum w:abstractNumId="116">
    <w:nsid w:val="C058DF5"/>
    <w:multiLevelType w:val="hybridMultilevel"/>
    <w:lvl w:ilvl="0">
      <w:lvlJc w:val="left"/>
      <w:lvlText w:val="%1."/>
      <w:numFmt w:val="decimal"/>
      <w:start w:val="21"/>
    </w:lvl>
  </w:abstractNum>
  <w:abstractNum w:abstractNumId="117">
    <w:nsid w:val="CBE5BE9"/>
    <w:multiLevelType w:val="hybridMultilevel"/>
    <w:lvl w:ilvl="0">
      <w:lvlJc w:val="left"/>
      <w:lvlText w:val="%1."/>
      <w:numFmt w:val="decimal"/>
      <w:start w:val="22"/>
    </w:lvl>
  </w:abstractNum>
  <w:abstractNum w:abstractNumId="118">
    <w:nsid w:val="3102BBE2"/>
    <w:multiLevelType w:val="hybridMultilevel"/>
    <w:lvl w:ilvl="0">
      <w:lvlJc w:val="left"/>
      <w:lvlText w:val="●"/>
      <w:numFmt w:val="bullet"/>
      <w:start w:val="1"/>
    </w:lvl>
  </w:abstractNum>
  <w:abstractNum w:abstractNumId="119">
    <w:nsid w:val="26A02C5E"/>
    <w:multiLevelType w:val="hybridMultilevel"/>
    <w:lvl w:ilvl="0">
      <w:lvlJc w:val="left"/>
      <w:lvlText w:val="●"/>
      <w:numFmt w:val="bullet"/>
      <w:start w:val="1"/>
    </w:lvl>
  </w:abstractNum>
  <w:abstractNum w:abstractNumId="120">
    <w:nsid w:val="541C8153"/>
    <w:multiLevelType w:val="hybridMultilevel"/>
    <w:lvl w:ilvl="0">
      <w:lvlJc w:val="left"/>
      <w:lvlText w:val="o"/>
      <w:numFmt w:val="bullet"/>
      <w:start w:val="1"/>
    </w:lvl>
  </w:abstractNum>
  <w:abstractNum w:abstractNumId="121">
    <w:nsid w:val="67906F60"/>
    <w:multiLevelType w:val="hybridMultilevel"/>
    <w:lvl w:ilvl="0">
      <w:lvlJc w:val="left"/>
      <w:lvlText w:val="%1."/>
      <w:numFmt w:val="decimal"/>
      <w:start w:val="23"/>
    </w:lvl>
  </w:abstractNum>
  <w:abstractNum w:abstractNumId="122">
    <w:nsid w:val="10DB9DAA"/>
    <w:multiLevelType w:val="hybridMultilevel"/>
    <w:lvl w:ilvl="0">
      <w:lvlJc w:val="left"/>
      <w:lvlText w:val="%1."/>
      <w:numFmt w:val="decimal"/>
      <w:start w:val="24"/>
    </w:lvl>
  </w:abstractNum>
  <w:abstractNum w:abstractNumId="123">
    <w:nsid w:val="697D2D2"/>
    <w:multiLevelType w:val="hybridMultilevel"/>
    <w:lvl w:ilvl="0">
      <w:lvlJc w:val="left"/>
      <w:lvlText w:val="%1."/>
      <w:numFmt w:val="decimal"/>
      <w:start w:val="25"/>
    </w:lvl>
  </w:abstractNum>
  <w:abstractNum w:abstractNumId="124">
    <w:nsid w:val="6D68AB2"/>
    <w:multiLevelType w:val="hybridMultilevel"/>
    <w:lvl w:ilvl="0">
      <w:lvlJc w:val="left"/>
      <w:lvlText w:val="%1."/>
      <w:numFmt w:val="decimal"/>
      <w:start w:val="27"/>
    </w:lvl>
  </w:abstractNum>
  <w:abstractNum w:abstractNumId="125">
    <w:nsid w:val="3A966CD0"/>
    <w:multiLevelType w:val="hybridMultilevel"/>
    <w:lvl w:ilvl="0">
      <w:lvlJc w:val="left"/>
      <w:lvlText w:val="%1."/>
      <w:numFmt w:val="decimal"/>
      <w:start w:val="28"/>
    </w:lvl>
  </w:abstractNum>
  <w:abstractNum w:abstractNumId="126">
    <w:nsid w:val="63F37E85"/>
    <w:multiLevelType w:val="hybridMultilevel"/>
    <w:lvl w:ilvl="0">
      <w:lvlJc w:val="left"/>
      <w:lvlText w:val="●"/>
      <w:numFmt w:val="bullet"/>
      <w:start w:val="1"/>
    </w:lvl>
  </w:abstractNum>
  <w:abstractNum w:abstractNumId="127">
    <w:nsid w:val="5895F5FA"/>
    <w:multiLevelType w:val="hybridMultilevel"/>
    <w:lvl w:ilvl="0">
      <w:lvlJc w:val="left"/>
      <w:lvlText w:val="%1."/>
      <w:numFmt w:val="decimal"/>
      <w:start w:val="29"/>
    </w:lvl>
  </w:abstractNum>
  <w:abstractNum w:abstractNumId="128">
    <w:nsid w:val="38A5D054"/>
    <w:multiLevelType w:val="hybridMultilevel"/>
    <w:lvl w:ilvl="0">
      <w:lvlJc w:val="left"/>
      <w:lvlText w:val="%1."/>
      <w:numFmt w:val="decimal"/>
      <w:start w:val="30"/>
    </w:lvl>
  </w:abstractNum>
  <w:abstractNum w:abstractNumId="129">
    <w:nsid w:val="F3F09D8"/>
    <w:multiLevelType w:val="hybridMultilevel"/>
    <w:lvl w:ilvl="0">
      <w:lvlJc w:val="left"/>
      <w:lvlText w:val="(%1)"/>
      <w:numFmt w:val="lowerLetter"/>
      <w:start w:val="1"/>
    </w:lvl>
  </w:abstractNum>
  <w:abstractNum w:abstractNumId="130">
    <w:nsid w:val="4B793735"/>
    <w:multiLevelType w:val="hybridMultilevel"/>
    <w:lvl w:ilvl="0">
      <w:lvlJc w:val="left"/>
      <w:lvlText w:val="(%1)"/>
      <w:numFmt w:val="lowerLetter"/>
      <w:start w:val="1"/>
    </w:lvl>
  </w:abstractNum>
  <w:abstractNum w:abstractNumId="131">
    <w:nsid w:val="4A10B4E8"/>
    <w:multiLevelType w:val="hybridMultilevel"/>
    <w:lvl w:ilvl="0">
      <w:lvlJc w:val="left"/>
      <w:lvlText w:val="(%1)"/>
      <w:numFmt w:val="lowerLetter"/>
      <w:start w:val="2"/>
    </w:lvl>
  </w:abstractNum>
  <w:abstractNum w:abstractNumId="132">
    <w:nsid w:val="43D3BCD4"/>
    <w:multiLevelType w:val="hybridMultilevel"/>
    <w:lvl w:ilvl="0">
      <w:lvlJc w:val="left"/>
      <w:lvlText w:val="(%1)"/>
      <w:numFmt w:val="lowerLetter"/>
      <w:start w:val="1"/>
    </w:lvl>
  </w:abstractNum>
  <w:abstractNum w:abstractNumId="133">
    <w:nsid w:val="4C2A7166"/>
    <w:multiLevelType w:val="hybridMultilevel"/>
    <w:lvl w:ilvl="0">
      <w:lvlJc w:val="left"/>
      <w:lvlText w:val="(%1)"/>
      <w:numFmt w:val="lowerLetter"/>
      <w:start w:val="5"/>
    </w:lvl>
  </w:abstractNum>
  <w:abstractNum w:abstractNumId="134">
    <w:nsid w:val="2E534A82"/>
    <w:multiLevelType w:val="hybridMultilevel"/>
    <w:lvl w:ilvl="0">
      <w:lvlJc w:val="left"/>
      <w:lvlText w:val="(%1)"/>
      <w:numFmt w:val="lowerLetter"/>
      <w:start w:val="24"/>
    </w:lvl>
  </w:abstractNum>
  <w:abstractNum w:abstractNumId="135">
    <w:nsid w:val="26F2D364"/>
    <w:multiLevelType w:val="hybridMultilevel"/>
    <w:lvl w:ilvl="0">
      <w:lvlJc w:val="left"/>
      <w:lvlText w:val="(%1)"/>
      <w:numFmt w:val="lowerLetter"/>
      <w:start w:val="1"/>
    </w:lvl>
  </w:abstractNum>
  <w:abstractNum w:abstractNumId="136">
    <w:nsid w:val="71C1AF98"/>
    <w:multiLevelType w:val="hybridMultilevel"/>
    <w:lvl w:ilvl="0">
      <w:lvlJc w:val="left"/>
      <w:lvlText w:val="(%1)"/>
      <w:numFmt w:val="lowerLetter"/>
      <w:start w:val="5"/>
    </w:lvl>
  </w:abstractNum>
  <w:abstractNum w:abstractNumId="137">
    <w:nsid w:val="3D00B9D9"/>
    <w:multiLevelType w:val="hybridMultilevel"/>
    <w:lvl w:ilvl="0">
      <w:lvlJc w:val="left"/>
      <w:lvlText w:val="%1."/>
      <w:numFmt w:val="upperLetter"/>
      <w:start w:val="9"/>
    </w:lvl>
  </w:abstractNum>
  <w:abstractNum w:abstractNumId="138">
    <w:nsid w:val="15BCABA8"/>
    <w:multiLevelType w:val="hybridMultilevel"/>
    <w:lvl w:ilvl="0">
      <w:lvlJc w:val="left"/>
      <w:lvlText w:val="(%1)"/>
      <w:numFmt w:val="lowerRoman"/>
      <w:start w:val="1"/>
    </w:lvl>
  </w:abstractNum>
  <w:abstractNum w:abstractNumId="139">
    <w:nsid w:val="4E0B9A87"/>
    <w:multiLevelType w:val="hybridMultilevel"/>
    <w:lvl w:ilvl="0">
      <w:lvlJc w:val="left"/>
      <w:lvlText w:val="(%1)"/>
      <w:numFmt w:val="lowerLetter"/>
      <w:start w:val="1"/>
    </w:lvl>
  </w:abstractNum>
  <w:abstractNum w:abstractNumId="140">
    <w:nsid w:val="434BAE75"/>
    <w:multiLevelType w:val="hybridMultilevel"/>
    <w:lvl w:ilvl="0">
      <w:lvlJc w:val="left"/>
      <w:lvlText w:val="(%1)"/>
      <w:numFmt w:val="lowerLetter"/>
      <w:start w:val="1"/>
    </w:lvl>
  </w:abstractNum>
  <w:abstractNum w:abstractNumId="141">
    <w:nsid w:val="4F38F265"/>
    <w:multiLevelType w:val="hybridMultilevel"/>
    <w:lvl w:ilvl="0">
      <w:lvlJc w:val="left"/>
      <w:lvlText w:val="(%1)"/>
      <w:numFmt w:val="lowerLetter"/>
      <w:start w:val="4"/>
    </w:lvl>
  </w:abstractNum>
  <w:abstractNum w:abstractNumId="142">
    <w:nsid w:val="4C502870"/>
    <w:multiLevelType w:val="hybridMultilevel"/>
    <w:lvl w:ilvl="0">
      <w:lvlJc w:val="left"/>
      <w:lvlText w:val="(%1)"/>
      <w:numFmt w:val="lowerLetter"/>
      <w:start w:val="8"/>
    </w:lvl>
  </w:abstractNum>
  <w:abstractNum w:abstractNumId="143">
    <w:nsid w:val="1DE8725A"/>
    <w:multiLevelType w:val="hybridMultilevel"/>
    <w:lvl w:ilvl="0">
      <w:lvlJc w:val="left"/>
      <w:lvlText w:val="(%1)"/>
      <w:numFmt w:val="lowerLetter"/>
      <w:start w:val="2"/>
    </w:lvl>
  </w:abstractNum>
  <w:abstractNum w:abstractNumId="144">
    <w:nsid w:val="6A37288A"/>
    <w:multiLevelType w:val="hybridMultilevel"/>
    <w:lvl w:ilvl="0">
      <w:lvlJc w:val="left"/>
      <w:lvlText w:val="(%1)"/>
      <w:numFmt w:val="lowerLetter"/>
      <w:start w:val="25"/>
    </w:lvl>
  </w:abstractNum>
  <w:abstractNum w:abstractNumId="145">
    <w:nsid w:val="8F8B73F"/>
    <w:multiLevelType w:val="hybridMultilevel"/>
    <w:lvl w:ilvl="0">
      <w:lvlJc w:val="left"/>
      <w:lvlText w:val="(%1)"/>
      <w:numFmt w:val="lowerLetter"/>
      <w:start w:val="3"/>
    </w:lvl>
  </w:abstractNum>
  <w:abstractNum w:abstractNumId="146">
    <w:nsid w:val="CA6B462"/>
    <w:multiLevelType w:val="hybridMultilevel"/>
    <w:lvl w:ilvl="0">
      <w:lvlJc w:val="left"/>
      <w:lvlText w:val="(%1)"/>
      <w:numFmt w:val="lowerLetter"/>
      <w:start w:val="1"/>
    </w:lvl>
  </w:abstractNum>
  <w:abstractNum w:abstractNumId="147">
    <w:nsid w:val="763CB680"/>
    <w:multiLevelType w:val="hybridMultilevel"/>
    <w:lvl w:ilvl="0">
      <w:lvlJc w:val="left"/>
      <w:lvlText w:val="%1"/>
      <w:numFmt w:val="lowerLetter"/>
      <w:start w:val="1"/>
    </w:lvl>
    <w:lvl w:ilvl="1">
      <w:lvlJc w:val="left"/>
      <w:lvlText w:val="(%2)"/>
      <w:numFmt w:val="lowerLetter"/>
      <w:start w:val="8"/>
    </w:lvl>
  </w:abstractNum>
  <w:abstractNum w:abstractNumId="148">
    <w:nsid w:val="15B71329"/>
    <w:multiLevelType w:val="hybridMultilevel"/>
    <w:lvl w:ilvl="0">
      <w:lvlJc w:val="left"/>
      <w:lvlText w:val="(%1)"/>
      <w:numFmt w:val="lowerLetter"/>
      <w:start w:val="22"/>
    </w:lvl>
    <w:lvl w:ilvl="1">
      <w:lvlJc w:val="left"/>
      <w:lvlText w:val="(%2)"/>
      <w:numFmt w:val="lowerLetter"/>
      <w:start w:val="11"/>
    </w:lvl>
  </w:abstractNum>
  <w:abstractNum w:abstractNumId="149">
    <w:nsid w:val="3DA97044"/>
    <w:multiLevelType w:val="hybridMultilevel"/>
    <w:lvl w:ilvl="0">
      <w:lvlJc w:val="left"/>
      <w:lvlText w:val="%1"/>
      <w:numFmt w:val="upperLetter"/>
      <w:start w:val="1"/>
    </w:lvl>
    <w:lvl w:ilvl="1">
      <w:lvlJc w:val="left"/>
      <w:lvlText w:val="(%2)"/>
      <w:numFmt w:val="lowerRoman"/>
      <w:start w:val="1"/>
    </w:lvl>
  </w:abstractNum>
  <w:abstractNum w:abstractNumId="150">
    <w:nsid w:val="1CDCE2DE"/>
    <w:multiLevelType w:val="hybridMultilevel"/>
    <w:lvl w:ilvl="0">
      <w:lvlJc w:val="left"/>
      <w:lvlText w:val="(%1)"/>
      <w:numFmt w:val="upperLetter"/>
      <w:start w:val="1"/>
    </w:lvl>
    <w:lvl w:ilvl="1">
      <w:lvlJc w:val="left"/>
      <w:lvlText w:val="%2"/>
      <w:numFmt w:val="lowerRoman"/>
      <w:start w:val="1"/>
    </w:lvl>
  </w:abstractNum>
  <w:abstractNum w:abstractNumId="151">
    <w:nsid w:val="69D3947C"/>
    <w:multiLevelType w:val="hybridMultilevel"/>
    <w:lvl w:ilvl="0">
      <w:lvlJc w:val="left"/>
      <w:lvlText w:val="%1"/>
      <w:numFmt w:val="lowerLetter"/>
      <w:start w:val="1"/>
    </w:lvl>
    <w:lvl w:ilvl="1">
      <w:lvlJc w:val="left"/>
      <w:lvlText w:val="(%2)"/>
      <w:numFmt w:val="lowerLetter"/>
      <w:start w:val="1"/>
    </w:lvl>
  </w:abstractNum>
  <w:abstractNum w:abstractNumId="152">
    <w:nsid w:val="2539DFA5"/>
    <w:multiLevelType w:val="hybridMultilevel"/>
    <w:lvl w:ilvl="0">
      <w:lvlJc w:val="left"/>
      <w:lvlText w:val="(%1)"/>
      <w:numFmt w:val="lowerLetter"/>
      <w:start w:val="4"/>
    </w:lvl>
    <w:lvl w:ilvl="1">
      <w:lvlJc w:val="left"/>
      <w:lvlText w:val="%2"/>
      <w:numFmt w:val="lowerLetter"/>
      <w:start w:val="1"/>
    </w:lvl>
  </w:abstractNum>
  <w:abstractNum w:abstractNumId="153">
    <w:nsid w:val="2DB88089"/>
    <w:multiLevelType w:val="hybridMultilevel"/>
    <w:lvl w:ilvl="0">
      <w:lvlJc w:val="left"/>
      <w:lvlText w:val="(%1)"/>
      <w:numFmt w:val="lowerLetter"/>
      <w:start w:val="11"/>
    </w:lvl>
  </w:abstractNum>
  <w:abstractNum w:abstractNumId="154">
    <w:nsid w:val="706B674E"/>
    <w:multiLevelType w:val="hybridMultilevel"/>
    <w:lvl w:ilvl="0">
      <w:lvlJc w:val="left"/>
      <w:lvlText w:val="(%1)"/>
      <w:numFmt w:val="lowerLetter"/>
      <w:start w:val="1"/>
    </w:lvl>
  </w:abstractNum>
  <w:abstractNum w:abstractNumId="155">
    <w:nsid w:val="2C106A57"/>
    <w:multiLevelType w:val="hybridMultilevel"/>
    <w:lvl w:ilvl="0">
      <w:lvlJc w:val="left"/>
      <w:lvlText w:val="(%1)"/>
      <w:numFmt w:val="lowerLetter"/>
      <w:start w:val="5"/>
    </w:lvl>
  </w:abstractNum>
  <w:abstractNum w:abstractNumId="156">
    <w:nsid w:val="684EED59"/>
    <w:multiLevelType w:val="hybridMultilevel"/>
    <w:lvl w:ilvl="0">
      <w:lvlJc w:val="left"/>
      <w:lvlText w:val="(%1)"/>
      <w:numFmt w:val="lowerLetter"/>
      <w:start w:val="5"/>
    </w:lvl>
  </w:abstractNum>
  <w:abstractNum w:abstractNumId="157">
    <w:nsid w:val="545EE5D3"/>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abstractNum>
  <w:abstractNum w:abstractNumId="158">
    <w:nsid w:val="4A66051"/>
    <w:multiLevelType w:val="hybridMultilevel"/>
    <w:lvl w:ilvl="0">
      <w:lvlJc w:val="left"/>
      <w:lvlText w:val="(%1)"/>
      <w:numFmt w:val="lowerLetter"/>
      <w:start w:val="2"/>
    </w:lvl>
  </w:abstractNum>
  <w:abstractNum w:abstractNumId="159">
    <w:nsid w:val="20F4BDAD"/>
    <w:multiLevelType w:val="hybridMultilevel"/>
    <w:lvl w:ilvl="0">
      <w:lvlJc w:val="left"/>
      <w:lvlText w:val="(%1)"/>
      <w:numFmt w:val="lowerLetter"/>
      <w:start w:val="1"/>
    </w:lvl>
  </w:abstractNum>
  <w:abstractNum w:abstractNumId="160">
    <w:nsid w:val="639DEFAC"/>
    <w:multiLevelType w:val="hybridMultilevel"/>
    <w:lvl w:ilvl="0">
      <w:lvlJc w:val="left"/>
      <w:lvlText w:val="(%1)"/>
      <w:numFmt w:val="lowerLetter"/>
      <w:start w:val="5"/>
    </w:lvl>
  </w:abstractNum>
  <w:abstractNum w:abstractNumId="161">
    <w:nsid w:val="501F9786"/>
    <w:multiLevelType w:val="hybridMultilevel"/>
    <w:lvl w:ilvl="0">
      <w:lvlJc w:val="left"/>
      <w:lvlText w:val="%1"/>
      <w:numFmt w:val="lowerLetter"/>
      <w:start w:val="1"/>
    </w:lvl>
    <w:lvl w:ilvl="1">
      <w:lvlJc w:val="left"/>
      <w:lvlText w:val="(%2)"/>
      <w:numFmt w:val="lowerLetter"/>
      <w:start w:val="1"/>
    </w:lvl>
  </w:abstractNum>
  <w:abstractNum w:abstractNumId="162">
    <w:nsid w:val="6B057295"/>
    <w:multiLevelType w:val="hybridMultilevel"/>
    <w:lvl w:ilvl="0">
      <w:lvlJc w:val="left"/>
      <w:lvlText w:val="(%1)"/>
      <w:numFmt w:val="lowerLetter"/>
      <w:start w:val="9"/>
    </w:lvl>
    <w:lvl w:ilvl="1">
      <w:lvlJc w:val="left"/>
      <w:lvlText w:val="(%2)"/>
      <w:numFmt w:val="lowerLetter"/>
      <w:start w:val="2"/>
    </w:lvl>
  </w:abstractNum>
  <w:abstractNum w:abstractNumId="163">
    <w:nsid w:val="2771AC80"/>
    <w:multiLevelType w:val="hybridMultilevel"/>
    <w:lvl w:ilvl="0">
      <w:lvlJc w:val="left"/>
      <w:lvlText w:val="(%1)"/>
      <w:numFmt w:val="lowerLetter"/>
      <w:start w:val="35"/>
    </w:lvl>
    <w:lvl w:ilvl="1">
      <w:lvlJc w:val="left"/>
      <w:lvlText w:val="%2"/>
      <w:numFmt w:val="lowerLetter"/>
      <w:start w:val="1"/>
    </w:lvl>
  </w:abstractNum>
  <w:abstractNum w:abstractNumId="164">
    <w:nsid w:val="1C4A08EC"/>
    <w:multiLevelType w:val="hybridMultilevel"/>
    <w:lvl w:ilvl="0">
      <w:lvlJc w:val="left"/>
      <w:lvlText w:val="(%1)"/>
      <w:numFmt w:val="lowerLetter"/>
      <w:start w:val="3"/>
    </w:lvl>
  </w:abstractNum>
  <w:abstractNum w:abstractNumId="165">
    <w:nsid w:val="1958BD17"/>
    <w:multiLevelType w:val="hybridMultilevel"/>
    <w:lvl w:ilvl="0">
      <w:lvlJc w:val="left"/>
      <w:lvlText w:val="(%1)"/>
      <w:numFmt w:val="lowerLetter"/>
      <w:start w:val="1"/>
    </w:lvl>
  </w:abstractNum>
  <w:abstractNum w:abstractNumId="166">
    <w:nsid w:val="4E647FE4"/>
    <w:multiLevelType w:val="hybridMultilevel"/>
    <w:lvl w:ilvl="0">
      <w:lvlJc w:val="left"/>
      <w:lvlText w:val="(%1)"/>
      <w:numFmt w:val="lowerLetter"/>
      <w:start w:val="3"/>
    </w:lvl>
  </w:abstractNum>
  <w:abstractNum w:abstractNumId="167">
    <w:nsid w:val="E0BB885"/>
    <w:multiLevelType w:val="hybridMultilevel"/>
    <w:lvl w:ilvl="0">
      <w:lvlJc w:val="left"/>
      <w:lvlText w:val="(%1)"/>
      <w:numFmt w:val="lowerLetter"/>
      <w:start w:val="5"/>
    </w:lvl>
  </w:abstractNum>
  <w:abstractNum w:abstractNumId="168">
    <w:nsid w:val="565976F1"/>
    <w:multiLevelType w:val="hybridMultilevel"/>
    <w:lvl w:ilvl="0">
      <w:lvlJc w:val="left"/>
      <w:lvlText w:val="(%1)"/>
      <w:numFmt w:val="lowerLetter"/>
      <w:start w:val="1"/>
    </w:lvl>
  </w:abstractNum>
  <w:abstractNum w:abstractNumId="169">
    <w:nsid w:val="64212B8C"/>
    <w:multiLevelType w:val="hybridMultilevel"/>
    <w:lvl w:ilvl="0">
      <w:lvlJc w:val="left"/>
      <w:lvlText w:val="(%1)"/>
      <w:numFmt w:val="lowerLetter"/>
      <w:start w:val="2"/>
    </w:lvl>
  </w:abstractNum>
  <w:abstractNum w:abstractNumId="170">
    <w:nsid w:val="5C17530C"/>
    <w:multiLevelType w:val="hybridMultilevel"/>
    <w:lvl w:ilvl="0">
      <w:lvlJc w:val="left"/>
      <w:lvlText w:val="(%1)"/>
      <w:numFmt w:val="lowerLetter"/>
      <w:start w:val="1"/>
    </w:lvl>
  </w:abstractNum>
  <w:abstractNum w:abstractNumId="171">
    <w:nsid w:val="19A52566"/>
    <w:multiLevelType w:val="hybridMultilevel"/>
    <w:lvl w:ilvl="0">
      <w:lvlJc w:val="left"/>
      <w:lvlText w:val="(%1)"/>
      <w:numFmt w:val="lowerLetter"/>
      <w:start w:val="1"/>
    </w:lvl>
  </w:abstractNum>
  <w:abstractNum w:abstractNumId="172">
    <w:nsid w:val="335A1DF1"/>
    <w:multiLevelType w:val="hybridMultilevel"/>
    <w:lvl w:ilvl="0">
      <w:lvlJc w:val="left"/>
      <w:lvlText w:val="(%1)"/>
      <w:numFmt w:val="lowerLetter"/>
      <w:start w:val="2"/>
    </w:lvl>
  </w:abstractNum>
  <w:abstractNum w:abstractNumId="173">
    <w:nsid w:val="28677B7C"/>
    <w:multiLevelType w:val="hybridMultilevel"/>
    <w:lvl w:ilvl="0">
      <w:lvlJc w:val="left"/>
      <w:lvlText w:val="(%1)"/>
      <w:numFmt w:val="lowerLetter"/>
      <w:start w:val="1"/>
    </w:lvl>
  </w:abstractNum>
  <w:abstractNum w:abstractNumId="174">
    <w:nsid w:val="378D97C0"/>
    <w:multiLevelType w:val="hybridMultilevel"/>
    <w:lvl w:ilvl="0">
      <w:lvlJc w:val="left"/>
      <w:lvlText w:val="(%1)"/>
      <w:numFmt w:val="lowerLetter"/>
      <w:start w:val="3"/>
    </w:lvl>
  </w:abstractNum>
  <w:abstractNum w:abstractNumId="175">
    <w:nsid w:val="1D91467C"/>
    <w:multiLevelType w:val="hybridMultilevel"/>
    <w:lvl w:ilvl="0">
      <w:lvlJc w:val="left"/>
      <w:lvlText w:val="(%1)"/>
      <w:numFmt w:val="lowerLetter"/>
      <w:start w:val="1"/>
    </w:lvl>
  </w:abstractNum>
  <w:abstractNum w:abstractNumId="176">
    <w:nsid w:val="316032BB"/>
    <w:multiLevelType w:val="hybridMultilevel"/>
    <w:lvl w:ilvl="0">
      <w:lvlJc w:val="left"/>
      <w:lvlText w:val="(%1)"/>
      <w:numFmt w:val="lowerLetter"/>
      <w:start w:val="2"/>
    </w:lvl>
  </w:abstractNum>
  <w:abstractNum w:abstractNumId="177">
    <w:nsid w:val="44344C22"/>
    <w:multiLevelType w:val="hybridMultilevel"/>
    <w:lvl w:ilvl="0">
      <w:lvlJc w:val="left"/>
      <w:lvlText w:val="(%1)"/>
      <w:numFmt w:val="lowerRoman"/>
      <w:start w:val="1"/>
    </w:lvl>
  </w:abstractNum>
  <w:abstractNum w:abstractNumId="178">
    <w:nsid w:val="13CDFCFC"/>
    <w:multiLevelType w:val="hybridMultilevel"/>
    <w:lvl w:ilvl="0">
      <w:lvlJc w:val="left"/>
      <w:lvlText w:val="(%1)"/>
      <w:numFmt w:val="lowerRoman"/>
      <w:start w:val="9"/>
    </w:lvl>
  </w:abstractNum>
  <w:abstractNum w:abstractNumId="179">
    <w:nsid w:val="471745E4"/>
    <w:multiLevelType w:val="hybridMultilevel"/>
    <w:lvl w:ilvl="0">
      <w:lvlJc w:val="left"/>
      <w:lvlText w:val="(%1)"/>
      <w:numFmt w:val="lowerLetter"/>
      <w:start w:val="1"/>
    </w:lvl>
  </w:abstractNum>
  <w:abstractNum w:abstractNumId="180">
    <w:nsid w:val="1DDBC66"/>
    <w:multiLevelType w:val="hybridMultilevel"/>
    <w:lvl w:ilvl="0">
      <w:lvlJc w:val="left"/>
      <w:lvlText w:val="(%1)"/>
      <w:numFmt w:val="lowerLetter"/>
      <w:start w:val="2"/>
    </w:lvl>
  </w:abstractNum>
  <w:abstractNum w:abstractNumId="181">
    <w:nsid w:val="30AADFDA"/>
    <w:multiLevelType w:val="hybridMultilevel"/>
    <w:lvl w:ilvl="0">
      <w:lvlJc w:val="left"/>
      <w:lvlText w:val="(%1)"/>
      <w:numFmt w:val="lowerLetter"/>
      <w:start w:val="1"/>
    </w:lvl>
  </w:abstractNum>
  <w:abstractNum w:abstractNumId="182">
    <w:nsid w:val="30EADA61"/>
    <w:multiLevelType w:val="hybridMultilevel"/>
    <w:lvl w:ilvl="0">
      <w:lvlJc w:val="left"/>
      <w:lvlText w:val="(%1)"/>
      <w:numFmt w:val="lowerLetter"/>
      <w:start w:val="2"/>
    </w:lvl>
  </w:abstractNum>
  <w:abstractNum w:abstractNumId="183">
    <w:nsid w:val="27179C0B"/>
    <w:multiLevelType w:val="hybridMultilevel"/>
    <w:lvl w:ilvl="0">
      <w:lvlJc w:val="left"/>
      <w:lvlText w:val="(%1)"/>
      <w:numFmt w:val="lowerLetter"/>
      <w:start w:val="1"/>
    </w:lvl>
  </w:abstractNum>
  <w:abstractNum w:abstractNumId="184">
    <w:nsid w:val="5E636063"/>
    <w:multiLevelType w:val="hybridMultilevel"/>
    <w:lvl w:ilvl="0">
      <w:lvlJc w:val="left"/>
      <w:lvlText w:val="(%1)"/>
      <w:numFmt w:val="lowerLetter"/>
      <w:start w:val="1"/>
    </w:lvl>
  </w:abstractNum>
  <w:abstractNum w:abstractNumId="185">
    <w:nsid w:val="215641AF"/>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86">
    <w:nsid w:val="53280662"/>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187">
    <w:nsid w:val="46B24DBC"/>
    <w:multiLevelType w:val="hybridMultilevel"/>
    <w:lvl w:ilvl="0">
      <w:lvlJc w:val="left"/>
      <w:lvlText w:val="%1"/>
      <w:numFmt w:val="lowerLetter"/>
      <w:start w:val="1"/>
    </w:lvl>
    <w:lvl w:ilvl="1">
      <w:lvlJc w:val="left"/>
      <w:lvlText w:val="(%2)"/>
      <w:numFmt w:val="upperLetter"/>
      <w:start w:val="5"/>
    </w:lvl>
  </w:abstractNum>
  <w:abstractNum w:abstractNumId="188">
    <w:nsid w:val="75B52783"/>
    <w:multiLevelType w:val="hybridMultilevel"/>
    <w:lvl w:ilvl="0">
      <w:lvlJc w:val="left"/>
      <w:lvlText w:val="(%1)"/>
      <w:numFmt w:val="lowerLetter"/>
      <w:start w:val="3"/>
    </w:lvl>
    <w:lvl w:ilvl="1">
      <w:lvlJc w:val="left"/>
      <w:lvlText w:val="%2"/>
      <w:numFmt w:val="upperLetter"/>
      <w:start w:val="1"/>
    </w:lvl>
  </w:abstractNum>
  <w:abstractNum w:abstractNumId="189">
    <w:nsid w:val="57CE66B4"/>
    <w:multiLevelType w:val="hybridMultilevel"/>
    <w:lvl w:ilvl="0">
      <w:lvlJc w:val="left"/>
      <w:lvlText w:val="(%1)"/>
      <w:numFmt w:val="lowerLetter"/>
      <w:start w:val="6"/>
    </w:lvl>
  </w:abstractNum>
  <w:abstractNum w:abstractNumId="190">
    <w:nsid w:val="67A70B69"/>
    <w:multiLevelType w:val="hybridMultilevel"/>
    <w:lvl w:ilvl="0">
      <w:lvlJc w:val="left"/>
      <w:lvlText w:val="(%1)"/>
      <w:numFmt w:val="lowerRoman"/>
      <w:start w:val="3"/>
    </w:lvl>
  </w:abstractNum>
  <w:abstractNum w:abstractNumId="191">
    <w:nsid w:val="5953172F"/>
    <w:multiLevelType w:val="hybridMultilevel"/>
    <w:lvl w:ilvl="0">
      <w:lvlJc w:val="left"/>
      <w:lvlText w:val="(%1)"/>
      <w:numFmt w:val="lowerLetter"/>
      <w:start w:val="1"/>
    </w:lvl>
    <w:lvl w:ilvl="1">
      <w:lvlJc w:val="left"/>
      <w:lvlText w:val="(%2)"/>
      <w:numFmt w:val="lowerLetter"/>
      <w:start w:val="9"/>
    </w:lvl>
  </w:abstractNum>
  <w:abstractNum w:abstractNumId="192">
    <w:nsid w:val="27EDFE3A"/>
    <w:multiLevelType w:val="hybridMultilevel"/>
    <w:lvl w:ilvl="0">
      <w:lvlJc w:val="left"/>
      <w:lvlText w:val="(%1)"/>
      <w:numFmt w:val="lowerRoman"/>
      <w:start w:val="2"/>
    </w:lvl>
  </w:abstractNum>
  <w:abstractNum w:abstractNumId="193">
    <w:nsid w:val="52AC7DF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4"/>
    </w:lvl>
  </w:abstractNum>
  <w:abstractNum w:abstractNumId="194">
    <w:nsid w:val="C4C3AF"/>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95">
    <w:nsid w:val="44380727"/>
    <w:multiLevelType w:val="hybridMultilevel"/>
    <w:lvl w:ilvl="0">
      <w:lvlJc w:val="left"/>
      <w:lvlText w:val="%1."/>
      <w:numFmt w:val="upperLetter"/>
      <w:start w:val="61"/>
    </w:lvl>
    <w:lvl w:ilvl="1">
      <w:lvlJc w:val="left"/>
      <w:lvlText w:val="%2"/>
      <w:numFmt w:val="lowerLetter"/>
      <w:start w:val="1"/>
    </w:lvl>
    <w:lvl w:ilvl="2">
      <w:lvlJc w:val="left"/>
      <w:lvlText w:val="%3"/>
      <w:numFmt w:val="lowerLetter"/>
      <w:start w:val="1"/>
    </w:lvl>
  </w:abstractNum>
  <w:abstractNum w:abstractNumId="196">
    <w:nsid w:val="6C053B16"/>
    <w:multiLevelType w:val="hybridMultilevel"/>
    <w:lvl w:ilvl="0">
      <w:lvlJc w:val="left"/>
      <w:lvlText w:val="(%1)"/>
      <w:numFmt w:val="lowerLetter"/>
      <w:start w:val="1"/>
    </w:lvl>
  </w:abstractNum>
  <w:abstractNum w:abstractNumId="197">
    <w:nsid w:val="4F294393"/>
    <w:multiLevelType w:val="hybridMultilevel"/>
    <w:lvl w:ilvl="0">
      <w:lvlJc w:val="left"/>
      <w:lvlText w:val="(%1)"/>
      <w:numFmt w:val="lowerLetter"/>
      <w:start w:val="2"/>
    </w:lvl>
  </w:abstractNum>
  <w:abstractNum w:abstractNumId="198">
    <w:nsid w:val="5243BFAC"/>
    <w:multiLevelType w:val="hybridMultilevel"/>
    <w:lvl w:ilvl="0">
      <w:lvlJc w:val="left"/>
      <w:lvlText w:val="(%1)"/>
      <w:numFmt w:val="lowerLetter"/>
      <w:start w:val="1"/>
    </w:lvl>
  </w:abstractNum>
  <w:abstractNum w:abstractNumId="199">
    <w:nsid w:val="425EB207"/>
    <w:multiLevelType w:val="hybridMultilevel"/>
    <w:lvl w:ilvl="0">
      <w:lvlJc w:val="left"/>
      <w:lvlText w:val="(%1)"/>
      <w:numFmt w:val="lowerLetter"/>
      <w:start w:val="1"/>
    </w:lvl>
  </w:abstractNum>
  <w:abstractNum w:abstractNumId="200">
    <w:nsid w:val="334A6F1F"/>
    <w:multiLevelType w:val="hybridMultilevel"/>
    <w:lvl w:ilvl="0">
      <w:lvlJc w:val="left"/>
      <w:lvlText w:val="(%1)"/>
      <w:numFmt w:val="lowerLetter"/>
      <w:start w:val="1"/>
    </w:lvl>
  </w:abstractNum>
  <w:abstractNum w:abstractNumId="201">
    <w:nsid w:val="2E5B12B8"/>
    <w:multiLevelType w:val="hybridMultilevel"/>
    <w:lvl w:ilvl="0">
      <w:lvlJc w:val="left"/>
      <w:lvlText w:val="(%1)"/>
      <w:numFmt w:val="lowerLetter"/>
      <w:start w:val="1"/>
    </w:lvl>
  </w:abstractNum>
  <w:abstractNum w:abstractNumId="202">
    <w:nsid w:val="5C03D76D"/>
    <w:multiLevelType w:val="hybridMultilevel"/>
    <w:lvl w:ilvl="0">
      <w:lvlJc w:val="left"/>
      <w:lvlText w:val="(%1)"/>
      <w:numFmt w:val="lowerLetter"/>
      <w:start w:val="2"/>
    </w:lvl>
  </w:abstractNum>
  <w:abstractNum w:abstractNumId="203">
    <w:nsid w:val="66A48D11"/>
    <w:multiLevelType w:val="hybridMultilevel"/>
    <w:lvl w:ilvl="0">
      <w:lvlJc w:val="left"/>
      <w:lvlText w:val="(%1)"/>
      <w:numFmt w:val="lowerLetter"/>
      <w:start w:val="1"/>
    </w:lvl>
  </w:abstractNum>
  <w:abstractNum w:abstractNumId="204">
    <w:nsid w:val="56C28E34"/>
    <w:multiLevelType w:val="hybridMultilevel"/>
    <w:lvl w:ilvl="0">
      <w:lvlJc w:val="left"/>
      <w:lvlText w:val="(%1)"/>
      <w:numFmt w:val="lowerLetter"/>
      <w:start w:val="2"/>
    </w:lvl>
  </w:abstractNum>
  <w:abstractNum w:abstractNumId="205">
    <w:nsid w:val="13916F2D"/>
    <w:multiLevelType w:val="hybridMultilevel"/>
    <w:lvl w:ilvl="0">
      <w:lvlJc w:val="left"/>
      <w:lvlText w:val="(%1)"/>
      <w:numFmt w:val="lowerLetter"/>
      <w:start w:val="1"/>
    </w:lvl>
  </w:abstractNum>
  <w:abstractNum w:abstractNumId="206">
    <w:nsid w:val="435D38D"/>
    <w:multiLevelType w:val="hybridMultilevel"/>
    <w:lvl w:ilvl="0">
      <w:lvlJc w:val="left"/>
      <w:lvlText w:val="(%1)"/>
      <w:numFmt w:val="lowerLetter"/>
      <w:start w:val="5"/>
    </w:lvl>
    <w:lvl w:ilvl="1">
      <w:lvlJc w:val="left"/>
      <w:lvlText w:val="(%2)"/>
      <w:numFmt w:val="lowerRoman"/>
      <w:start w:val="1"/>
    </w:lvl>
  </w:abstractNum>
  <w:abstractNum w:abstractNumId="207">
    <w:nsid w:val="822C0E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08">
    <w:nsid w:val="57C5BB4F"/>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209">
    <w:nsid w:val="1803D08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10">
    <w:nsid w:val="4F3A06D4"/>
    <w:multiLevelType w:val="hybridMultilevel"/>
    <w:lvl w:ilvl="0">
      <w:lvlJc w:val="left"/>
      <w:lvlText w:val="(%1)"/>
      <w:numFmt w:val="lowerLetter"/>
      <w:start w:val="1"/>
    </w:lvl>
  </w:abstractNum>
  <w:abstractNum w:abstractNumId="211">
    <w:nsid w:val="59A377B6"/>
    <w:multiLevelType w:val="hybridMultilevel"/>
    <w:lvl w:ilvl="0">
      <w:lvlJc w:val="left"/>
      <w:lvlText w:val="(%1)"/>
      <w:numFmt w:val="lowerLetter"/>
      <w:start w:val="2"/>
    </w:lvl>
  </w:abstractNum>
  <w:abstractNum w:abstractNumId="212">
    <w:nsid w:val="48AEB063"/>
    <w:multiLevelType w:val="hybridMultilevel"/>
    <w:lvl w:ilvl="0">
      <w:lvlJc w:val="left"/>
      <w:lvlText w:val="(%1)"/>
      <w:numFmt w:val="lowerLetter"/>
      <w:start w:val="5"/>
    </w:lvl>
  </w:abstractNum>
  <w:abstractNum w:abstractNumId="213">
    <w:nsid w:val="24E135"/>
    <w:multiLevelType w:val="hybridMultilevel"/>
    <w:lvl w:ilvl="0">
      <w:lvlJc w:val="left"/>
      <w:lvlText w:val="(%1)"/>
      <w:numFmt w:val="decimal"/>
      <w:start w:val="1"/>
    </w:lvl>
  </w:abstractNum>
  <w:abstractNum w:abstractNumId="214">
    <w:nsid w:val="BB13C1"/>
    <w:multiLevelType w:val="hybridMultilevel"/>
    <w:lvl w:ilvl="0">
      <w:lvlJc w:val="left"/>
      <w:lvlText w:val="(%1)"/>
      <w:numFmt w:val="decimal"/>
      <w:start w:val="1"/>
    </w:lvl>
  </w:abstractNum>
  <w:abstractNum w:abstractNumId="215">
    <w:nsid w:val="271210C7"/>
    <w:multiLevelType w:val="hybridMultilevel"/>
    <w:lvl w:ilvl="0">
      <w:lvlJc w:val="left"/>
      <w:lvlText w:val="(%1)"/>
      <w:numFmt w:val="decimal"/>
      <w:start w:val="1"/>
    </w:lvl>
  </w:abstractNum>
  <w:abstractNum w:abstractNumId="216">
    <w:nsid w:val="217B22E4"/>
    <w:multiLevelType w:val="hybridMultilevel"/>
    <w:lvl w:ilvl="0">
      <w:lvlJc w:val="left"/>
      <w:lvlText w:val="(%1)"/>
      <w:numFmt w:val="decimal"/>
      <w:start w:val="2"/>
    </w:lvl>
  </w:abstractNum>
  <w:abstractNum w:abstractNumId="217">
    <w:nsid w:val="53E31A24"/>
    <w:multiLevelType w:val="hybridMultilevel"/>
    <w:lvl w:ilvl="0">
      <w:lvlJc w:val="left"/>
      <w:lvlText w:val="(%1)"/>
      <w:numFmt w:val="lowerRoman"/>
      <w:start w:val="3"/>
    </w:lvl>
  </w:abstractNum>
  <w:abstractNum w:abstractNumId="218">
    <w:nsid w:val="6DC45E83"/>
    <w:multiLevelType w:val="hybridMultilevel"/>
    <w:lvl w:ilvl="0">
      <w:lvlJc w:val="left"/>
      <w:lvlText w:val="%1"/>
      <w:numFmt w:val="lowerLetter"/>
      <w:start w:val="1"/>
    </w:lvl>
    <w:lvl w:ilvl="1">
      <w:lvlJc w:val="left"/>
      <w:lvlText w:val="(%2)"/>
      <w:numFmt w:val="lowerLetter"/>
      <w:start w:val="1"/>
    </w:lvl>
  </w:abstractNum>
  <w:abstractNum w:abstractNumId="219">
    <w:nsid w:val="17304A67"/>
    <w:multiLevelType w:val="hybridMultilevel"/>
    <w:lvl w:ilvl="0">
      <w:lvlJc w:val="left"/>
      <w:lvlText w:val="(%1)"/>
      <w:numFmt w:val="lowerLetter"/>
      <w:start w:val="35"/>
    </w:lvl>
    <w:lvl w:ilvl="1">
      <w:lvlJc w:val="left"/>
      <w:lvlText w:val="%2"/>
      <w:numFmt w:val="lowerLetter"/>
      <w:start w:val="1"/>
    </w:lvl>
  </w:abstractNum>
  <w:abstractNum w:abstractNumId="220">
    <w:nsid w:val="2BB180D8"/>
    <w:multiLevelType w:val="hybridMultilevel"/>
    <w:lvl w:ilvl="0">
      <w:lvlJc w:val="left"/>
      <w:lvlText w:val="(%1)"/>
      <w:numFmt w:val="lowerLetter"/>
      <w:start w:val="1"/>
    </w:lvl>
  </w:abstractNum>
  <w:abstractNum w:abstractNumId="221">
    <w:nsid w:val="556B69ED"/>
    <w:multiLevelType w:val="hybridMultilevel"/>
    <w:lvl w:ilvl="0">
      <w:lvlJc w:val="left"/>
      <w:lvlText w:val="(%1)"/>
      <w:numFmt w:val="lowerLetter"/>
      <w:start w:val="2"/>
    </w:lvl>
  </w:abstractNum>
  <w:abstractNum w:abstractNumId="222">
    <w:nsid w:val="70836196"/>
    <w:multiLevelType w:val="hybridMultilevel"/>
    <w:lvl w:ilvl="0">
      <w:lvlJc w:val="left"/>
      <w:lvlText w:val="(%1)"/>
      <w:numFmt w:val="upperLetter"/>
      <w:start w:val="5"/>
    </w:lvl>
    <w:lvl w:ilvl="1">
      <w:lvlJc w:val="left"/>
      <w:lvlText w:val="(%2)"/>
      <w:numFmt w:val="lowerLetter"/>
      <w:start w:val="7"/>
    </w:lvl>
  </w:abstractNum>
  <w:abstractNum w:abstractNumId="223">
    <w:nsid w:val="539F7F12"/>
    <w:multiLevelType w:val="hybridMultilevel"/>
    <w:lvl w:ilvl="0">
      <w:lvlJc w:val="left"/>
      <w:lvlText w:val="(%1)"/>
      <w:numFmt w:val="lowerLetter"/>
      <w:start w:val="9"/>
    </w:lvl>
  </w:abstractNum>
  <w:abstractNum w:abstractNumId="224">
    <w:nsid w:val="2817E7EC"/>
    <w:multiLevelType w:val="hybridMultilevel"/>
    <w:lvl w:ilvl="0">
      <w:lvlJc w:val="left"/>
      <w:lvlText w:val="%1."/>
      <w:numFmt w:val="upperLetter"/>
      <w:start w:val="22"/>
    </w:lvl>
  </w:abstractNum>
  <w:abstractNum w:abstractNumId="225">
    <w:nsid w:val="71482545"/>
    <w:multiLevelType w:val="hybridMultilevel"/>
    <w:lvl w:ilvl="0">
      <w:lvlJc w:val="left"/>
      <w:lvlText w:val="(%1)"/>
      <w:numFmt w:val="lowerLetter"/>
      <w:start w:val="1"/>
    </w:lvl>
  </w:abstractNum>
  <w:abstractNum w:abstractNumId="226">
    <w:nsid w:val="17D78639"/>
    <w:multiLevelType w:val="hybridMultilevel"/>
    <w:lvl w:ilvl="0">
      <w:lvlJc w:val="left"/>
      <w:lvlText w:val="(%1)"/>
      <w:numFmt w:val="lowerLetter"/>
      <w:start w:val="1"/>
    </w:lvl>
  </w:abstractNum>
  <w:abstractNum w:abstractNumId="227">
    <w:nsid w:val="141D2302"/>
    <w:multiLevelType w:val="hybridMultilevel"/>
    <w:lvl w:ilvl="0">
      <w:lvlJc w:val="left"/>
      <w:lvlText w:val="(%1)"/>
      <w:numFmt w:val="lowerLetter"/>
      <w:start w:val="1"/>
    </w:lvl>
  </w:abstractNum>
  <w:abstractNum w:abstractNumId="228">
    <w:nsid w:val="407168D8"/>
    <w:multiLevelType w:val="hybridMultilevel"/>
    <w:lvl w:ilvl="0">
      <w:lvlJc w:val="left"/>
      <w:lvlText w:val="(%1)"/>
      <w:numFmt w:val="lowerLetter"/>
      <w:start w:val="1"/>
    </w:lvl>
  </w:abstractNum>
  <w:abstractNum w:abstractNumId="229">
    <w:nsid w:val="6A1B45E5"/>
    <w:multiLevelType w:val="hybridMultilevel"/>
    <w:lvl w:ilvl="0">
      <w:lvlJc w:val="left"/>
      <w:lvlText w:val="(%1)"/>
      <w:numFmt w:val="lowerLetter"/>
      <w:start w:val="1"/>
    </w:lvl>
  </w:abstractNum>
  <w:abstractNum w:abstractNumId="230">
    <w:nsid w:val="567BD50A"/>
    <w:multiLevelType w:val="hybridMultilevel"/>
    <w:lvl w:ilvl="0">
      <w:lvlJc w:val="left"/>
      <w:lvlText w:val="(%1)"/>
      <w:numFmt w:val="lowerLetter"/>
      <w:start w:val="1"/>
    </w:lvl>
  </w:abstractNum>
  <w:abstractNum w:abstractNumId="231">
    <w:nsid w:val="73BBD7F8"/>
    <w:multiLevelType w:val="hybridMultilevel"/>
    <w:lvl w:ilvl="0">
      <w:lvlJc w:val="left"/>
      <w:lvlText w:val="(%1)"/>
      <w:numFmt w:val="lowerLetter"/>
      <w:start w:val="4"/>
    </w:lvl>
  </w:abstractNum>
  <w:abstractNum w:abstractNumId="232">
    <w:nsid w:val="1876589D"/>
    <w:multiLevelType w:val="hybridMultilevel"/>
    <w:lvl w:ilvl="0">
      <w:lvlJc w:val="left"/>
      <w:lvlText w:val="(%1)"/>
      <w:numFmt w:val="lowerLetter"/>
      <w:start w:val="1"/>
    </w:lvl>
  </w:abstractNum>
  <w:abstractNum w:abstractNumId="233">
    <w:nsid w:val="327FAC77"/>
    <w:multiLevelType w:val="hybridMultilevel"/>
    <w:lvl w:ilvl="0">
      <w:lvlJc w:val="left"/>
      <w:lvlText w:val="(%1)"/>
      <w:numFmt w:val="lowerLetter"/>
      <w:start w:val="2"/>
    </w:lvl>
  </w:abstractNum>
  <w:abstractNum w:abstractNumId="234">
    <w:nsid w:val="5A606509"/>
    <w:multiLevelType w:val="hybridMultilevel"/>
    <w:lvl w:ilvl="0">
      <w:lvlJc w:val="left"/>
      <w:lvlText w:val="(%1)"/>
      <w:numFmt w:val="lowerLetter"/>
      <w:start w:val="1"/>
    </w:lvl>
  </w:abstractNum>
  <w:abstractNum w:abstractNumId="235">
    <w:nsid w:val="6F38E6D1"/>
    <w:multiLevelType w:val="hybridMultilevel"/>
    <w:lvl w:ilvl="0">
      <w:lvlJc w:val="left"/>
      <w:lvlText w:val="(%1)"/>
      <w:numFmt w:val="lowerRoman"/>
      <w:start w:val="5"/>
    </w:lvl>
  </w:abstractNum>
  <w:abstractNum w:abstractNumId="236">
    <w:nsid w:val="46111BA5"/>
    <w:multiLevelType w:val="hybridMultilevel"/>
    <w:lvl w:ilvl="0">
      <w:lvlJc w:val="left"/>
      <w:lvlText w:val="(%1)"/>
      <w:numFmt w:val="lowerLetter"/>
      <w:start w:val="1"/>
    </w:lvl>
  </w:abstractNum>
  <w:abstractNum w:abstractNumId="237">
    <w:nsid w:val="5E963896"/>
    <w:multiLevelType w:val="hybridMultilevel"/>
    <w:lvl w:ilvl="0">
      <w:lvlJc w:val="left"/>
      <w:lvlText w:val="(%1)"/>
      <w:numFmt w:val="lowerLetter"/>
      <w:start w:val="2"/>
    </w:lvl>
  </w:abstractNum>
  <w:abstractNum w:abstractNumId="238">
    <w:nsid w:val="775BA7C1"/>
    <w:multiLevelType w:val="hybridMultilevel"/>
    <w:lvl w:ilvl="0">
      <w:lvlJc w:val="left"/>
      <w:lvlText w:val="(%1)"/>
      <w:numFmt w:val="lowerLetter"/>
      <w:start w:val="1"/>
    </w:lvl>
  </w:abstractNum>
  <w:abstractNum w:abstractNumId="239">
    <w:nsid w:val="1DD6D6F4"/>
    <w:multiLevelType w:val="hybridMultilevel"/>
    <w:lvl w:ilvl="0">
      <w:lvlJc w:val="left"/>
      <w:lvlText w:val="(%1)"/>
      <w:numFmt w:val="lowerLetter"/>
      <w:start w:val="4"/>
    </w:lvl>
  </w:abstractNum>
  <w:abstractNum w:abstractNumId="240">
    <w:nsid w:val="769A091F"/>
    <w:multiLevelType w:val="hybridMultilevel"/>
    <w:lvl w:ilvl="0">
      <w:lvlJc w:val="left"/>
      <w:lvlText w:val="(%1)"/>
      <w:numFmt w:val="lowerLetter"/>
      <w:start w:val="12"/>
    </w:lvl>
  </w:abstractNum>
  <w:abstractNum w:abstractNumId="241">
    <w:nsid w:val="4695AE95"/>
    <w:multiLevelType w:val="hybridMultilevel"/>
    <w:lvl w:ilvl="0">
      <w:lvlJc w:val="left"/>
      <w:lvlText w:val="%1"/>
      <w:numFmt w:val="upperLetter"/>
      <w:start w:val="1"/>
    </w:lvl>
    <w:lvl w:ilvl="1">
      <w:lvlJc w:val="left"/>
      <w:lvlText w:val="(%2)"/>
      <w:numFmt w:val="lowerLetter"/>
      <w:start w:val="15"/>
    </w:lvl>
  </w:abstractNum>
  <w:abstractNum w:abstractNumId="242">
    <w:nsid w:val="777A4EAA"/>
    <w:multiLevelType w:val="hybridMultilevel"/>
    <w:lvl w:ilvl="0">
      <w:lvlJc w:val="left"/>
      <w:lvlText w:val="(%1)"/>
      <w:numFmt w:val="upperLetter"/>
      <w:start w:val="2"/>
    </w:lvl>
    <w:lvl w:ilvl="1">
      <w:lvlJc w:val="left"/>
      <w:lvlText w:val="(%2)"/>
      <w:numFmt w:val="lowerLetter"/>
      <w:start w:val="16"/>
    </w:lvl>
  </w:abstractNum>
  <w:abstractNum w:abstractNumId="243">
    <w:nsid w:val="3F48B982"/>
    <w:multiLevelType w:val="hybridMultilevel"/>
    <w:lvl w:ilvl="0">
      <w:lvlJc w:val="left"/>
      <w:lvlText w:val="(%1)"/>
      <w:numFmt w:val="lowerLetter"/>
      <w:start w:val="25"/>
    </w:lvl>
  </w:abstractNum>
  <w:abstractNum w:abstractNumId="244">
    <w:nsid w:val="46BA8FCA"/>
    <w:multiLevelType w:val="hybridMultilevel"/>
    <w:lvl w:ilvl="0">
      <w:lvlJc w:val="left"/>
      <w:lvlText w:val="(%1)"/>
      <w:numFmt w:val="lowerLetter"/>
      <w:start w:val="27"/>
    </w:lvl>
  </w:abstractNum>
  <w:abstractNum w:abstractNumId="245">
    <w:nsid w:val="7835626C"/>
    <w:multiLevelType w:val="hybridMultilevel"/>
    <w:lvl w:ilvl="0">
      <w:lvlJc w:val="left"/>
      <w:lvlText w:val="(%1)"/>
      <w:numFmt w:val="lowerLetter"/>
      <w:start w:val="1"/>
    </w:lvl>
  </w:abstractNum>
  <w:abstractNum w:abstractNumId="246">
    <w:nsid w:val="665ACA49"/>
    <w:multiLevelType w:val="hybridMultilevel"/>
    <w:lvl w:ilvl="0">
      <w:lvlJc w:val="left"/>
      <w:lvlText w:val="(%1)"/>
      <w:numFmt w:val="lowerLetter"/>
      <w:start w:val="1"/>
    </w:lvl>
  </w:abstractNum>
  <w:abstractNum w:abstractNumId="247">
    <w:nsid w:val="6835B2AE"/>
    <w:multiLevelType w:val="hybridMultilevel"/>
    <w:lvl w:ilvl="0">
      <w:lvlJc w:val="left"/>
      <w:lvlText w:val="(%1)"/>
      <w:numFmt w:val="lowerLetter"/>
      <w:start w:val="3"/>
    </w:lvl>
  </w:abstractNum>
  <w:abstractNum w:abstractNumId="248">
    <w:nsid w:val="4C187C90"/>
    <w:multiLevelType w:val="hybridMultilevel"/>
    <w:lvl w:ilvl="0">
      <w:lvlJc w:val="left"/>
      <w:lvlText w:val="%1."/>
      <w:numFmt w:val="upperLetter"/>
      <w:start w:val="24"/>
    </w:lvl>
  </w:abstractNum>
  <w:abstractNum w:abstractNumId="249">
    <w:nsid w:val="541F28CD"/>
    <w:multiLevelType w:val="hybridMultilevel"/>
    <w:lvl w:ilvl="0">
      <w:lvlJc w:val="left"/>
      <w:lvlText w:val="(%1)"/>
      <w:numFmt w:val="lowerLetter"/>
      <w:start w:val="1"/>
    </w:lvl>
  </w:abstractNum>
  <w:abstractNum w:abstractNumId="250">
    <w:nsid w:val="7F65FD16"/>
    <w:multiLevelType w:val="hybridMultilevel"/>
    <w:lvl w:ilvl="0">
      <w:lvlJc w:val="left"/>
      <w:lvlText w:val="(%1)"/>
      <w:numFmt w:val="lowerLetter"/>
      <w:start w:val="2"/>
    </w:lvl>
  </w:abstractNum>
  <w:abstractNum w:abstractNumId="251">
    <w:nsid w:val="77C9FD68"/>
    <w:multiLevelType w:val="hybridMultilevel"/>
    <w:lvl w:ilvl="0">
      <w:lvlJc w:val="left"/>
      <w:lvlText w:val="(%1)"/>
      <w:numFmt w:val="lowerRoman"/>
      <w:start w:val="12"/>
    </w:lvl>
  </w:abstractNum>
  <w:abstractNum w:abstractNumId="252">
    <w:nsid w:val="298A92BA"/>
    <w:multiLevelType w:val="hybridMultilevel"/>
    <w:lvl w:ilvl="0">
      <w:lvlJc w:val="left"/>
      <w:lvlText w:val="%1"/>
      <w:numFmt w:val="lowerLetter"/>
      <w:start w:val="1"/>
    </w:lvl>
    <w:lvl w:ilvl="1">
      <w:lvlJc w:val="left"/>
      <w:lvlText w:val="(%2)"/>
      <w:numFmt w:val="lowerLetter"/>
      <w:start w:val="1"/>
    </w:lvl>
  </w:abstractNum>
  <w:abstractNum w:abstractNumId="253">
    <w:nsid w:val="6FE95EAC"/>
    <w:multiLevelType w:val="hybridMultilevel"/>
    <w:lvl w:ilvl="0">
      <w:lvlJc w:val="left"/>
      <w:lvlText w:val="(%1)"/>
      <w:numFmt w:val="lowerLetter"/>
      <w:start w:val="9"/>
    </w:lvl>
    <w:lvl w:ilvl="1">
      <w:lvlJc w:val="left"/>
      <w:lvlText w:val="(%2)"/>
      <w:numFmt w:val="lowerLetter"/>
      <w:start w:val="2"/>
    </w:lvl>
  </w:abstractNum>
  <w:abstractNum w:abstractNumId="254">
    <w:nsid w:val="4B697C7A"/>
    <w:multiLevelType w:val="hybridMultilevel"/>
    <w:lvl w:ilvl="0">
      <w:lvlJc w:val="left"/>
      <w:lvlText w:val="(%1)"/>
      <w:numFmt w:val="lowerLetter"/>
      <w:start w:val="3"/>
    </w:lvl>
  </w:abstractNum>
  <w:abstractNum w:abstractNumId="255">
    <w:nsid w:val="51A27AA6"/>
    <w:multiLevelType w:val="hybridMultilevel"/>
    <w:lvl w:ilvl="0">
      <w:lvlJc w:val="left"/>
      <w:lvlText w:val="(%1)"/>
      <w:numFmt w:val="lowerLetter"/>
      <w:start w:val="1"/>
    </w:lvl>
    <w:lvl w:ilvl="1">
      <w:lvlJc w:val="left"/>
      <w:lvlText w:val="(%2)"/>
      <w:numFmt w:val="lowerRoman"/>
      <w:start w:val="1"/>
    </w:lvl>
  </w:abstractNum>
  <w:abstractNum w:abstractNumId="256">
    <w:nsid w:val="613183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57">
    <w:nsid w:val="634102B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8">
    <w:nsid w:val="65BF9DA8"/>
    <w:multiLevelType w:val="hybridMultilevel"/>
    <w:lvl w:ilvl="0">
      <w:lvlJc w:val="left"/>
      <w:lvlText w:val="(%1)"/>
      <w:numFmt w:val="decimal"/>
      <w:start w:val="45"/>
    </w:lvl>
    <w:lvl w:ilvl="1">
      <w:lvlJc w:val="left"/>
      <w:lvlText w:val="(%2)"/>
      <w:numFmt w:val="lowerLetter"/>
      <w:start w:val="5"/>
    </w:lvl>
    <w:lvl w:ilvl="2">
      <w:lvlJc w:val="left"/>
      <w:lvlText w:val="%3"/>
      <w:numFmt w:val="lowerRoman"/>
      <w:start w:val="1"/>
    </w:lvl>
  </w:abstractNum>
  <w:abstractNum w:abstractNumId="259">
    <w:nsid w:val="21A2ECCA"/>
    <w:multiLevelType w:val="hybridMultilevel"/>
    <w:lvl w:ilvl="0">
      <w:lvlJc w:val="left"/>
      <w:lvlText w:val="(%1)"/>
      <w:numFmt w:val="lowerLetter"/>
      <w:start w:val="6"/>
    </w:lvl>
  </w:abstractNum>
  <w:abstractNum w:abstractNumId="260">
    <w:nsid w:val="4D5C4899"/>
    <w:multiLevelType w:val="hybridMultilevel"/>
    <w:lvl w:ilvl="0">
      <w:lvlJc w:val="left"/>
      <w:lvlText w:val="(%1)"/>
      <w:numFmt w:val="lowerLetter"/>
      <w:start w:val="1"/>
    </w:lvl>
  </w:abstractNum>
  <w:abstractNum w:abstractNumId="261">
    <w:nsid w:val="3C3B72B2"/>
    <w:multiLevelType w:val="hybridMultilevel"/>
    <w:lvl w:ilvl="0">
      <w:lvlJc w:val="left"/>
      <w:lvlText w:val="(%1)"/>
      <w:numFmt w:val="lowerLetter"/>
      <w:start w:val="4"/>
    </w:lvl>
  </w:abstractNum>
  <w:abstractNum w:abstractNumId="262">
    <w:nsid w:val="155EC4C2"/>
    <w:multiLevelType w:val="hybridMultilevel"/>
    <w:lvl w:ilvl="0">
      <w:lvlJc w:val="left"/>
      <w:lvlText w:val="(%1)"/>
      <w:numFmt w:val="lowerLetter"/>
      <w:start w:val="1"/>
    </w:lvl>
  </w:abstractNum>
  <w:abstractNum w:abstractNumId="263">
    <w:nsid w:val="65D2A137"/>
    <w:multiLevelType w:val="hybridMultilevel"/>
    <w:lvl w:ilvl="0">
      <w:lvlJc w:val="left"/>
      <w:lvlText w:val="(%1)"/>
      <w:numFmt w:val="lowerLetter"/>
      <w:start w:val="4"/>
    </w:lvl>
  </w:abstractNum>
  <w:abstractNum w:abstractNumId="264">
    <w:nsid w:val="6EBB1F2A"/>
    <w:multiLevelType w:val="hybridMultilevel"/>
    <w:lvl w:ilvl="0">
      <w:lvlJc w:val="left"/>
      <w:lvlText w:val="(%1)"/>
      <w:numFmt w:val="upperLetter"/>
      <w:start w:val="1"/>
    </w:lvl>
  </w:abstractNum>
  <w:abstractNum w:abstractNumId="265">
    <w:nsid w:val="6FBF29CB"/>
    <w:multiLevelType w:val="hybridMultilevel"/>
    <w:lvl w:ilvl="0">
      <w:lvlJc w:val="left"/>
      <w:lvlText w:val="(%1)"/>
      <w:numFmt w:val="lowerLetter"/>
      <w:start w:val="1"/>
    </w:lvl>
  </w:abstractNum>
  <w:abstractNum w:abstractNumId="266">
    <w:nsid w:val="550B8808"/>
    <w:multiLevelType w:val="hybridMultilevel"/>
    <w:lvl w:ilvl="0">
      <w:lvlJc w:val="left"/>
      <w:lvlText w:val="%1"/>
      <w:numFmt w:val="lowerLetter"/>
      <w:start w:val="1"/>
    </w:lvl>
    <w:lvl w:ilvl="1">
      <w:lvlJc w:val="left"/>
      <w:lvlText w:val="(%2)"/>
      <w:numFmt w:val="lowerLetter"/>
      <w:start w:val="1"/>
    </w:lvl>
  </w:abstractNum>
  <w:abstractNum w:abstractNumId="267">
    <w:nsid w:val="34CC3ACF"/>
    <w:multiLevelType w:val="hybridMultilevel"/>
    <w:lvl w:ilvl="0">
      <w:lvlJc w:val="left"/>
      <w:lvlText w:val="(%1)"/>
      <w:numFmt w:val="lowerLetter"/>
      <w:start w:val="61"/>
    </w:lvl>
    <w:lvl w:ilvl="1">
      <w:lvlJc w:val="left"/>
      <w:lvlText w:val="%2"/>
      <w:numFmt w:val="lowerLetter"/>
      <w:start w:val="1"/>
    </w:lvl>
  </w:abstractNum>
  <w:abstractNum w:abstractNumId="268">
    <w:nsid w:val="4E556261"/>
    <w:multiLevelType w:val="hybridMultilevel"/>
    <w:lvl w:ilvl="0">
      <w:lvlJc w:val="left"/>
      <w:lvlText w:val="%1."/>
      <w:numFmt w:val="decimal"/>
      <w:start w:val="1"/>
    </w:lvl>
    <w:lvl w:ilvl="1">
      <w:lvlJc w:val="left"/>
      <w:lvlText w:val="(%2)"/>
      <w:numFmt w:val="lowerLetter"/>
      <w:start w:val="1"/>
    </w:lvl>
  </w:abstractNum>
  <w:abstractNum w:abstractNumId="269">
    <w:nsid w:val="4C672FC9"/>
    <w:multiLevelType w:val="hybridMultilevel"/>
    <w:lvl w:ilvl="0">
      <w:lvlJc w:val="left"/>
      <w:lvlText w:val="%1."/>
      <w:numFmt w:val="decimal"/>
      <w:start w:val="1"/>
    </w:lvl>
    <w:lvl w:ilvl="1">
      <w:lvlJc w:val="left"/>
      <w:lvlText w:val="(%2)"/>
      <w:numFmt w:val="lowerLetter"/>
      <w:start w:val="1"/>
    </w:lvl>
  </w:abstractNum>
  <w:abstractNum w:abstractNumId="270">
    <w:nsid w:val="52A311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340" Type="http://schemas.openxmlformats.org/officeDocument/2006/relationships/image" Target="media/image299.png"/><Relationship Id="rId341" Type="http://schemas.openxmlformats.org/officeDocument/2006/relationships/image" Target="media/image300.png"/><Relationship Id="rId342"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49" Type="http://schemas.openxmlformats.org/officeDocument/2006/relationships/image" Target="media/image308.png"/><Relationship Id="rId350" Type="http://schemas.openxmlformats.org/officeDocument/2006/relationships/image" Target="media/image309.png"/><Relationship Id="rId351" Type="http://schemas.openxmlformats.org/officeDocument/2006/relationships/image" Target="media/image310.png"/><Relationship Id="rId352" Type="http://schemas.openxmlformats.org/officeDocument/2006/relationships/image" Target="media/image311.png"/><Relationship Id="rId353" Type="http://schemas.openxmlformats.org/officeDocument/2006/relationships/image" Target="media/image312.png"/><Relationship Id="rId354" Type="http://schemas.openxmlformats.org/officeDocument/2006/relationships/image" Target="media/image313.png"/><Relationship Id="rId355" Type="http://schemas.openxmlformats.org/officeDocument/2006/relationships/image" Target="media/image314.png"/><Relationship Id="rId356" Type="http://schemas.openxmlformats.org/officeDocument/2006/relationships/image" Target="media/image315.png"/><Relationship Id="rId357" Type="http://schemas.openxmlformats.org/officeDocument/2006/relationships/image" Target="media/image316.png"/><Relationship Id="rId358" Type="http://schemas.openxmlformats.org/officeDocument/2006/relationships/image" Target="media/image317.png"/><Relationship Id="rId359" Type="http://schemas.openxmlformats.org/officeDocument/2006/relationships/image" Target="media/image318.png"/><Relationship Id="rId360" Type="http://schemas.openxmlformats.org/officeDocument/2006/relationships/image" Target="media/image319.png"/><Relationship Id="rId361" Type="http://schemas.openxmlformats.org/officeDocument/2006/relationships/image" Target="media/image320.png"/><Relationship Id="rId362" Type="http://schemas.openxmlformats.org/officeDocument/2006/relationships/image" Target="media/image321.png"/><Relationship Id="rId363" Type="http://schemas.openxmlformats.org/officeDocument/2006/relationships/image" Target="media/image322.png"/><Relationship Id="rId364" Type="http://schemas.openxmlformats.org/officeDocument/2006/relationships/image" Target="media/image323.png"/><Relationship Id="rId365" Type="http://schemas.openxmlformats.org/officeDocument/2006/relationships/image" Target="media/image324.png"/><Relationship Id="rId366" Type="http://schemas.openxmlformats.org/officeDocument/2006/relationships/image" Target="media/image325.png"/><Relationship Id="rId367" Type="http://schemas.openxmlformats.org/officeDocument/2006/relationships/image" Target="media/image326.png"/><Relationship Id="rId368" Type="http://schemas.openxmlformats.org/officeDocument/2006/relationships/image" Target="media/image327.png"/><Relationship Id="rId369" Type="http://schemas.openxmlformats.org/officeDocument/2006/relationships/image" Target="media/image328.png"/><Relationship Id="rId370" Type="http://schemas.openxmlformats.org/officeDocument/2006/relationships/image" Target="media/image329.png"/><Relationship Id="rId371" Type="http://schemas.openxmlformats.org/officeDocument/2006/relationships/image" Target="media/image330.png"/><Relationship Id="rId372" Type="http://schemas.openxmlformats.org/officeDocument/2006/relationships/image" Target="media/image331.png"/><Relationship Id="rId373" Type="http://schemas.openxmlformats.org/officeDocument/2006/relationships/image" Target="media/image332.png"/><Relationship Id="rId374" Type="http://schemas.openxmlformats.org/officeDocument/2006/relationships/image" Target="media/image333.png"/><Relationship Id="rId375" Type="http://schemas.openxmlformats.org/officeDocument/2006/relationships/image" Target="media/image334.png"/><Relationship Id="rId376" Type="http://schemas.openxmlformats.org/officeDocument/2006/relationships/image" Target="media/image335.png"/><Relationship Id="rId377"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0" Type="http://schemas.openxmlformats.org/officeDocument/2006/relationships/image" Target="media/image339.png"/><Relationship Id="rId381" Type="http://schemas.openxmlformats.org/officeDocument/2006/relationships/image" Target="media/image340.png"/><Relationship Id="rId382" Type="http://schemas.openxmlformats.org/officeDocument/2006/relationships/image" Target="media/image341.png"/><Relationship Id="rId383" Type="http://schemas.openxmlformats.org/officeDocument/2006/relationships/image" Target="media/image342.png"/><Relationship Id="rId384" Type="http://schemas.openxmlformats.org/officeDocument/2006/relationships/image" Target="media/image343.png"/><Relationship Id="rId385" Type="http://schemas.openxmlformats.org/officeDocument/2006/relationships/image" Target="media/image344.png"/><Relationship Id="rId386" Type="http://schemas.openxmlformats.org/officeDocument/2006/relationships/image" Target="media/image345.png"/><Relationship Id="rId387" Type="http://schemas.openxmlformats.org/officeDocument/2006/relationships/image" Target="media/image346.png"/><Relationship Id="rId388" Type="http://schemas.openxmlformats.org/officeDocument/2006/relationships/image" Target="media/image347.png"/><Relationship Id="rId389" Type="http://schemas.openxmlformats.org/officeDocument/2006/relationships/image" Target="media/image348.png"/><Relationship Id="rId390" Type="http://schemas.openxmlformats.org/officeDocument/2006/relationships/image" Target="media/image349.png"/><Relationship Id="rId391" Type="http://schemas.openxmlformats.org/officeDocument/2006/relationships/image" Target="media/image350.png"/><Relationship Id="rId392" Type="http://schemas.openxmlformats.org/officeDocument/2006/relationships/image" Target="media/image351.png"/><Relationship Id="rId393" Type="http://schemas.openxmlformats.org/officeDocument/2006/relationships/image" Target="media/image352.png"/><Relationship Id="rId394" Type="http://schemas.openxmlformats.org/officeDocument/2006/relationships/image" Target="media/image353.png"/><Relationship Id="rId395" Type="http://schemas.openxmlformats.org/officeDocument/2006/relationships/image" Target="media/image354.png"/><Relationship Id="rId396" Type="http://schemas.openxmlformats.org/officeDocument/2006/relationships/image" Target="media/image355.png"/><Relationship Id="rId397" Type="http://schemas.openxmlformats.org/officeDocument/2006/relationships/image" Target="media/image356.png"/><Relationship Id="rId398" Type="http://schemas.openxmlformats.org/officeDocument/2006/relationships/image" Target="media/image357.png"/><Relationship Id="rId399" Type="http://schemas.openxmlformats.org/officeDocument/2006/relationships/image" Target="media/image358.png"/><Relationship Id="rId400" Type="http://schemas.openxmlformats.org/officeDocument/2006/relationships/image" Target="media/image359.png"/><Relationship Id="rId401" Type="http://schemas.openxmlformats.org/officeDocument/2006/relationships/image" Target="media/image360.png"/><Relationship Id="rId402" Type="http://schemas.openxmlformats.org/officeDocument/2006/relationships/image" Target="media/image361.png"/><Relationship Id="rId403" Type="http://schemas.openxmlformats.org/officeDocument/2006/relationships/image" Target="media/image362.png"/><Relationship Id="rId404" Type="http://schemas.openxmlformats.org/officeDocument/2006/relationships/image" Target="media/image363.png"/><Relationship Id="rId405" Type="http://schemas.openxmlformats.org/officeDocument/2006/relationships/image" Target="media/image364.png"/><Relationship Id="rId406" Type="http://schemas.openxmlformats.org/officeDocument/2006/relationships/image" Target="media/image365.png"/><Relationship Id="rId407" Type="http://schemas.openxmlformats.org/officeDocument/2006/relationships/image" Target="media/image366.png"/><Relationship Id="rId408" Type="http://schemas.openxmlformats.org/officeDocument/2006/relationships/image" Target="media/image367.png"/><Relationship Id="rId409" Type="http://schemas.openxmlformats.org/officeDocument/2006/relationships/image" Target="media/image368.png"/><Relationship Id="rId410" Type="http://schemas.openxmlformats.org/officeDocument/2006/relationships/image" Target="media/image369.png"/><Relationship Id="rId411" Type="http://schemas.openxmlformats.org/officeDocument/2006/relationships/image" Target="media/image370.png"/><Relationship Id="rId412" Type="http://schemas.openxmlformats.org/officeDocument/2006/relationships/image" Target="media/image371.png"/><Relationship Id="rId413" Type="http://schemas.openxmlformats.org/officeDocument/2006/relationships/image" Target="media/image372.png"/><Relationship Id="rId414" Type="http://schemas.openxmlformats.org/officeDocument/2006/relationships/image" Target="media/image373.png"/><Relationship Id="rId415" Type="http://schemas.openxmlformats.org/officeDocument/2006/relationships/image" Target="media/image374.png"/><Relationship Id="rId416" Type="http://schemas.openxmlformats.org/officeDocument/2006/relationships/image" Target="media/image375.png"/><Relationship Id="rId417" Type="http://schemas.openxmlformats.org/officeDocument/2006/relationships/image" Target="media/image376.png"/><Relationship Id="rId418" Type="http://schemas.openxmlformats.org/officeDocument/2006/relationships/image" Target="media/image377.png"/><Relationship Id="rId419" Type="http://schemas.openxmlformats.org/officeDocument/2006/relationships/image" Target="media/image378.png"/><Relationship Id="rId420" Type="http://schemas.openxmlformats.org/officeDocument/2006/relationships/image" Target="media/image379.png"/><Relationship Id="rId421" Type="http://schemas.openxmlformats.org/officeDocument/2006/relationships/image" Target="media/image380.png"/><Relationship Id="rId422" Type="http://schemas.openxmlformats.org/officeDocument/2006/relationships/image" Target="media/image381.png"/><Relationship Id="rId423" Type="http://schemas.openxmlformats.org/officeDocument/2006/relationships/image" Target="media/image382.png"/><Relationship Id="rId424" Type="http://schemas.openxmlformats.org/officeDocument/2006/relationships/image" Target="media/image383.png"/><Relationship Id="rId425" Type="http://schemas.openxmlformats.org/officeDocument/2006/relationships/image" Target="media/image384.png"/><Relationship Id="rId151" Type="http://schemas.openxmlformats.org/officeDocument/2006/relationships/hyperlink" Target="https://www.sec.gov/Archives/edgar/data/1720420/000114036120016905/nt10006851x7_ex3-1.htm" TargetMode="External"/><Relationship Id="rId152" Type="http://schemas.openxmlformats.org/officeDocument/2006/relationships/hyperlink" Target="https://www.sec.gov/Archives/edgar/data/1720420/000114036120023623/brhc10015867_ex1-2.htm" TargetMode="External"/><Relationship Id="rId153" Type="http://schemas.openxmlformats.org/officeDocument/2006/relationships/hyperlink" Target="https://www.sec.gov/Archives/edgar/data/1720420/000114036120015829/nt10006851x6_ex10-1.htm" TargetMode="External"/><Relationship Id="rId154" Type="http://schemas.openxmlformats.org/officeDocument/2006/relationships/hyperlink" Target="https://www.sec.gov/Archives/edgar/data/1720420/000114036120015829/nt10006851x6_ex10-2.htm" TargetMode="External"/><Relationship Id="rId155" Type="http://schemas.openxmlformats.org/officeDocument/2006/relationships/hyperlink" Target="https://www.sec.gov/Archives/edgar/data/1720420/000114036120015829/nt10006851x6_ex10-3.htm" TargetMode="External"/><Relationship Id="rId156" Type="http://schemas.openxmlformats.org/officeDocument/2006/relationships/hyperlink" Target="https://www.sec.gov/Archives/edgar/data/1720420/000114036120015829/nt10006851x6_ex10-4.htm" TargetMode="External"/><Relationship Id="rId157" Type="http://schemas.openxmlformats.org/officeDocument/2006/relationships/hyperlink" Target="https://www.sec.gov/Archives/edgar/data/1720420/000114036120015829/nt10006851x6_ex10-5.htm" TargetMode="External"/><Relationship Id="rId158" Type="http://schemas.openxmlformats.org/officeDocument/2006/relationships/hyperlink" Target="https://www.sec.gov/Archives/edgar/data/1720420/000114036120015829/nt10006851x6_ex10-6.htm" TargetMode="External"/><Relationship Id="rId159" Type="http://schemas.openxmlformats.org/officeDocument/2006/relationships/hyperlink" Target="https://www.sec.gov/Archives/edgar/data/1720420/000114036120015829/nt10006851x6_ex10-7.htm" TargetMode="External"/><Relationship Id="rId160" Type="http://schemas.openxmlformats.org/officeDocument/2006/relationships/hyperlink" Target="https://www.sec.gov/Archives/edgar/data/1720420/000114036120015829/nt10006851x6_ex10-8.htm" TargetMode="External"/><Relationship Id="rId161" Type="http://schemas.openxmlformats.org/officeDocument/2006/relationships/hyperlink" Target="https://www.sec.gov/Archives/edgar/data/1720420/000114036120015829/nt10006851x6_ex10-9.htm" TargetMode="External"/><Relationship Id="rId162" Type="http://schemas.openxmlformats.org/officeDocument/2006/relationships/hyperlink" Target="https://www.sec.gov/Archives/edgar/data/1720420/000114036120015829/nt10006851x6_ex10-10.htm" TargetMode="External"/><Relationship Id="rId163" Type="http://schemas.openxmlformats.org/officeDocument/2006/relationships/hyperlink" Target="https://www.sec.gov/Archives/edgar/data/1720420/000114036120015829/nt10006851x6_ex10-11.htm" TargetMode="External"/><Relationship Id="rId164" Type="http://schemas.openxmlformats.org/officeDocument/2006/relationships/hyperlink" Target="https://www.sec.gov/Archives/edgar/data/1720420/000114036120015829/nt10006851x6_ex10-12.htm" TargetMode="External"/><Relationship Id="rId165" Type="http://schemas.openxmlformats.org/officeDocument/2006/relationships/hyperlink" Target="https://www.sec.gov/Archives/edgar/data/1720420/000114036120015829/nt10006851x6_ex10-13.htm" TargetMode="External"/><Relationship Id="rId166" Type="http://schemas.openxmlformats.org/officeDocument/2006/relationships/hyperlink" Target="https://www.sec.gov/Archives/edgar/data/1720420/000114036120015829/nt10006851x6_ex10-14.htm" TargetMode="External"/><Relationship Id="rId167" Type="http://schemas.openxmlformats.org/officeDocument/2006/relationships/hyperlink" Target="https://www.sec.gov/Archives/edgar/data/1720420/000114036120015829/nt10006851x6_ex10-15.htm" TargetMode="External"/><Relationship Id="rId168" Type="http://schemas.openxmlformats.org/officeDocument/2006/relationships/hyperlink" Target="https://www.sec.gov/Archives/edgar/data/1720420/000114036120023623/brhc10015867_ex4-14.htm" TargetMode="External"/><Relationship Id="rId169" Type="http://schemas.openxmlformats.org/officeDocument/2006/relationships/hyperlink" Target="https://www.sec.gov/Archives/edgar/data/1720420/000155837021013149/ibex-20210630xex4d17.htm" TargetMode="External"/><Relationship Id="rId170" Type="http://schemas.openxmlformats.org/officeDocument/2006/relationships/hyperlink" Target="https://www.sec.gov/Archives/edgar/data/1720420/000155837021013149/ibex-20210630xex4d18.htm" TargetMode="External"/><Relationship Id="rId171" Type="http://schemas.openxmlformats.org/officeDocument/2006/relationships/hyperlink" Target="https://www.sec.gov/Archives/edgar/data/1720420/000155837021013149/ibex-20210630xex4d19.htm" TargetMode="External"/><Relationship Id="rId172" Type="http://schemas.openxmlformats.org/officeDocument/2006/relationships/hyperlink" Target="https://www.sec.gov/Archives/edgar/data/1720420/000155837021013149/ibex-20210630xex4d20.htm" TargetMode="External"/><Relationship Id="rId173" Type="http://schemas.openxmlformats.org/officeDocument/2006/relationships/hyperlink" Target="https://www.sec.gov/Archives/edgar/data/1720420/000155837021013149/ibex-20210630xex4d21.htm" TargetMode="External"/><Relationship Id="rId174" Type="http://schemas.openxmlformats.org/officeDocument/2006/relationships/hyperlink" Target="https://www.sec.gov/Archives/edgar/data/1720420/000114036120015829/nt10006851x6_ex10-35.htm" TargetMode="External"/><Relationship Id="rId175" Type="http://schemas.openxmlformats.org/officeDocument/2006/relationships/hyperlink" Target="https://www.sec.gov/Archives/edgar/data/1720420/000114036120015829/nt10006851x6_ex10-36.htm" TargetMode="External"/><Relationship Id="rId176" Type="http://schemas.openxmlformats.org/officeDocument/2006/relationships/hyperlink" Target="https://www.sec.gov/Archives/edgar/data/1720420/000114036120015829/nt10006851x6_ex10-37.htm" TargetMode="External"/><Relationship Id="rId177" Type="http://schemas.openxmlformats.org/officeDocument/2006/relationships/hyperlink" Target="https://www.sec.gov/Archives/edgar/data/1720420/000114036120015829/nt10006851x6_ex10-38.htm" TargetMode="External"/><Relationship Id="rId178" Type="http://schemas.openxmlformats.org/officeDocument/2006/relationships/hyperlink" Target="https://www.sec.gov/Archives/edgar/data/1720420/000114036120015829/nt10006851x6_ex10-39.htm" TargetMode="External"/><Relationship Id="rId179" Type="http://schemas.openxmlformats.org/officeDocument/2006/relationships/hyperlink" Target="https://www.sec.gov/Archives/edgar/data/1720420/000110465922029333/tm224577d1_ex99-1.htm" TargetMode="External"/><Relationship Id="rId180" Type="http://schemas.openxmlformats.org/officeDocument/2006/relationships/hyperlink" Target="https://www.sec.gov/Archives/edgar/data/1720420/000114036120015829/nt10006851x6_ex10-40.htm" TargetMode="External"/><Relationship Id="rId181" Type="http://schemas.openxmlformats.org/officeDocument/2006/relationships/hyperlink" Target="https://www.sec.gov/Archives/edgar/data/1720420/000114036120015829/nt10006851x6_ex10-41.htm" TargetMode="External"/><Relationship Id="rId182" Type="http://schemas.openxmlformats.org/officeDocument/2006/relationships/hyperlink" Target="https://www.sec.gov/Archives/edgar/data/1720420/000114036120015829/nt10006851x6_ex10-42.htm" TargetMode="External"/><Relationship Id="rId183" Type="http://schemas.openxmlformats.org/officeDocument/2006/relationships/hyperlink" Target="https://www.sec.gov/Archives/edgar/data/1720420/000114036120015829/nt10006851x6_ex10-43.htm" TargetMode="External"/><Relationship Id="rId184" Type="http://schemas.openxmlformats.org/officeDocument/2006/relationships/hyperlink" Target="https://www.sec.gov/Archives/edgar/data/1720420/000114036120015829/nt10006851x6_ex10-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2022-10-04T05:33:39Z</dcterms:created>
  <dcterms:modified xsi:type="dcterms:W3CDTF">2022-10-04T05:33:39Z</dcterms:modified>
</cp:coreProperties>
</file>