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84274.xml.htm"/>
      <w:bookmarkStart w:id="1" w:name="kswkform4_17858842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Dechant Robert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10,826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291,921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35.34</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287,011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31, 2026, 10,826 performance-based stock units ("PSUs") were earned and acquired by the Reporting Person. These PSUs were earned upon certification of performance goals for the period ending June 30, 2026 and converted to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the Reporting Person's tax liability upon the vesting of PSUs on July 31, 2026. No shares were sold by the reporting person to satisfy this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price of Issuer's Common shares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25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3585</Characters>
  <CharactersWithSpaces>4168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