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942.xml.htm"/>
      <w:bookmarkStart w:id="1" w:name="kswkform4_17909739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Inson Paul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29,572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28,544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2,348 performance-based stock units ("PSUs") were earned and acquired by the Reporting Person. These PSUs were earned upon certification of performance goals for the two-year period ending June 30, 2026 and converted 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Reporting Person's tax liability upon the vesting of PSUs on September 30, 2026. This was not a discretionary transaction, and no shares were sold by the reporting person to satisfy this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price of Issuer's Common shares on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089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3636</Characters>
  <CharactersWithSpaces>4227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