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886657.xml.htm"/>
      <w:bookmarkStart w:id="1" w:name="kswkform4_178588665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Greenwald Taylor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IBEX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1717 PENNSYLVANIA AVENUE NW, SUITE 825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IBEX Ltd</w:t>
              </w:r>
            </w:hyperlink>
            <w:r>
              <w:rPr/>
              <w:t xml:space="preserve"> [ </w:t>
            </w:r>
            <w:r>
              <w:rPr>
                <w:rFonts w:ascii="Times;serif" w:hAnsi="Times;serif"/>
                <w:color w:val="0000FF"/>
                <w:sz w:val="24"/>
                <w:shd w:fill="FFFFFF" w:val="clear"/>
              </w:rPr>
              <w:t>IBEX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3,307</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64,684</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956</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35.34</w:t>
            </w:r>
            <w:r>
              <w:rPr>
                <w:rFonts w:ascii="Times;serif" w:hAnsi="Times;serif"/>
                <w:color w:val="008000"/>
                <w:position w:val="7"/>
                <w:sz w:val="16"/>
                <w:sz w:val="20"/>
                <w:shd w:fill="FFFFFF" w:val="clear"/>
              </w:rPr>
              <w:t>(3)</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63,728</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July 31, 2026, 3,307 performance-based stock units ("PSUs") were earned and acquired by the Reporting Person. These PSUs were earned upon certification of performance goals for the period ending June 30, 2026 and converted to Common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withheld by the Issuer to satisfy the Reporting Person's tax liability upon the vesting of PSUs on July 31, 2026. No shares were sold by the reporting person to satisfy this tax liability.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Closing price of Issuer's Common shares on July 31,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Lisa Lenstrohm,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13723" TargetMode="External"/><Relationship Id="rId5" Type="http://schemas.openxmlformats.org/officeDocument/2006/relationships/hyperlink" Target="http://www.sec.gov/cgi-bin/browse-edgar?action=getcompany&amp;CIK=00017204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662</Words>
  <Characters>3576</Characters>
  <CharactersWithSpaces>4159</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