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w:t>
      </w:r>
    </w:p>
    <w:p>
      <w:pPr>
        <w:pStyle w:val="TextBody"/>
        <w:bidi w:val="0"/>
        <w:spacing w:lineRule="auto" w:line="288" w:before="12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w:t>
      </w: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of the Securities Exchange Act of 1934</w:t>
      </w:r>
    </w:p>
    <w:p>
      <w:pPr>
        <w:pStyle w:val="TextBody"/>
        <w:bidi w:val="0"/>
        <w:spacing w:lineRule="auto" w:line="288" w:before="120" w:after="283"/>
        <w:jc w:val="center"/>
        <w:rPr/>
      </w:pPr>
      <w:r>
        <w:rPr>
          <w:rFonts w:ascii="Times New Roman;serif" w:hAnsi="Times New Roman;serif"/>
          <w:b w:val="false"/>
          <w:color w:val="000000"/>
          <w:sz w:val="20"/>
          <w:shd w:fill="FFFFFF" w:val="clear"/>
        </w:rPr>
        <w:t xml:space="preserve">Date of Report (Date of earliest event reported): </w:t>
      </w:r>
      <w:r>
        <w:rPr>
          <w:rFonts w:ascii="Times New Roman;serif" w:hAnsi="Times New Roman;serif"/>
          <w:b w:val="false"/>
          <w:color w:val="000000"/>
          <w:sz w:val="20"/>
        </w:rPr>
        <w:t>May 6,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w:t>
      </w:r>
    </w:p>
    <w:p>
      <w:pPr>
        <w:pStyle w:val="TextBody"/>
        <w:bidi w:val="0"/>
        <w:spacing w:lineRule="auto" w:line="288" w:before="12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IBEX Limited</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w:t>
      </w:r>
    </w:p>
    <w:tbl>
      <w:tblPr>
        <w:tblW w:w="8863" w:type="dxa"/>
        <w:jc w:val="left"/>
        <w:tblInd w:w="0" w:type="dxa"/>
        <w:tblLayout w:type="fixed"/>
        <w:tblCellMar>
          <w:top w:w="28" w:type="dxa"/>
          <w:left w:w="28" w:type="dxa"/>
          <w:bottom w:w="28" w:type="dxa"/>
          <w:right w:w="28" w:type="dxa"/>
        </w:tblCellMar>
      </w:tblPr>
      <w:tblGrid>
        <w:gridCol w:w="1331"/>
        <w:gridCol w:w="1167"/>
        <w:gridCol w:w="1176"/>
        <w:gridCol w:w="762"/>
        <w:gridCol w:w="762"/>
        <w:gridCol w:w="770"/>
        <w:gridCol w:w="845"/>
        <w:gridCol w:w="845"/>
        <w:gridCol w:w="1205"/>
      </w:tblGrid>
      <w:tr>
        <w:trPr/>
        <w:tc>
          <w:tcPr>
            <w:tcW w:w="133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Bermuda</w:t>
            </w:r>
          </w:p>
        </w:tc>
        <w:tc>
          <w:tcPr>
            <w:tcW w:w="22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001-38442</w:t>
            </w:r>
          </w:p>
        </w:tc>
        <w:tc>
          <w:tcPr>
            <w:tcW w:w="289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00-0000000</w:t>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1717 Pennsylvania Avenue NW, Suite 825</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Washington, District of Columbia 20006</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(Address of principal executive offices) (Zip Code)</w:t>
      </w:r>
    </w:p>
    <w:p>
      <w:pPr>
        <w:pStyle w:val="TextBody"/>
        <w:bidi w:val="0"/>
        <w:spacing w:lineRule="auto" w:line="288" w:before="120" w:after="283"/>
        <w:jc w:val="center"/>
        <w:rPr/>
      </w:pPr>
      <w:r>
        <w:rPr>
          <w:rFonts w:ascii="Times New Roman;serif" w:hAnsi="Times New Roman;serif"/>
          <w:b w:val="false"/>
          <w:color w:val="000000"/>
          <w:sz w:val="20"/>
          <w:shd w:fill="FFFFFF" w:val="clear"/>
        </w:rPr>
        <w:t>Registrant’s telephone number, including area code:</w:t>
      </w:r>
      <w:r>
        <w:rPr>
          <w:color w:val="000000"/>
          <w:shd w:fill="FFFFFF" w:val="clear"/>
        </w:rPr>
        <w:t xml:space="preserve"> </w:t>
      </w:r>
      <w:r>
        <w:rPr>
          <w:rFonts w:ascii="Times New Roman;serif" w:hAnsi="Times New Roman;serif"/>
          <w:b/>
          <w:color w:val="000000"/>
          <w:sz w:val="20"/>
          <w:shd w:fill="FFFFFF" w:val="clear"/>
        </w:rPr>
        <w:t>(202) 580-6200</w:t>
      </w: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 applicable</w:t>
      </w:r>
    </w:p>
    <w:p>
      <w:pPr>
        <w:pStyle w:val="TextBody"/>
        <w:bidi w:val="0"/>
        <w:spacing w:lineRule="auto" w:line="288" w:before="12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(Former name or former address, if changed since last report)</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867" w:type="dxa"/>
        <w:jc w:val="left"/>
        <w:tblInd w:w="0" w:type="dxa"/>
        <w:tblLayout w:type="fixed"/>
        <w:tblCellMar>
          <w:top w:w="28" w:type="dxa"/>
          <w:left w:w="28" w:type="dxa"/>
          <w:bottom w:w="28" w:type="dxa"/>
          <w:right w:w="28" w:type="dxa"/>
        </w:tblCellMar>
      </w:tblPr>
      <w:tblGrid>
        <w:gridCol w:w="1506"/>
        <w:gridCol w:w="1317"/>
        <w:gridCol w:w="1331"/>
        <w:gridCol w:w="564"/>
        <w:gridCol w:w="564"/>
        <w:gridCol w:w="566"/>
        <w:gridCol w:w="1174"/>
        <w:gridCol w:w="1174"/>
        <w:gridCol w:w="1671"/>
      </w:tblGrid>
      <w:tr>
        <w:trPr/>
        <w:tc>
          <w:tcPr>
            <w:tcW w:w="1506"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40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shares, par value of $0.000111650536</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IBEX</w:t>
            </w:r>
          </w:p>
        </w:tc>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Nasdaq Global Market</w:t>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right"/>
        <w:rPr/>
      </w:pPr>
      <w:r>
        <w:rPr>
          <w:rFonts w:ascii="Times New Roman;serif" w:hAnsi="Times New Roman;serif"/>
          <w:b w:val="false"/>
          <w:color w:val="000000"/>
          <w:sz w:val="20"/>
          <w:shd w:fill="FFFFFF" w:val="clear"/>
        </w:rPr>
        <w:t>Emerging growth company               </w:t>
      </w:r>
      <w:r>
        <w:rPr>
          <w:rFonts w:ascii="Wingdings;sans-serif" w:hAnsi="Wingdings;sans-serif"/>
          <w:b w:val="false"/>
          <w:color w:val="000000"/>
          <w:sz w:val="20"/>
          <w:shd w:fill="FFFFFF" w:val="clear"/>
        </w:rPr>
        <w:t>x</w:t>
      </w:r>
    </w:p>
    <w:p>
      <w:pPr>
        <w:pStyle w:val="TextBody"/>
        <w:bidi w:val="0"/>
        <w:spacing w:lineRule="auto" w:line="288" w:before="120" w:after="283"/>
        <w:jc w:val="left"/>
        <w:rPr/>
      </w:pPr>
      <w:r>
        <w:rPr>
          <w:rFonts w:ascii="Times New Roman;serif" w:hAnsi="Times New Roman;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shd w:fill="FFFFFF" w:val="clear"/>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May 6, 2026, IBEX Limited issued a press release announcing its financial results for its third fiscal quarter ended March 31, 2026.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 copy of the May 6, 2026 press release is attached hereto as Exhibit 99.1 to this current report on Form 8-K.</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the exhibits attached hereto,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any such filing.</w:t>
      </w:r>
    </w:p>
    <w:p>
      <w:pPr>
        <w:pStyle w:val="TextBody"/>
        <w:bidi w:val="0"/>
        <w:spacing w:before="0" w:after="0"/>
        <w:ind w:left="0" w:right="0" w:hanging="1080"/>
        <w:jc w:val="left"/>
        <w:rPr/>
      </w:pPr>
      <w:r>
        <w:rPr/>
      </w: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(d) Exhibits.</w:t>
      </w:r>
      <w:r>
        <w:rPr>
          <w:color w:val="000000"/>
        </w:rPr>
        <w:t xml:space="preserve">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EXHIBIT INDEX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Exhibit No.         Description</w:t>
      </w:r>
    </w:p>
    <w:p>
      <w:pPr>
        <w:pStyle w:val="TextBody"/>
        <w:bidi w:val="0"/>
        <w:spacing w:lineRule="auto" w:line="276" w:before="0" w:after="0"/>
        <w:jc w:val="left"/>
        <w:rPr/>
      </w:pPr>
      <w:hyperlink w:anchor="ibex-20260506exx991.htm">
        <w:r>
          <w:rPr>
            <w:rStyle w:val="InternetLink"/>
            <w:rFonts w:ascii="Times New Roman;serif" w:hAnsi="Times New Roman;serif"/>
            <w:b w:val="false"/>
            <w:color w:val="0000FF"/>
            <w:sz w:val="20"/>
            <w:u w:val="single"/>
          </w:rPr>
          <w:t>99.1</w:t>
        </w:r>
      </w:hyperlink>
      <w:r>
        <w:rPr>
          <w:color w:val="000000"/>
        </w:rPr>
        <w:t>         </w:t>
      </w:r>
      <w:r>
        <w:rPr>
          <w:rFonts w:ascii="Times New Roman;serif" w:hAnsi="Times New Roman;serif"/>
          <w:b w:val="false"/>
          <w:color w:val="000000"/>
          <w:sz w:val="20"/>
        </w:rPr>
        <w:t>Press release announcing financial results for the third fiscal quarter ended March 31, 2026,</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dated May 6, 2026</w:t>
      </w:r>
    </w:p>
    <w:p>
      <w:pPr>
        <w:pStyle w:val="TextBody"/>
        <w:bidi w:val="0"/>
        <w:spacing w:lineRule="auto" w:line="276" w:before="0" w:after="0"/>
        <w:jc w:val="left"/>
        <w:rPr/>
      </w:pPr>
      <w:r>
        <w:rPr>
          <w:rFonts w:ascii="Times New Roman;serif" w:hAnsi="Times New Roman;serif"/>
          <w:b w:val="false"/>
          <w:color w:val="000000"/>
          <w:sz w:val="20"/>
        </w:rPr>
        <w:t>104         Cover Page Interactive Data File (formatted in Inline XBRL and contained in Exhibit 101)</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tbl>
      <w:tblPr>
        <w:tblW w:w="4504" w:type="dxa"/>
        <w:jc w:val="left"/>
        <w:tblInd w:w="0" w:type="dxa"/>
        <w:tblLayout w:type="fixed"/>
        <w:tblCellMar>
          <w:top w:w="28" w:type="dxa"/>
          <w:left w:w="28" w:type="dxa"/>
          <w:bottom w:w="28" w:type="dxa"/>
          <w:right w:w="28" w:type="dxa"/>
        </w:tblCellMar>
      </w:tblPr>
      <w:tblGrid>
        <w:gridCol w:w="591"/>
        <w:gridCol w:w="520"/>
        <w:gridCol w:w="523"/>
        <w:gridCol w:w="287"/>
        <w:gridCol w:w="287"/>
        <w:gridCol w:w="287"/>
        <w:gridCol w:w="586"/>
        <w:gridCol w:w="586"/>
        <w:gridCol w:w="83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IBEX LIMITED</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May 6, 2026</w:t>
            </w:r>
          </w:p>
        </w:tc>
        <w:tc>
          <w:tcPr>
            <w:tcW w:w="287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Taylor Greenwald</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Taylor Greenwald</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Exhibit 99.1</w:t>
      </w:r>
    </w:p>
    <w:p>
      <w:pPr>
        <w:pStyle w:val="TextBody"/>
        <w:bidi w:val="0"/>
        <w:spacing w:before="240" w:after="283"/>
        <w:jc w:val="both"/>
        <w:rPr/>
      </w:pPr>
      <w:r>
        <w:rPr/>
        <w:drawing>
          <wp:inline distT="0" distB="0" distL="0" distR="0">
            <wp:extent cx="1190625" cy="4381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190625" cy="438150"/>
                    </a:xfrm>
                    <a:prstGeom prst="rect">
                      <a:avLst/>
                    </a:prstGeom>
                  </pic:spPr>
                </pic:pic>
              </a:graphicData>
            </a:graphic>
          </wp:inline>
        </w:drawing>
      </w:r>
    </w:p>
    <w:p>
      <w:pPr>
        <w:pStyle w:val="TextBody"/>
        <w:bidi w:val="0"/>
        <w:spacing w:lineRule="auto" w:line="288" w:before="240" w:after="283"/>
        <w:ind w:left="0" w:right="0" w:firstLine="720"/>
        <w:jc w:val="center"/>
        <w:rPr>
          <w:rFonts w:ascii="sans-serif" w:hAnsi="sans-serif"/>
          <w:b/>
          <w:color w:val="000000"/>
          <w:sz w:val="22"/>
        </w:rPr>
      </w:pPr>
      <w:r>
        <w:rPr>
          <w:rFonts w:ascii="sans-serif" w:hAnsi="sans-serif"/>
          <w:b/>
          <w:color w:val="000000"/>
          <w:sz w:val="22"/>
        </w:rPr>
        <w:t>IBEX Reports Record Quarterly Revenue and EPS, Raises Fiscal Year Guidance</w:t>
      </w:r>
    </w:p>
    <w:p>
      <w:pPr>
        <w:pStyle w:val="TextBody"/>
        <w:bidi w:val="0"/>
        <w:spacing w:before="0" w:after="0"/>
        <w:jc w:val="center"/>
        <w:rPr/>
      </w:pPr>
      <w:r>
        <w:rPr/>
      </w:r>
    </w:p>
    <w:p>
      <w:pPr>
        <w:pStyle w:val="TextBody"/>
        <w:bidi w:val="0"/>
        <w:spacing w:lineRule="auto" w:line="288" w:before="0" w:after="0"/>
        <w:ind w:left="0" w:right="0" w:hanging="180"/>
        <w:jc w:val="both"/>
        <w:rPr/>
      </w:pPr>
      <w:r>
        <w:rPr>
          <w:color w:val="000000"/>
        </w:rPr>
        <w:t>•</w:t>
      </w:r>
      <w:r>
        <w:rPr>
          <w:rFonts w:ascii="sans-serif" w:hAnsi="sans-serif"/>
          <w:b/>
          <w:color w:val="000000"/>
          <w:sz w:val="22"/>
        </w:rPr>
        <w:t>Record Revenue, Adjusted EBITDA, EPS, and Adjusted EPS</w:t>
      </w:r>
    </w:p>
    <w:p>
      <w:pPr>
        <w:pStyle w:val="TextBody"/>
        <w:bidi w:val="0"/>
        <w:spacing w:lineRule="auto" w:line="288" w:before="0" w:after="0"/>
        <w:ind w:left="0" w:right="0" w:hanging="180"/>
        <w:jc w:val="both"/>
        <w:rPr/>
      </w:pPr>
      <w:r>
        <w:rPr>
          <w:color w:val="000000"/>
        </w:rPr>
        <w:t>•</w:t>
      </w:r>
      <w:r>
        <w:rPr>
          <w:rFonts w:ascii="sans-serif" w:hAnsi="sans-serif"/>
          <w:b/>
          <w:color w:val="000000"/>
          <w:sz w:val="22"/>
        </w:rPr>
        <w:t>Revenue grew 17% versus prior year quarter, fifth consecutive quarter of double-digit growth</w:t>
      </w:r>
    </w:p>
    <w:p>
      <w:pPr>
        <w:pStyle w:val="TextBody"/>
        <w:bidi w:val="0"/>
        <w:spacing w:lineRule="auto" w:line="288" w:before="0" w:after="0"/>
        <w:ind w:left="0" w:right="0" w:hanging="180"/>
        <w:jc w:val="both"/>
        <w:rPr/>
      </w:pPr>
      <w:r>
        <w:rPr>
          <w:color w:val="000000"/>
        </w:rPr>
        <w:t>•</w:t>
      </w:r>
      <w:r>
        <w:rPr>
          <w:rFonts w:ascii="sans-serif" w:hAnsi="sans-serif"/>
          <w:b/>
          <w:color w:val="000000"/>
          <w:sz w:val="22"/>
        </w:rPr>
        <w:t>Diluted EPS grew 22% versus prior year quarter to $0.89, and adjusted EPS grew 11% to $0.91</w:t>
      </w:r>
    </w:p>
    <w:p>
      <w:pPr>
        <w:pStyle w:val="TextBody"/>
        <w:bidi w:val="0"/>
        <w:spacing w:lineRule="auto" w:line="288" w:before="0" w:after="0"/>
        <w:ind w:left="0" w:right="0" w:hanging="180"/>
        <w:jc w:val="both"/>
        <w:rPr/>
      </w:pPr>
      <w:r>
        <w:rPr>
          <w:color w:val="000000"/>
        </w:rPr>
        <w:t>•</w:t>
      </w:r>
      <w:r>
        <w:rPr>
          <w:rFonts w:ascii="sans-serif" w:hAnsi="sans-serif"/>
          <w:b/>
          <w:color w:val="000000"/>
          <w:sz w:val="22"/>
        </w:rPr>
        <w:t>Raises Fiscal Year Revenue and Adjusted EBITDA Guidance</w:t>
      </w:r>
    </w:p>
    <w:p>
      <w:pPr>
        <w:pStyle w:val="TextBody"/>
        <w:bidi w:val="0"/>
        <w:spacing w:lineRule="auto" w:line="288" w:before="0" w:after="0"/>
        <w:ind w:left="0" w:right="0" w:hanging="180"/>
        <w:jc w:val="both"/>
        <w:rPr/>
      </w:pPr>
      <w:r>
        <w:rPr>
          <w:color w:val="000000"/>
        </w:rPr>
        <w:t>•</w:t>
      </w:r>
      <w:r>
        <w:rPr>
          <w:rFonts w:ascii="sans-serif" w:hAnsi="sans-serif"/>
          <w:b/>
          <w:color w:val="000000"/>
          <w:sz w:val="22"/>
        </w:rPr>
        <w:t>Strategic partnership announced with Sierra AI</w:t>
      </w:r>
    </w:p>
    <w:p>
      <w:pPr>
        <w:pStyle w:val="TextBody"/>
        <w:bidi w:val="0"/>
        <w:spacing w:before="0" w:after="0"/>
        <w:ind w:left="0" w:right="0" w:firstLine="180"/>
        <w:jc w:val="both"/>
        <w:rPr/>
      </w:pPr>
      <w:r>
        <w:rPr/>
      </w:r>
    </w:p>
    <w:p>
      <w:pPr>
        <w:pStyle w:val="TextBody"/>
        <w:bidi w:val="0"/>
        <w:spacing w:lineRule="auto" w:line="288" w:before="0" w:after="0"/>
        <w:jc w:val="both"/>
        <w:rPr/>
      </w:pPr>
      <w:r>
        <w:rPr>
          <w:rFonts w:ascii="sans-serif" w:hAnsi="sans-serif"/>
          <w:b/>
          <w:color w:val="000000"/>
          <w:sz w:val="22"/>
        </w:rPr>
        <w:t xml:space="preserve">WASHINGTON, DC— May 6, 2026 </w:t>
      </w:r>
      <w:r>
        <w:rPr>
          <w:color w:val="000000"/>
        </w:rPr>
        <w:t>—</w:t>
      </w:r>
      <w:r>
        <w:rPr>
          <w:rFonts w:ascii="sans-serif" w:hAnsi="sans-serif"/>
          <w:b w:val="false"/>
          <w:color w:val="000000"/>
          <w:sz w:val="22"/>
        </w:rPr>
        <w:t>IBEX Limited (“ibex”) (Nasdaq: IBEX), a global leader in outsourced business services and AI-powered customer experience solutions, today announced financial results for its third fiscal quarter ended March 31, 2026.</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56"/>
        <w:gridCol w:w="752"/>
        <w:gridCol w:w="754"/>
        <w:gridCol w:w="203"/>
        <w:gridCol w:w="576"/>
        <w:gridCol w:w="265"/>
        <w:gridCol w:w="113"/>
        <w:gridCol w:w="113"/>
        <w:gridCol w:w="113"/>
        <w:gridCol w:w="203"/>
        <w:gridCol w:w="576"/>
        <w:gridCol w:w="265"/>
        <w:gridCol w:w="113"/>
        <w:gridCol w:w="113"/>
        <w:gridCol w:w="113"/>
        <w:gridCol w:w="241"/>
        <w:gridCol w:w="241"/>
        <w:gridCol w:w="474"/>
        <w:gridCol w:w="113"/>
        <w:gridCol w:w="113"/>
        <w:gridCol w:w="113"/>
        <w:gridCol w:w="203"/>
        <w:gridCol w:w="576"/>
        <w:gridCol w:w="265"/>
        <w:gridCol w:w="113"/>
        <w:gridCol w:w="113"/>
        <w:gridCol w:w="113"/>
        <w:gridCol w:w="203"/>
        <w:gridCol w:w="576"/>
        <w:gridCol w:w="265"/>
        <w:gridCol w:w="113"/>
        <w:gridCol w:w="113"/>
        <w:gridCol w:w="113"/>
        <w:gridCol w:w="241"/>
        <w:gridCol w:w="241"/>
        <w:gridCol w:w="534"/>
      </w:tblGrid>
      <w:tr>
        <w:trPr/>
        <w:tc>
          <w:tcPr>
            <w:tcW w:w="85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March 31,</w:t>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 except per share amounts)</w:t>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2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164.4 </w:t>
            </w:r>
          </w:p>
        </w:tc>
        <w:tc>
          <w:tcPr>
            <w:tcW w:w="2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140.7 </w:t>
            </w:r>
          </w:p>
        </w:tc>
        <w:tc>
          <w:tcPr>
            <w:tcW w:w="2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4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479.8 </w:t>
            </w:r>
          </w:p>
        </w:tc>
        <w:tc>
          <w:tcPr>
            <w:tcW w:w="2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411.1 </w:t>
            </w:r>
          </w:p>
        </w:tc>
        <w:tc>
          <w:tcPr>
            <w:tcW w:w="2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5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27.3 </w:t>
            </w:r>
          </w:p>
        </w:tc>
        <w:tc>
          <w:tcPr>
            <w:tcW w:w="47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37.8 </w:t>
            </w:r>
          </w:p>
        </w:tc>
        <w:tc>
          <w:tcPr>
            <w:tcW w:w="53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margin</w:t>
            </w:r>
          </w:p>
        </w:tc>
        <w:tc>
          <w:tcPr>
            <w:tcW w:w="7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2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2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47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bps</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2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2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53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bps</w:t>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 (1)</w:t>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47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29.8 </w:t>
            </w:r>
          </w:p>
        </w:tc>
        <w:tc>
          <w:tcPr>
            <w:tcW w:w="53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 margin (1)</w:t>
            </w:r>
          </w:p>
        </w:tc>
        <w:tc>
          <w:tcPr>
            <w:tcW w:w="7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2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2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47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bps</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2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2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53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bps</w:t>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 (1)</w:t>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47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20.7 </w:t>
            </w:r>
          </w:p>
        </w:tc>
        <w:tc>
          <w:tcPr>
            <w:tcW w:w="53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 margin (1)</w:t>
            </w:r>
          </w:p>
        </w:tc>
        <w:tc>
          <w:tcPr>
            <w:tcW w:w="7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2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13.8 </w:t>
            </w:r>
          </w:p>
        </w:tc>
        <w:tc>
          <w:tcPr>
            <w:tcW w:w="2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47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bps</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2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26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53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bps</w:t>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Earnings per share - diluted (2) </w:t>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0.89 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0.73 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21.9 </w:t>
            </w:r>
          </w:p>
        </w:tc>
        <w:tc>
          <w:tcPr>
            <w:tcW w:w="47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49.6 </w:t>
            </w:r>
          </w:p>
        </w:tc>
        <w:tc>
          <w:tcPr>
            <w:tcW w:w="53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earnings per share - diluted (1,2)</w:t>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0.91 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0.82 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47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40.7 </w:t>
            </w:r>
          </w:p>
        </w:tc>
        <w:tc>
          <w:tcPr>
            <w:tcW w:w="53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(1)</w:t>
            </w:r>
            <w:r>
              <w:rPr>
                <w:rFonts w:ascii="Arial;sans-serif" w:hAnsi="Arial;sans-serif"/>
                <w:b w:val="false"/>
                <w:color w:val="000000"/>
                <w:sz w:val="16"/>
              </w:rPr>
              <w:t>See accompanying Exhibits for the reconciliation of each non-GAAP measure to its most directly comparable GAAP measure.</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(2)</w:t>
            </w:r>
            <w:r>
              <w:rPr>
                <w:rFonts w:ascii="Arial;sans-serif" w:hAnsi="Arial;sans-serif"/>
                <w:b w:val="false"/>
                <w:color w:val="000000"/>
                <w:sz w:val="16"/>
              </w:rPr>
              <w:t>The current period percentages are calculated based on exact amounts, and therefore may not recalculate exactly using rounded numbers as presented.</w:t>
            </w:r>
          </w:p>
        </w:tc>
      </w:tr>
    </w:tbl>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sans-serif" w:hAnsi="sans-serif"/>
          <w:b w:val="false"/>
          <w:color w:val="000000"/>
          <w:sz w:val="22"/>
        </w:rPr>
        <w:t xml:space="preserve">Ibex delivered another record-breaking quarter with revenue growth of 17% to $164.4 million, our fifth straight double-digit growth quarter, and adjusted EPS growth of 11%, adding to the momentum we’ve amassed over the last two years,” said Bob Dechant, ibex CEO. “Our strong results were again anchored by our two performance pillars: driving new wins with key logos and continued market share gains driven by our ability to deliver the highest levels of operational excellence. Going forward, we will continue to define the new era of BPO 3.0 with a strategy designed to make ourselves even more valuable, more capable, and more essential to existing and new clients alike.” </w:t>
      </w:r>
    </w:p>
    <w:p>
      <w:pPr>
        <w:pStyle w:val="TextBody"/>
        <w:bidi w:val="0"/>
        <w:spacing w:before="0" w:after="0"/>
        <w:jc w:val="left"/>
        <w:rPr/>
      </w:pPr>
      <w:r>
        <w:rPr/>
      </w:r>
    </w:p>
    <w:p>
      <w:pPr>
        <w:pStyle w:val="TextBody"/>
        <w:bidi w:val="0"/>
        <w:spacing w:lineRule="auto" w:line="268" w:before="0" w:after="0"/>
        <w:jc w:val="both"/>
        <w:rPr>
          <w:color w:val="000000"/>
        </w:rPr>
      </w:pPr>
      <w:r>
        <w:rPr>
          <w:color w:val="000000"/>
        </w:rPr>
        <w:t>“</w:t>
      </w:r>
      <w:r>
        <w:rPr>
          <w:rFonts w:ascii="sans-serif" w:hAnsi="sans-serif"/>
          <w:b w:val="false"/>
          <w:color w:val="000000"/>
          <w:sz w:val="22"/>
        </w:rPr>
        <w:t xml:space="preserve">To that end, we recently announced a landmark strategic partnership with Sierra.ai, the leading AI-powered customer experience platform. Through this partnership, ibex will integrate Sierra’s market-leading AI technology with our best-in-class CX expertise, tech integration, and deep analytics to design and deploy scalable, end-to-end, AI-powered CX solutions. We are positioned to provide best-in-class service that leverages the strengths of both automated and human-powered support, providing a truly end-to-end orchestration of the customer experience. Since signing this partnership, our sales teams have already seen both the volume and velocity of deal opportunities accelerate with some decisive early wins. We believe this collaboration will be transformative for our business and set ibex truly apart from the rest of our industry.” </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sans-serif" w:hAnsi="sans-serif"/>
          <w:b/>
          <w:color w:val="000000"/>
          <w:sz w:val="22"/>
        </w:rPr>
      </w:pPr>
      <w:r>
        <w:rPr>
          <w:rFonts w:ascii="sans-serif" w:hAnsi="sans-serif"/>
          <w:b/>
          <w:color w:val="000000"/>
          <w:sz w:val="22"/>
        </w:rPr>
        <w:t>Third Quarter Financial Performance</w:t>
      </w:r>
    </w:p>
    <w:p>
      <w:pPr>
        <w:pStyle w:val="TextBody"/>
        <w:bidi w:val="0"/>
        <w:spacing w:lineRule="auto" w:line="288" w:before="0" w:after="0"/>
        <w:jc w:val="both"/>
        <w:rPr>
          <w:rFonts w:ascii="sans-serif" w:hAnsi="sans-serif"/>
          <w:b w:val="false"/>
          <w:i/>
          <w:color w:val="000000"/>
          <w:sz w:val="22"/>
        </w:rPr>
      </w:pPr>
      <w:r>
        <w:rPr>
          <w:rFonts w:ascii="sans-serif" w:hAnsi="sans-serif"/>
          <w:b w:val="false"/>
          <w:i/>
          <w:color w:val="000000"/>
          <w:sz w:val="22"/>
        </w:rPr>
        <w:t>Revenue</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2"/>
        </w:rPr>
        <w:t xml:space="preserve">Revenue of $164.4 million, an increase of 16.8% from $140.7 million in the prior year quarter, was driven by broad-based growth across four verticals: HealthTech (+53.7%), Technology (+42.6%), Travel, Transportation and Logistics (+15.1%), and Retail &amp; E-commerce (+8.3%), along with continued growth in the digital acquisition business. </w:t>
      </w:r>
    </w:p>
    <w:p>
      <w:pPr>
        <w:pStyle w:val="TextBody"/>
        <w:bidi w:val="0"/>
        <w:spacing w:before="0" w:after="0"/>
        <w:jc w:val="both"/>
        <w:rPr/>
      </w:pPr>
      <w:r>
        <w:rPr/>
      </w:r>
    </w:p>
    <w:p>
      <w:pPr>
        <w:pStyle w:val="TextBody"/>
        <w:bidi w:val="0"/>
        <w:spacing w:lineRule="auto" w:line="288" w:before="0" w:after="0"/>
        <w:jc w:val="both"/>
        <w:rPr>
          <w:rFonts w:ascii="sans-serif" w:hAnsi="sans-serif"/>
          <w:b w:val="false"/>
          <w:i/>
          <w:color w:val="000000"/>
          <w:sz w:val="22"/>
        </w:rPr>
      </w:pPr>
      <w:r>
        <w:rPr>
          <w:rFonts w:ascii="sans-serif" w:hAnsi="sans-serif"/>
          <w:b w:val="false"/>
          <w:i/>
          <w:color w:val="000000"/>
          <w:sz w:val="22"/>
        </w:rPr>
        <w:t>Net Income and Earnings Per Share</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2"/>
        </w:rPr>
        <w:t>Net income increased to $13.3 million compared to $10.5 million in the prior year quarter. Net income was favorably impacted by revenue growth in our higher margin offshore regions and lower selling, general, and administrative expenses as a percentage of revenue.</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2"/>
        </w:rPr>
        <w:t>Net income margin increased to 8.1% compared to 7.4% in the prior year quarter.</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2"/>
        </w:rPr>
        <w:t>Diluted earnings per share increased to $0.89 compared to $0.73 in the prior year quarter.</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2"/>
        </w:rPr>
        <w:t xml:space="preserve">Non-GAAP adjusted net income increased to $13.6 million compared to $11.8 million in the prior year quarter (see Exhibit 1 for reconciliation).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Non-GAAP adjusted diluted earnings per share increased to $0.91 compared to $0.82 in the prior year quarter (see Exhibit 1 for reconciliation).</w:t>
      </w:r>
    </w:p>
    <w:p>
      <w:pPr>
        <w:pStyle w:val="TextBody"/>
        <w:bidi w:val="0"/>
        <w:spacing w:lineRule="auto" w:line="288" w:before="240" w:after="283"/>
        <w:jc w:val="both"/>
        <w:rPr>
          <w:rFonts w:ascii="sans-serif" w:hAnsi="sans-serif"/>
          <w:b w:val="false"/>
          <w:i/>
          <w:color w:val="000000"/>
          <w:sz w:val="22"/>
        </w:rPr>
      </w:pPr>
      <w:r>
        <w:rPr>
          <w:rFonts w:ascii="sans-serif" w:hAnsi="sans-serif"/>
          <w:b w:val="false"/>
          <w:i/>
          <w:color w:val="000000"/>
          <w:sz w:val="22"/>
        </w:rPr>
        <w:t>Non-GAAP Adjusted EBITDA</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2"/>
        </w:rPr>
        <w:t xml:space="preserve">Adjusted EBITDA increased to $22.0 million compared to $19.4 million in the prior year quarter (see Exhibit 2 for reconciliation). </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2"/>
        </w:rPr>
        <w:t xml:space="preserve">Adjusted EBITDA margin was 13.4% compared to 13.8% in the prior year quarter (see Exhibit 2 for reconciliation). </w:t>
      </w:r>
    </w:p>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Cash Flow and Balance Sheet</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Capital expenditures were $5.3 million, consistent with the prior year quarter.</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2"/>
        </w:rPr>
        <w:t>Cash flow from operating activities was $11.9 million compared to $8.8 million in the prior year quarter.</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2"/>
        </w:rPr>
        <w:t>Free cash flow was $6.6 million compared to $3.6 million in the prior year quarter (see Exhibit 3 for reconciliation).</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During the quarter, we repurchased 140,300 shares for $4.5 million.</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Net cash was $14.0 million, compared to net cash of $13.7 million as of June 30, 2025 (see Exhibit 4 for reconciliation).</w:t>
      </w:r>
    </w:p>
    <w:p>
      <w:pPr>
        <w:pStyle w:val="TextBody"/>
        <w:bidi w:val="0"/>
        <w:spacing w:before="0" w:after="0"/>
        <w:jc w:val="both"/>
        <w:rPr/>
      </w:pPr>
      <w:r>
        <w:rPr/>
      </w:r>
    </w:p>
    <w:p>
      <w:pPr>
        <w:pStyle w:val="TextBody"/>
        <w:bidi w:val="0"/>
        <w:spacing w:lineRule="auto" w:line="268" w:before="0" w:after="0"/>
        <w:jc w:val="both"/>
        <w:rPr>
          <w:rFonts w:ascii="sans-serif" w:hAnsi="sans-serif"/>
          <w:b/>
          <w:color w:val="000000"/>
          <w:sz w:val="22"/>
        </w:rPr>
      </w:pPr>
      <w:r>
        <w:rPr>
          <w:rFonts w:ascii="sans-serif" w:hAnsi="sans-serif"/>
          <w:b/>
          <w:color w:val="000000"/>
          <w:sz w:val="22"/>
        </w:rPr>
        <w:t>Third Quarter Review and Fiscal 2026 Business Outlook</w:t>
      </w:r>
    </w:p>
    <w:p>
      <w:pPr>
        <w:pStyle w:val="TextBody"/>
        <w:bidi w:val="0"/>
        <w:spacing w:lineRule="auto" w:line="276" w:before="0" w:after="0"/>
        <w:jc w:val="both"/>
        <w:rPr>
          <w:color w:val="000000"/>
        </w:rPr>
      </w:pPr>
      <w:r>
        <w:rPr>
          <w:color w:val="000000"/>
        </w:rPr>
        <w:t>“</w:t>
      </w:r>
      <w:r>
        <w:rPr>
          <w:rFonts w:ascii="sans-serif" w:hAnsi="sans-serif"/>
          <w:b w:val="false"/>
          <w:color w:val="000000"/>
          <w:sz w:val="22"/>
        </w:rPr>
        <w:t>Our strong financial results in fiscal year 2026 are being driven by our differentiated strategy and sustainable growth trends with our clients, giving us confidence in continued outperformance heading into fiscal year 2027. Our third quarter revenue was again led by meaningful growth in our higher margin services and vertical markets, particularly our robust growth in HealthTech. This combination of drivers led to a record quarterly adjusted EBITDA of $22.0 million,” said Taylor Greenwald, CFO of ibex.</w:t>
      </w:r>
    </w:p>
    <w:p>
      <w:pPr>
        <w:pStyle w:val="TextBody"/>
        <w:bidi w:val="0"/>
        <w:spacing w:before="0" w:after="0"/>
        <w:jc w:val="left"/>
        <w:rPr/>
      </w:pPr>
      <w:r>
        <w:rPr/>
      </w:r>
    </w:p>
    <w:p>
      <w:pPr>
        <w:pStyle w:val="TextBody"/>
        <w:bidi w:val="0"/>
        <w:spacing w:lineRule="auto" w:line="264" w:before="0" w:after="0"/>
        <w:jc w:val="both"/>
        <w:rPr>
          <w:color w:val="000000"/>
        </w:rPr>
      </w:pPr>
      <w:r>
        <w:rPr>
          <w:color w:val="000000"/>
        </w:rPr>
        <w:t>“</w:t>
      </w:r>
      <w:r>
        <w:rPr>
          <w:rFonts w:ascii="sans-serif" w:hAnsi="sans-serif"/>
          <w:b w:val="false"/>
          <w:color w:val="000000"/>
          <w:sz w:val="22"/>
        </w:rPr>
        <w:t>As we enter the fourth quarter, our healthy balance sheet and cash flows are enabling us to make thoughtful investments to support increased capacity for anticipated growth as well as to further extend our current AI leadership position. Reflective of our outstanding performance thus far and our forward momentum, we are raising our revenue and adjusted EBITDA guidance for the third time this year.”</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2"/>
        </w:rPr>
      </w:pPr>
      <w:r>
        <w:rPr>
          <w:rFonts w:ascii="sans-serif" w:hAnsi="sans-serif"/>
          <w:b/>
          <w:color w:val="000000"/>
          <w:sz w:val="22"/>
        </w:rPr>
        <w:t>Fiscal Year 2026 Guidance</w:t>
      </w:r>
    </w:p>
    <w:p>
      <w:pPr>
        <w:pStyle w:val="TextBody"/>
        <w:bidi w:val="0"/>
        <w:spacing w:lineRule="auto" w:line="268" w:before="0" w:after="0"/>
        <w:ind w:left="0" w:right="0" w:hanging="360"/>
        <w:jc w:val="both"/>
        <w:rPr>
          <w:color w:val="000000"/>
        </w:rPr>
      </w:pPr>
      <w:r>
        <w:rPr>
          <w:color w:val="000000"/>
        </w:rPr>
        <w:t>•     </w:t>
      </w:r>
      <w:r>
        <w:rPr>
          <w:rFonts w:ascii="sans-serif" w:hAnsi="sans-serif"/>
          <w:b w:val="false"/>
          <w:color w:val="000000"/>
          <w:sz w:val="22"/>
        </w:rPr>
        <w:t>Revenue is expected to be in the range of $638 to $642 million, up from $620 to $630 million.</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2"/>
        </w:rPr>
        <w:t xml:space="preserve">Adjusted EBITDA is expected to be in the range of $82 to $84 million, up from $80 to $82 million. </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2"/>
        </w:rPr>
        <w:t>Capital expenditures are now expected to be in the range of $25 to $30 million, up from our previous range of $20 to $25 million, as a result of ongoing investment to meet increased demand in higher margin regions.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Conference Call and Webcast Information</w:t>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IBEX Limited will host a conference call and live webcast to discuss its third quarter of fiscal year 2026 financial results at 4:30 p.m. Eastern Time today, May 6, 2026. We will also post to this section of our website the earning slides, which will accompany our conference call and live webcast, and encourage you to review the information that we make available on our website.</w:t>
      </w:r>
    </w:p>
    <w:p>
      <w:pPr>
        <w:pStyle w:val="TextBody"/>
        <w:bidi w:val="0"/>
        <w:spacing w:lineRule="auto" w:line="268" w:before="240" w:after="283"/>
        <w:jc w:val="both"/>
        <w:rPr/>
      </w:pPr>
      <w:r>
        <w:rPr>
          <w:rFonts w:ascii="sans-serif" w:hAnsi="sans-serif"/>
          <w:b w:val="false"/>
          <w:color w:val="000000"/>
          <w:sz w:val="22"/>
          <w:shd w:fill="FFFFFF" w:val="clear"/>
        </w:rPr>
        <w:t>Live and archived webcasts can be accessed at: </w:t>
      </w:r>
      <w:r>
        <w:rPr>
          <w:rFonts w:ascii="sans-serif" w:hAnsi="sans-serif"/>
          <w:b w:val="false"/>
          <w:color w:val="0094FF"/>
          <w:sz w:val="22"/>
          <w:shd w:fill="FFFFFF" w:val="clear"/>
        </w:rPr>
        <w:t>https://investors.ibex.co/</w:t>
      </w:r>
      <w:r>
        <w:rPr>
          <w:rFonts w:ascii="sans-serif" w:hAnsi="sans-serif"/>
          <w:b w:val="false"/>
          <w:color w:val="000000"/>
          <w:sz w:val="22"/>
          <w:shd w:fill="FFFFFF" w:val="clear"/>
        </w:rPr>
        <w:t>.</w:t>
      </w:r>
    </w:p>
    <w:p>
      <w:pPr>
        <w:pStyle w:val="TextBody"/>
        <w:bidi w:val="0"/>
        <w:spacing w:lineRule="auto" w:line="288" w:before="240" w:after="283"/>
        <w:jc w:val="both"/>
        <w:rPr>
          <w:rFonts w:ascii="sans-serif" w:hAnsi="sans-serif"/>
          <w:b/>
          <w:color w:val="000000"/>
          <w:sz w:val="22"/>
          <w:shd w:fill="FFFFFF" w:val="clear"/>
        </w:rPr>
      </w:pPr>
      <w:r>
        <w:rPr>
          <w:rFonts w:ascii="sans-serif" w:hAnsi="sans-serif"/>
          <w:b/>
          <w:color w:val="000000"/>
          <w:sz w:val="22"/>
          <w:shd w:fill="FFFFFF" w:val="clear"/>
        </w:rPr>
        <w:t>Financial Information</w:t>
      </w:r>
    </w:p>
    <w:p>
      <w:pPr>
        <w:pStyle w:val="TextBody"/>
        <w:bidi w:val="0"/>
        <w:spacing w:lineRule="auto" w:line="288" w:before="0" w:after="0"/>
        <w:jc w:val="both"/>
        <w:rPr>
          <w:rFonts w:ascii="sans-serif" w:hAnsi="sans-serif"/>
          <w:b w:val="false"/>
          <w:color w:val="000000"/>
          <w:sz w:val="22"/>
          <w:shd w:fill="FFFFFF" w:val="clear"/>
        </w:rPr>
      </w:pPr>
      <w:r>
        <w:rPr>
          <w:rFonts w:ascii="sans-serif" w:hAnsi="sans-serif"/>
          <w:b w:val="false"/>
          <w:color w:val="000000"/>
          <w:sz w:val="22"/>
          <w:shd w:fill="FFFFFF" w:val="clear"/>
        </w:rPr>
        <w:t>This announcement does not contain sufficient information to constitute an interim financial report as defined in Financial Accounting Standards ASC 270, “Interim Reporting.” The financial information in this press release has not been audited.</w:t>
      </w:r>
    </w:p>
    <w:p>
      <w:pPr>
        <w:pStyle w:val="TextBody"/>
        <w:bidi w:val="0"/>
        <w:spacing w:lineRule="auto" w:line="288" w:before="240" w:after="283"/>
        <w:jc w:val="both"/>
        <w:rPr>
          <w:rFonts w:ascii="sans-serif" w:hAnsi="sans-serif"/>
          <w:b/>
          <w:color w:val="000000"/>
          <w:sz w:val="22"/>
        </w:rPr>
      </w:pPr>
      <w:r>
        <w:rPr>
          <w:rFonts w:ascii="sans-serif" w:hAnsi="sans-serif"/>
          <w:b/>
          <w:color w:val="000000"/>
          <w:sz w:val="22"/>
        </w:rPr>
        <w:t>Non-GAAP Financial Measures</w:t>
      </w:r>
    </w:p>
    <w:p>
      <w:pPr>
        <w:pStyle w:val="TextBody"/>
        <w:bidi w:val="0"/>
        <w:spacing w:lineRule="auto" w:line="288" w:before="0" w:after="0"/>
        <w:jc w:val="both"/>
        <w:rPr>
          <w:rFonts w:ascii="sans-serif" w:hAnsi="sans-serif"/>
          <w:b w:val="false"/>
          <w:color w:val="000000"/>
          <w:sz w:val="22"/>
          <w:shd w:fill="FFFFFF" w:val="clear"/>
        </w:rPr>
      </w:pPr>
      <w:r>
        <w:rPr>
          <w:rFonts w:ascii="sans-serif" w:hAnsi="sans-serif"/>
          <w:b w:val="false"/>
          <w:color w:val="000000"/>
          <w:sz w:val="22"/>
          <w:shd w:fill="FFFFFF" w:val="clear"/>
        </w:rPr>
        <w:t>We present non-GAAP financial measures because we believe that they and other similar measures are widely used by certain investors, securities analysts and other interested parties as supplemental measures of performance and liquidity. We also use these measures internally to establish forecasts, budgets and operational goals to manage and monitor our business, as well as evaluate our underlying historical performance, as we believe that these non-GAAP financial measures provide a more helpful depiction of our performance of the business by encompassing only relevant and manageable events, enabling us to evaluate and plan more effectively for the future. The non-GAAP financial measures may not be comparable to other similarly titled measures of other companies, have limitations as analytical tools, and should not be considered in isolation or as a substitute for analysis of our operating results as reported in accordance with accounting principles generally accepted in the United States (“GAAP”). Non-GAAP financial measures and ratios are not measurements of our performance, financial condition or liquidity under GAAP and should not be considered as alternatives to operating profit or net income / (loss) or as alternatives to cash flow from operating, investing or financing activities for the period, or any other performance measures, derived in accordance with GAAP.</w:t>
      </w:r>
    </w:p>
    <w:p>
      <w:pPr>
        <w:pStyle w:val="TextBody"/>
        <w:bidi w:val="0"/>
        <w:spacing w:lineRule="auto" w:line="288" w:before="240" w:after="283"/>
        <w:jc w:val="both"/>
        <w:rPr>
          <w:rFonts w:ascii="sans-serif" w:hAnsi="sans-serif"/>
          <w:b w:val="false"/>
          <w:color w:val="000000"/>
          <w:sz w:val="22"/>
        </w:rPr>
      </w:pPr>
      <w:r>
        <w:rPr>
          <w:rFonts w:ascii="sans-serif" w:hAnsi="sans-serif"/>
          <w:b w:val="false"/>
          <w:color w:val="000000"/>
          <w:sz w:val="22"/>
        </w:rPr>
        <w:t>ibex is not providing a quantitative reconciliation of forward-looking non-GAAP adjusted EBITDA to the most directly comparable GAAP measure because it is unable to predict with reasonable certainty the ultimate outcome of certain significant items without unreasonable effort. These items include, but are not limited to, non-recurring expenses, foreign currency gains and losses, and stock-based compensation expense. These items are uncertain, depend on various factors, and could have a material impact on GAAP reported results for the guidance period.</w:t>
      </w:r>
    </w:p>
    <w:p>
      <w:pPr>
        <w:pStyle w:val="TextBody"/>
        <w:bidi w:val="0"/>
        <w:spacing w:lineRule="auto" w:line="288" w:before="240" w:after="283"/>
        <w:jc w:val="both"/>
        <w:rPr>
          <w:rFonts w:ascii="sans-serif" w:hAnsi="sans-serif"/>
          <w:b/>
          <w:color w:val="000000"/>
          <w:sz w:val="22"/>
        </w:rPr>
      </w:pPr>
      <w:r>
        <w:rPr>
          <w:rFonts w:ascii="sans-serif" w:hAnsi="sans-serif"/>
          <w:b/>
          <w:color w:val="000000"/>
          <w:sz w:val="22"/>
        </w:rPr>
        <w:t>About ibex</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ibex is a global leader in outsourced business services and AI-powered customer experience solutions, enabling the world’s best brands to deliver truly differentiated experiences for their customers. Leveraging a global team of more than 36,000 human CX experts – powered by the best AI technology, decades of CX innovation, and deep business insights – ibex engineers seamless, end-to-end customer journeys from AI agents to human agents at scale across retail, e-commerce, healthcare, fintech, utilities, technology, logistics, and more. Discover more at ibex.co and connect with us on LinkedIn.</w:t>
      </w:r>
    </w:p>
    <w:p>
      <w:pPr>
        <w:pStyle w:val="TextBody"/>
        <w:bidi w:val="0"/>
        <w:spacing w:lineRule="auto" w:line="288" w:before="240" w:after="283"/>
        <w:jc w:val="both"/>
        <w:rPr>
          <w:rFonts w:ascii="sans-serif" w:hAnsi="sans-serif"/>
          <w:b/>
          <w:color w:val="000000"/>
          <w:sz w:val="22"/>
          <w:shd w:fill="FFFFFF" w:val="clear"/>
        </w:rPr>
      </w:pPr>
      <w:r>
        <w:rPr>
          <w:rFonts w:ascii="sans-serif" w:hAnsi="sans-serif"/>
          <w:b/>
          <w:color w:val="000000"/>
          <w:sz w:val="22"/>
          <w:shd w:fill="FFFFFF" w:val="clear"/>
        </w:rPr>
        <w:t>Forward Looking Statements</w:t>
      </w:r>
    </w:p>
    <w:p>
      <w:pPr>
        <w:pStyle w:val="TextBody"/>
        <w:bidi w:val="0"/>
        <w:spacing w:lineRule="auto" w:line="288"/>
        <w:jc w:val="both"/>
        <w:rPr>
          <w:rFonts w:ascii="sans-serif" w:hAnsi="sans-serif"/>
          <w:b w:val="false"/>
          <w:color w:val="000000"/>
          <w:sz w:val="22"/>
          <w:shd w:fill="FFFFFF" w:val="clear"/>
        </w:rPr>
      </w:pPr>
      <w:r>
        <w:rPr>
          <w:rFonts w:ascii="sans-serif" w:hAnsi="sans-serif"/>
          <w:b w:val="false"/>
          <w:color w:val="000000"/>
          <w:sz w:val="22"/>
          <w:shd w:fill="FFFFFF" w:val="clear"/>
        </w:rPr>
        <w:t xml:space="preserve">In addition to historical information, this press release contains “forward-looking statements” within the meaning of the Private Securities Litigation Reform Act of 1995. In some cases, you can identify forward-looking statements by terminology such as “believe,” “may,” “will,” “estimate,” “continue,” “anticipate,” “intend,” “should,” “plan,” “expect,” “predict,” “potential,” “forecast,” or the negative of these terms or other similar expressions. These statements include, but are not limited to, statements regarding our future financial and operating performance, including our outlook and guidance, and our strategies, priorities and business plans. Our expectations and beliefs regarding these matters may not materialize, and actual results in future periods are subject to risks and uncertainties that could cause actual results to differ materially from those projected. Factors that could impact our actual results include: our ability to attract new business and retain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sans-serif" w:hAnsi="sans-serif"/>
          <w:b w:val="false"/>
          <w:color w:val="000000"/>
          <w:sz w:val="22"/>
          <w:shd w:fill="FFFFFF" w:val="clear"/>
        </w:rPr>
      </w:pPr>
      <w:r>
        <w:rPr>
          <w:rFonts w:ascii="sans-serif" w:hAnsi="sans-serif"/>
          <w:b w:val="false"/>
          <w:color w:val="000000"/>
          <w:sz w:val="22"/>
          <w:shd w:fill="FFFFFF" w:val="clear"/>
        </w:rPr>
        <w:t>key clients; our profitability based on our utilization, pricing and managing costs; the potential for our clients or potential clients to consolidate; our clients deciding to enter into or further expand their insourcing activities and current trends toward outsourcing services may reverse; general economic uncertainty in global markets and unfavorable economic conditions, including inflation, rising interest rates, recession, foreign exchange fluctuations and supply-chain issues; our ability to manage our international operations, particularly in the Philippines, Jamaica, Pakistan and Nicaragua; natural events, health epidemics, global geopolitical conditions, including developing or ongoing conflicts, widespread civil unrest, terrorist attacks and other attacks of violence involving any of the countries in which we or our clients operate; our ability to anticipate, develop and implement information technology solutions that keep pace with evolving industry standards and changing client demands, including the effective adoption of Artificial Intelligence into our offerings; our ability to recruit, engage, motivate, manage and retain our global workforce; our ability to comply with applicable laws and regulations, including those regarding privacy, data protection and information security, employment and anti-corruption; the effect of cyberattacks or cybersecurity vulnerabilities on our information technology systems; the impact of tax matters, including new legislation and actions by taxing authorities; and other factors discussed in the “Risk Factors” described in our periodic reports filed with the U.S. Securities and Exchange Commission (“SEC”), including our annual reports on Form 10-K, quarterly reports on Form 10-Q, and past filings on Form 20-F, and any other risk factors we include in subsequent filings with the SEC. Because of these uncertainties, you should not make any investment decisions based on our estimates and forward-looking statements. Except as required by law, we undertake no obligation to publicly update any forward-looking statements for any reason after the date of this press release whether as a result of new information, future events or otherwise.</w:t>
      </w:r>
    </w:p>
    <w:p>
      <w:pPr>
        <w:pStyle w:val="TextBody"/>
        <w:bidi w:val="0"/>
        <w:spacing w:before="0" w:after="0"/>
        <w:jc w:val="both"/>
        <w:rPr/>
      </w:pPr>
      <w:r>
        <w:rPr/>
      </w:r>
    </w:p>
    <w:p>
      <w:pPr>
        <w:pStyle w:val="TextBody"/>
        <w:bidi w:val="0"/>
        <w:spacing w:lineRule="auto" w:line="268" w:before="0" w:after="0"/>
        <w:jc w:val="left"/>
        <w:rPr/>
      </w:pPr>
      <w:r>
        <w:rPr>
          <w:rFonts w:ascii="sans-serif" w:hAnsi="sans-serif"/>
          <w:b/>
          <w:color w:val="000000"/>
          <w:sz w:val="22"/>
        </w:rPr>
        <w:t>IR Contact:</w:t>
      </w:r>
      <w:r>
        <w:rPr>
          <w:color w:val="000000"/>
        </w:rPr>
        <w:t>  </w:t>
      </w:r>
      <w:r>
        <w:rPr>
          <w:rFonts w:ascii="sans-serif" w:hAnsi="sans-serif"/>
          <w:b w:val="false"/>
          <w:color w:val="000000"/>
          <w:sz w:val="22"/>
        </w:rPr>
        <w:t>ir@ibex.co</w:t>
      </w:r>
    </w:p>
    <w:p>
      <w:pPr>
        <w:pStyle w:val="TextBody"/>
        <w:bidi w:val="0"/>
        <w:spacing w:lineRule="auto" w:line="288" w:before="0" w:after="0"/>
        <w:jc w:val="both"/>
        <w:rPr/>
      </w:pPr>
      <w:r>
        <w:rPr>
          <w:rFonts w:ascii="sans-serif" w:hAnsi="sans-serif"/>
          <w:b/>
          <w:color w:val="000000"/>
          <w:sz w:val="22"/>
        </w:rPr>
        <w:t>Media Contact:</w:t>
      </w:r>
      <w:r>
        <w:rPr>
          <w:color w:val="000000"/>
        </w:rPr>
        <w:t>  </w:t>
      </w:r>
      <w:r>
        <w:rPr>
          <w:rFonts w:ascii="sans-serif" w:hAnsi="sans-serif"/>
          <w:b w:val="false"/>
          <w:color w:val="000000"/>
          <w:sz w:val="22"/>
        </w:rPr>
        <w:t>Daniel Burris, VP, Marketing and Communication, ibex, daniel.burris@ibex.co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IBEX LIMITED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w:t>
      </w:r>
    </w:p>
    <w:tbl>
      <w:tblPr>
        <w:tblW w:w="6698" w:type="dxa"/>
        <w:jc w:val="center"/>
        <w:tblInd w:w="0" w:type="dxa"/>
        <w:tblLayout w:type="fixed"/>
        <w:tblCellMar>
          <w:top w:w="28" w:type="dxa"/>
          <w:left w:w="28" w:type="dxa"/>
          <w:bottom w:w="28" w:type="dxa"/>
          <w:right w:w="28" w:type="dxa"/>
        </w:tblCellMar>
      </w:tblPr>
      <w:tblGrid>
        <w:gridCol w:w="1445"/>
        <w:gridCol w:w="1272"/>
        <w:gridCol w:w="1287"/>
        <w:gridCol w:w="211"/>
        <w:gridCol w:w="841"/>
        <w:gridCol w:w="109"/>
        <w:gridCol w:w="109"/>
        <w:gridCol w:w="109"/>
        <w:gridCol w:w="109"/>
        <w:gridCol w:w="211"/>
        <w:gridCol w:w="841"/>
        <w:gridCol w:w="154"/>
      </w:tblGrid>
      <w:tr>
        <w:trPr/>
        <w:tc>
          <w:tcPr>
            <w:tcW w:w="1445"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Current assets</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from related parties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advances and receivables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current assets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165,430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145,619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Non-current assets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asset,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non-current assets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131,817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127,596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297,247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273,215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Current liabilities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accrued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payroll and employee-related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deferred revenue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operating lease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debt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to related parties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payable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current liabilities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84,795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79,941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Non-current liabilities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deferred revenue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operating lease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non-current liabilities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51,669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58,965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136,464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138,906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Stockholders' equity</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shares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Treasury stock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(103,338)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stockholders' equity</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160,783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134,309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297,247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273,215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IBEX LIMITED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Income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1752"/>
        <w:gridCol w:w="1411"/>
        <w:gridCol w:w="143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752"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March 31,</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411,135 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services (exclusive of depreciation and amortization presented separately below)</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284,820 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127,407 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376,786 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16,156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13,329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45,142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34,349</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15,969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12,957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44,579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34,089</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13,325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10,469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37,584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27,268</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Other comprehensive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 / gain on cash flow hedging instruments, net of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comprehensive (loss) /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(2,802)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(6,987)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1,422</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comprehensive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10,523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11,228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30,597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28,690</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Weighted average common shares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15,109</w:t>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16,135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IBEX LIMITED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89"/>
        <w:gridCol w:w="1537"/>
        <w:gridCol w:w="1544"/>
        <w:gridCol w:w="217"/>
        <w:gridCol w:w="758"/>
        <w:gridCol w:w="112"/>
        <w:gridCol w:w="112"/>
        <w:gridCol w:w="112"/>
        <w:gridCol w:w="112"/>
        <w:gridCol w:w="217"/>
        <w:gridCol w:w="758"/>
        <w:gridCol w:w="112"/>
        <w:gridCol w:w="109"/>
        <w:gridCol w:w="109"/>
        <w:gridCol w:w="109"/>
        <w:gridCol w:w="211"/>
        <w:gridCol w:w="740"/>
        <w:gridCol w:w="109"/>
        <w:gridCol w:w="109"/>
        <w:gridCol w:w="109"/>
        <w:gridCol w:w="109"/>
        <w:gridCol w:w="211"/>
        <w:gridCol w:w="740"/>
        <w:gridCol w:w="160"/>
      </w:tblGrid>
      <w:tr>
        <w:trPr/>
        <w:tc>
          <w:tcPr>
            <w:tcW w:w="1789"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March 31,</w:t>
            </w:r>
          </w:p>
        </w:tc>
      </w:tr>
      <w:tr>
        <w:trPr/>
        <w:tc>
          <w:tcPr>
            <w:tcW w:w="4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0"/>
              <w:jc w:val="left"/>
              <w:rPr>
                <w:rFonts w:ascii="Arial;sans-serif" w:hAnsi="Arial;sans-serif"/>
                <w:b w:val="false"/>
                <w:color w:val="000000"/>
                <w:sz w:val="18"/>
              </w:rPr>
            </w:pPr>
            <w:r>
              <w:rPr>
                <w:rFonts w:ascii="Arial;sans-serif" w:hAnsi="Arial;sans-serif"/>
                <w:b w:val="false"/>
                <w:color w:val="000000"/>
                <w:sz w:val="18"/>
              </w:rPr>
              <w:t>Net income</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27,268 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0"/>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12,984 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0"/>
              <w:jc w:val="left"/>
              <w:rPr>
                <w:rFonts w:ascii="Arial;sans-serif" w:hAnsi="Arial;sans-serif"/>
                <w:b w:val="false"/>
                <w:color w:val="000000"/>
                <w:sz w:val="18"/>
              </w:rPr>
            </w:pPr>
            <w:r>
              <w:rPr>
                <w:rFonts w:ascii="Arial;sans-serif" w:hAnsi="Arial;sans-serif"/>
                <w:b w:val="false"/>
                <w:color w:val="000000"/>
                <w:sz w:val="18"/>
              </w:rPr>
              <w:t>Noncash lease expense</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10,020 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4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0"/>
              <w:jc w:val="left"/>
              <w:rPr>
                <w:rFonts w:ascii="Arial;sans-serif" w:hAnsi="Arial;sans-serif"/>
                <w:b w:val="false"/>
                <w:color w:val="000000"/>
                <w:sz w:val="18"/>
              </w:rPr>
            </w:pPr>
            <w:r>
              <w:rPr>
                <w:rFonts w:ascii="Arial;sans-serif" w:hAnsi="Arial;sans-serif"/>
                <w:b w:val="false"/>
                <w:color w:val="000000"/>
                <w:sz w:val="18"/>
              </w:rPr>
              <w:t>Deferred income tax</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0"/>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0"/>
              <w:jc w:val="left"/>
              <w:rPr>
                <w:rFonts w:ascii="Arial;sans-serif" w:hAnsi="Arial;sans-serif"/>
                <w:b w:val="false"/>
                <w:color w:val="000000"/>
                <w:sz w:val="18"/>
              </w:rPr>
            </w:pPr>
            <w:r>
              <w:rPr>
                <w:rFonts w:ascii="Arial;sans-serif" w:hAnsi="Arial;sans-serif"/>
                <w:b w:val="false"/>
                <w:color w:val="000000"/>
                <w:sz w:val="18"/>
              </w:rPr>
              <w:t>Allowance for expected credit losses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4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0"/>
              <w:jc w:val="left"/>
              <w:rPr>
                <w:rFonts w:ascii="Arial;sans-serif" w:hAnsi="Arial;sans-serif"/>
                <w:b w:val="false"/>
                <w:color w:val="000000"/>
                <w:sz w:val="18"/>
              </w:rPr>
            </w:pPr>
            <w:r>
              <w:rPr>
                <w:rFonts w:ascii="Arial;sans-serif" w:hAnsi="Arial;sans-serif"/>
                <w:b w:val="false"/>
                <w:color w:val="000000"/>
                <w:sz w:val="18"/>
              </w:rPr>
              <w:t>Change in assets and liabilities:</w:t>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0"/>
              <w:jc w:val="left"/>
              <w:rPr>
                <w:rFonts w:ascii="Arial;sans-serif" w:hAnsi="Arial;sans-serif"/>
                <w:b w:val="false"/>
                <w:color w:val="000000"/>
                <w:sz w:val="18"/>
              </w:rPr>
            </w:pPr>
            <w:r>
              <w:rPr>
                <w:rFonts w:ascii="Arial;sans-serif" w:hAnsi="Arial;sans-serif"/>
                <w:b w:val="false"/>
                <w:color w:val="000000"/>
                <w:sz w:val="18"/>
              </w:rPr>
              <w:t>Decrease / (increase) in accounts receivable</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(22,050)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0"/>
              <w:jc w:val="left"/>
              <w:rPr>
                <w:rFonts w:ascii="Arial;sans-serif" w:hAnsi="Arial;sans-serif"/>
                <w:b w:val="false"/>
                <w:color w:val="000000"/>
                <w:sz w:val="18"/>
              </w:rPr>
            </w:pPr>
            <w:r>
              <w:rPr>
                <w:rFonts w:ascii="Arial;sans-serif" w:hAnsi="Arial;sans-serif"/>
                <w:b w:val="false"/>
                <w:color w:val="000000"/>
                <w:sz w:val="18"/>
              </w:rPr>
              <w:t>Increase / (decrease) in prepaid expenses and other current assets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0"/>
              <w:jc w:val="left"/>
              <w:rPr>
                <w:rFonts w:ascii="Arial;sans-serif" w:hAnsi="Arial;sans-serif"/>
                <w:b w:val="false"/>
                <w:color w:val="000000"/>
                <w:sz w:val="18"/>
              </w:rPr>
            </w:pPr>
            <w:r>
              <w:rPr>
                <w:rFonts w:ascii="Arial;sans-serif" w:hAnsi="Arial;sans-serif"/>
                <w:b w:val="false"/>
                <w:color w:val="000000"/>
                <w:sz w:val="18"/>
              </w:rPr>
              <w:t>Increase / (decrease) in accounts payable and accrued liabilities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0"/>
              <w:jc w:val="left"/>
              <w:rPr>
                <w:rFonts w:ascii="Arial;sans-serif" w:hAnsi="Arial;sans-serif"/>
                <w:b w:val="false"/>
                <w:color w:val="000000"/>
                <w:sz w:val="18"/>
              </w:rPr>
            </w:pPr>
            <w:r>
              <w:rPr>
                <w:rFonts w:ascii="Arial;sans-serif" w:hAnsi="Arial;sans-serif"/>
                <w:b w:val="false"/>
                <w:color w:val="000000"/>
                <w:sz w:val="18"/>
              </w:rPr>
              <w:t>Decrease / (increase) in deferred revenue</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 operating lease liabilities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(11,269)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inflow from operating activities</w:t>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11,864</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8,828</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34,178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17,731</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property and equipment</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(13,216)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outflow from investing activities</w:t>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(5,273)</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(5,267)</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(24,644)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(13,216)</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0"/>
              <w:jc w:val="left"/>
              <w:rPr>
                <w:rFonts w:ascii="Arial;sans-serif" w:hAnsi="Arial;sans-serif"/>
                <w:b w:val="false"/>
                <w:color w:val="000000"/>
                <w:sz w:val="18"/>
              </w:rPr>
            </w:pPr>
            <w:r>
              <w:rPr>
                <w:rFonts w:ascii="Arial;sans-serif" w:hAnsi="Arial;sans-serif"/>
                <w:b w:val="false"/>
                <w:color w:val="000000"/>
                <w:sz w:val="18"/>
              </w:rPr>
              <w:t>Proceeds from line of credit</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60,150 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69,310 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0"/>
              <w:jc w:val="left"/>
              <w:rPr>
                <w:rFonts w:ascii="Arial;sans-serif" w:hAnsi="Arial;sans-serif"/>
                <w:b w:val="false"/>
                <w:color w:val="000000"/>
                <w:sz w:val="18"/>
              </w:rPr>
            </w:pPr>
            <w:r>
              <w:rPr>
                <w:rFonts w:ascii="Arial;sans-serif" w:hAnsi="Arial;sans-serif"/>
                <w:b w:val="false"/>
                <w:color w:val="000000"/>
                <w:sz w:val="18"/>
              </w:rPr>
              <w:t>Repayments of line of credit</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(24,600)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(48,550)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(50,210)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4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0"/>
              <w:jc w:val="left"/>
              <w:rPr>
                <w:rFonts w:ascii="Arial;sans-serif" w:hAnsi="Arial;sans-serif"/>
                <w:b w:val="false"/>
                <w:color w:val="000000"/>
                <w:sz w:val="18"/>
              </w:rPr>
            </w:pPr>
            <w:r>
              <w:rPr>
                <w:rFonts w:ascii="Arial;sans-serif" w:hAnsi="Arial;sans-serif"/>
                <w:b w:val="false"/>
                <w:color w:val="000000"/>
                <w:sz w:val="18"/>
              </w:rPr>
              <w:t>Proceeds from the exercise of options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0"/>
              <w:jc w:val="left"/>
              <w:rPr>
                <w:rFonts w:ascii="Arial;sans-serif" w:hAnsi="Arial;sans-serif"/>
                <w:b w:val="false"/>
                <w:color w:val="000000"/>
                <w:sz w:val="18"/>
              </w:rPr>
            </w:pPr>
            <w:r>
              <w:rPr>
                <w:rFonts w:ascii="Arial;sans-serif" w:hAnsi="Arial;sans-serif"/>
                <w:b w:val="false"/>
                <w:color w:val="000000"/>
                <w:sz w:val="18"/>
              </w:rPr>
              <w:t>Taxes paid related to net share settlement of equity awards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0"/>
              <w:jc w:val="left"/>
              <w:rPr>
                <w:rFonts w:ascii="Arial;sans-serif" w:hAnsi="Arial;sans-serif"/>
                <w:b w:val="false"/>
                <w:color w:val="000000"/>
                <w:sz w:val="18"/>
              </w:rPr>
            </w:pPr>
            <w:r>
              <w:rPr>
                <w:rFonts w:ascii="Arial;sans-serif" w:hAnsi="Arial;sans-serif"/>
                <w:b w:val="false"/>
                <w:color w:val="000000"/>
                <w:sz w:val="18"/>
              </w:rPr>
              <w:t>Principal payments on finance leases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4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treasury shares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(25,052)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(76,421)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outflow from financing activities</w:t>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(6,659)</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(10,929)</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(9,454)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(54,426)</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Effects of exchange rate difference on cash and cash equivalents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(decrease) / increase in cash and cash equivalents</w:t>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(7,229)</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(49,743)</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beginning</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62,720 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 ending</w:t>
            </w:r>
          </w:p>
        </w:tc>
        <w:tc>
          <w:tcPr>
            <w:tcW w:w="2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15,409</w:t>
            </w:r>
            <w:r>
              <w:rPr>
                <w:color w:val="000000"/>
              </w:rPr>
              <w:t> </w:t>
            </w:r>
          </w:p>
        </w:tc>
        <w:tc>
          <w:tcPr>
            <w:tcW w:w="1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12,977</w:t>
            </w:r>
            <w:r>
              <w:rPr>
                <w:color w:val="000000"/>
              </w:rPr>
              <w:t> </w:t>
            </w:r>
          </w:p>
        </w:tc>
        <w:tc>
          <w:tcPr>
            <w:tcW w:w="1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15,409</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12,977</w:t>
            </w:r>
            <w:r>
              <w:rPr>
                <w:color w:val="000000"/>
              </w:rPr>
              <w:t>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Arial;sans-serif" w:hAnsi="Arial;sans-serif"/>
          <w:b/>
          <w:color w:val="000000"/>
          <w:sz w:val="24"/>
        </w:rPr>
      </w:pPr>
      <w:r>
        <w:rPr>
          <w:rFonts w:ascii="Arial;sans-serif" w:hAnsi="Arial;sans-serif"/>
          <w:b/>
          <w:color w:val="000000"/>
          <w:sz w:val="24"/>
        </w:rPr>
        <w:t>IBEX LIMITED AND SUBSIDIARIES</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Reconciliation of GAAP Financial Measures to Non-GAAP Financial Measures</w:t>
      </w:r>
    </w:p>
    <w:p>
      <w:pPr>
        <w:pStyle w:val="TextBody"/>
        <w:bidi w:val="0"/>
        <w:spacing w:lineRule="auto" w:line="288" w:before="240" w:after="283"/>
        <w:jc w:val="both"/>
        <w:rPr>
          <w:rFonts w:ascii="sans-serif" w:hAnsi="sans-serif"/>
          <w:b/>
          <w:color w:val="000000"/>
          <w:sz w:val="24"/>
        </w:rPr>
      </w:pPr>
      <w:r>
        <w:rPr>
          <w:rFonts w:ascii="sans-serif" w:hAnsi="sans-serif"/>
          <w:b/>
          <w:color w:val="000000"/>
          <w:sz w:val="24"/>
        </w:rPr>
        <w:t>EXHIBIT 1: Adjusted net income, adjusted net income margin, and adjusted earnings per share</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shd w:fill="FFFFFF" w:val="clear"/>
        </w:rPr>
        <w:t xml:space="preserve">We define adjusted net income as net income before the effect of the following items: severance costs, </w:t>
      </w:r>
      <w:r>
        <w:rPr>
          <w:rFonts w:ascii="sans-serif" w:hAnsi="sans-serif"/>
          <w:b w:val="false"/>
          <w:color w:val="000000"/>
          <w:sz w:val="22"/>
        </w:rPr>
        <w:t>foreign currency gains and losses</w:t>
      </w:r>
      <w:r>
        <w:rPr>
          <w:rFonts w:ascii="sans-serif" w:hAnsi="sans-serif"/>
          <w:b w:val="false"/>
          <w:color w:val="000000"/>
          <w:sz w:val="22"/>
          <w:shd w:fill="FFFFFF" w:val="clear"/>
        </w:rPr>
        <w:t>, and stock-based compensation expense, net of the tax impact of such adjustments</w:t>
      </w:r>
      <w:r>
        <w:rPr>
          <w:rFonts w:ascii="sans-serif" w:hAnsi="sans-serif"/>
          <w:b w:val="false"/>
          <w:color w:val="000000"/>
          <w:sz w:val="22"/>
        </w:rPr>
        <w:t xml:space="preserve">. We define adjusted net income margin as adjusted net income divided by revenue. </w:t>
      </w:r>
      <w:r>
        <w:rPr>
          <w:rFonts w:ascii="sans-serif" w:hAnsi="sans-serif"/>
          <w:b w:val="false"/>
          <w:color w:val="000000"/>
          <w:sz w:val="22"/>
          <w:shd w:fill="FFFFFF" w:val="clear"/>
        </w:rPr>
        <w:t xml:space="preserve">We define adjusted earnings per share as adjusted net income divided by weighted average diluted shares outstanding. </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The following table provides a reconciliation of net income to adjusted net income, net income margin to adjusted net income margin, and diluted earnings per share to adjusted earnings per share for the periods presented:</w:t>
      </w:r>
    </w:p>
    <w:tbl>
      <w:tblPr>
        <w:tblW w:w="9873" w:type="dxa"/>
        <w:jc w:val="left"/>
        <w:tblInd w:w="0" w:type="dxa"/>
        <w:tblLayout w:type="fixed"/>
        <w:tblCellMar>
          <w:top w:w="28" w:type="dxa"/>
          <w:left w:w="28" w:type="dxa"/>
          <w:bottom w:w="28" w:type="dxa"/>
          <w:right w:w="28" w:type="dxa"/>
        </w:tblCellMar>
      </w:tblPr>
      <w:tblGrid>
        <w:gridCol w:w="1440"/>
        <w:gridCol w:w="1265"/>
        <w:gridCol w:w="1270"/>
        <w:gridCol w:w="211"/>
        <w:gridCol w:w="736"/>
        <w:gridCol w:w="271"/>
        <w:gridCol w:w="109"/>
        <w:gridCol w:w="109"/>
        <w:gridCol w:w="109"/>
        <w:gridCol w:w="211"/>
        <w:gridCol w:w="736"/>
        <w:gridCol w:w="271"/>
        <w:gridCol w:w="109"/>
        <w:gridCol w:w="109"/>
        <w:gridCol w:w="109"/>
        <w:gridCol w:w="211"/>
        <w:gridCol w:w="736"/>
        <w:gridCol w:w="271"/>
        <w:gridCol w:w="109"/>
        <w:gridCol w:w="109"/>
        <w:gridCol w:w="109"/>
        <w:gridCol w:w="211"/>
        <w:gridCol w:w="736"/>
        <w:gridCol w:w="316"/>
      </w:tblGrid>
      <w:tr>
        <w:trPr/>
        <w:tc>
          <w:tcPr>
            <w:tcW w:w="14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5898" w:type="dxa"/>
            <w:gridSpan w:val="21"/>
            <w:tcBorders/>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5898" w:type="dxa"/>
            <w:gridSpan w:val="21"/>
            <w:tcBorders/>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28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March 31,</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($000s, except per share amounts)</w:t>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13,325</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10,469</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37,584</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27,268</w:t>
            </w:r>
            <w:r>
              <w:rPr>
                <w:color w:val="000000"/>
              </w:rPr>
              <w:t>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margin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7.8</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6.6</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Severance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(gain) / loss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adjustments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689</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1,722</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2,747</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4,172</w:t>
            </w:r>
            <w:r>
              <w:rPr>
                <w:color w:val="000000"/>
              </w:rPr>
              <w:t>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impact of adjustments</w:t>
            </w:r>
            <w:r>
              <w:rPr>
                <w:rFonts w:ascii="Arial;sans-serif" w:hAnsi="Arial;sans-serif"/>
                <w:b w:val="false"/>
                <w:color w:val="000000"/>
                <w:sz w:val="12"/>
              </w:rPr>
              <w:t>1</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13,577</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11,787</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39,502</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30,434</w:t>
            </w:r>
            <w:r>
              <w:rPr>
                <w:color w:val="000000"/>
              </w:rPr>
              <w:t>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net income margin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8.3</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7.4</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 share impact of adjustments to net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earnings per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0.91</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0.82</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1.90</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Weighted average diluted shares outstanding</w:t>
            </w:r>
          </w:p>
        </w:tc>
        <w:tc>
          <w:tcPr>
            <w:tcW w:w="94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14,994</w:t>
            </w:r>
            <w:r>
              <w:rPr>
                <w:color w:val="000000"/>
              </w:rPr>
              <w:t>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14,404</w:t>
            </w:r>
            <w:r>
              <w:rPr>
                <w:color w:val="000000"/>
              </w:rPr>
              <w:t>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14,780</w:t>
            </w:r>
            <w:r>
              <w:rPr>
                <w:color w:val="000000"/>
              </w:rPr>
              <w:t>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16,135</w:t>
            </w:r>
            <w:r>
              <w:rPr>
                <w:color w:val="000000"/>
              </w:rPr>
              <w:t> </w:t>
            </w:r>
          </w:p>
        </w:tc>
        <w:tc>
          <w:tcPr>
            <w:tcW w:w="3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6"/>
        </w:rPr>
        <w:t>1</w:t>
      </w:r>
      <w:r>
        <w:rPr>
          <w:rFonts w:ascii="sans-serif" w:hAnsi="sans-serif"/>
          <w:b w:val="false"/>
          <w:color w:val="000000"/>
          <w:sz w:val="18"/>
        </w:rPr>
        <w:t>The tax impact of each adjustment is calculated using the effective tax rate in the relevant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sans-serif" w:hAnsi="sans-serif"/>
          <w:b/>
          <w:color w:val="000000"/>
          <w:sz w:val="24"/>
          <w:shd w:fill="FFFFFF" w:val="clear"/>
        </w:rPr>
      </w:pPr>
      <w:r>
        <w:rPr>
          <w:rFonts w:ascii="sans-serif" w:hAnsi="sans-serif"/>
          <w:b/>
          <w:color w:val="000000"/>
          <w:sz w:val="24"/>
          <w:shd w:fill="FFFFFF" w:val="clear"/>
        </w:rPr>
        <w:t>EXHIBIT 2: EBITDA, adjusted EBITDA, and adjusted EBITDA margin</w:t>
      </w:r>
    </w:p>
    <w:p>
      <w:pPr>
        <w:pStyle w:val="TextBody"/>
        <w:bidi w:val="0"/>
        <w:spacing w:lineRule="auto" w:line="288" w:before="240" w:after="283"/>
        <w:jc w:val="both"/>
        <w:rPr/>
      </w:pPr>
      <w:r>
        <w:rPr>
          <w:rFonts w:ascii="sans-serif" w:hAnsi="sans-serif"/>
          <w:b w:val="false"/>
          <w:color w:val="000000"/>
          <w:sz w:val="22"/>
        </w:rPr>
        <w:t xml:space="preserve">EBITDA is a non-GAAP profitability measure that represents net income before the effect of the following items: interest expense, income tax expense, and depreciation and amortization. Adjusted EBITDA is a non-GAAP profitability measure that represents EBITDA before the effect of the following items: severance costs, interest income, foreign currency gains and losses, and </w:t>
      </w:r>
      <w:r>
        <w:rPr>
          <w:rFonts w:ascii="sans-serif" w:hAnsi="sans-serif"/>
          <w:b w:val="false"/>
          <w:color w:val="000000"/>
          <w:sz w:val="22"/>
          <w:shd w:fill="FFFFFF" w:val="clear"/>
        </w:rPr>
        <w:t>stock-based compensation expense.</w:t>
      </w:r>
      <w:r>
        <w:rPr>
          <w:color w:val="000000"/>
        </w:rPr>
        <w:t xml:space="preserve"> </w:t>
      </w:r>
      <w:r>
        <w:rPr>
          <w:rFonts w:ascii="sans-serif" w:hAnsi="sans-serif"/>
          <w:b w:val="false"/>
          <w:color w:val="000000"/>
          <w:sz w:val="22"/>
        </w:rPr>
        <w:t xml:space="preserve">Adjusted EBITDA margin is a non-GAAP profitability measure that represents adjusted EBITDA divided by revenue. </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The following table provides a reconciliation of net income to EBITDA and adjusted EBITDA and net income margin to adjusted EBITDA margin for the periods presented:</w:t>
      </w:r>
    </w:p>
    <w:tbl>
      <w:tblPr>
        <w:tblW w:w="8988" w:type="dxa"/>
        <w:jc w:val="left"/>
        <w:tblInd w:w="0" w:type="dxa"/>
        <w:tblLayout w:type="fixed"/>
        <w:tblCellMar>
          <w:top w:w="28" w:type="dxa"/>
          <w:left w:w="28" w:type="dxa"/>
          <w:bottom w:w="28" w:type="dxa"/>
          <w:right w:w="28" w:type="dxa"/>
        </w:tblCellMar>
      </w:tblPr>
      <w:tblGrid>
        <w:gridCol w:w="1117"/>
        <w:gridCol w:w="982"/>
        <w:gridCol w:w="991"/>
        <w:gridCol w:w="211"/>
        <w:gridCol w:w="736"/>
        <w:gridCol w:w="271"/>
        <w:gridCol w:w="109"/>
        <w:gridCol w:w="109"/>
        <w:gridCol w:w="109"/>
        <w:gridCol w:w="211"/>
        <w:gridCol w:w="736"/>
        <w:gridCol w:w="271"/>
        <w:gridCol w:w="109"/>
        <w:gridCol w:w="109"/>
        <w:gridCol w:w="109"/>
        <w:gridCol w:w="211"/>
        <w:gridCol w:w="736"/>
        <w:gridCol w:w="271"/>
        <w:gridCol w:w="109"/>
        <w:gridCol w:w="109"/>
        <w:gridCol w:w="109"/>
        <w:gridCol w:w="211"/>
        <w:gridCol w:w="736"/>
        <w:gridCol w:w="316"/>
      </w:tblGrid>
      <w:tr>
        <w:trPr/>
        <w:tc>
          <w:tcPr>
            <w:tcW w:w="111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28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March 31,</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13,325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10,469</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37,584</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27,268</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margin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8.1</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6.6</w:t>
            </w: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12,984 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21,388</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17,690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59,591</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48,259</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Severance costs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(gain) / loss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22,015</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19,380</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62,187</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51,505</w:t>
            </w:r>
            <w:r>
              <w:rPr>
                <w:color w:val="000000"/>
              </w:rPr>
              <w:t>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 margin</w:t>
            </w:r>
          </w:p>
        </w:tc>
        <w:tc>
          <w:tcPr>
            <w:tcW w:w="94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13.4</w:t>
            </w:r>
            <w:r>
              <w:rPr>
                <w:color w:val="000000"/>
              </w:rPr>
              <w:t>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13.8</w:t>
            </w:r>
            <w:r>
              <w:rPr>
                <w:color w:val="000000"/>
              </w:rPr>
              <w:t>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13.0</w:t>
            </w:r>
            <w:r>
              <w:rPr>
                <w:color w:val="000000"/>
              </w:rPr>
              <w:t>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12.5</w:t>
            </w:r>
            <w:r>
              <w:rPr>
                <w:color w:val="000000"/>
              </w:rPr>
              <w:t> </w:t>
            </w:r>
          </w:p>
        </w:tc>
        <w:tc>
          <w:tcPr>
            <w:tcW w:w="3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bl>
    <w:p>
      <w:pPr>
        <w:pStyle w:val="TextBody"/>
        <w:bidi w:val="0"/>
        <w:spacing w:lineRule="auto" w:line="288" w:before="240" w:after="283"/>
        <w:jc w:val="left"/>
        <w:rPr>
          <w:rFonts w:ascii="sans-serif" w:hAnsi="sans-serif"/>
          <w:b/>
          <w:color w:val="000000"/>
          <w:sz w:val="24"/>
        </w:rPr>
      </w:pPr>
      <w:r>
        <w:rPr>
          <w:rFonts w:ascii="sans-serif" w:hAnsi="sans-serif"/>
          <w:b/>
          <w:color w:val="000000"/>
          <w:sz w:val="24"/>
        </w:rPr>
        <w:t>EXHIBIT 3: Free cash flow</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We define free cash flow as net cash provided by operating activities less capital expenditures.</w:t>
      </w:r>
    </w:p>
    <w:tbl>
      <w:tblPr>
        <w:tblW w:w="8764" w:type="dxa"/>
        <w:jc w:val="left"/>
        <w:tblInd w:w="0" w:type="dxa"/>
        <w:tblLayout w:type="fixed"/>
        <w:tblCellMar>
          <w:top w:w="28" w:type="dxa"/>
          <w:left w:w="28" w:type="dxa"/>
          <w:bottom w:w="28" w:type="dxa"/>
          <w:right w:w="28" w:type="dxa"/>
        </w:tblCellMar>
      </w:tblPr>
      <w:tblGrid>
        <w:gridCol w:w="1305"/>
        <w:gridCol w:w="1149"/>
        <w:gridCol w:w="1161"/>
        <w:gridCol w:w="211"/>
        <w:gridCol w:w="721"/>
        <w:gridCol w:w="109"/>
        <w:gridCol w:w="109"/>
        <w:gridCol w:w="109"/>
        <w:gridCol w:w="109"/>
        <w:gridCol w:w="211"/>
        <w:gridCol w:w="631"/>
        <w:gridCol w:w="109"/>
        <w:gridCol w:w="109"/>
        <w:gridCol w:w="109"/>
        <w:gridCol w:w="109"/>
        <w:gridCol w:w="215"/>
        <w:gridCol w:w="736"/>
        <w:gridCol w:w="111"/>
        <w:gridCol w:w="111"/>
        <w:gridCol w:w="111"/>
        <w:gridCol w:w="111"/>
        <w:gridCol w:w="215"/>
        <w:gridCol w:w="736"/>
        <w:gridCol w:w="157"/>
      </w:tblGrid>
      <w:tr>
        <w:trPr/>
        <w:tc>
          <w:tcPr>
            <w:tcW w:w="1305"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25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March 31,</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34,178 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17,731 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capital expenditures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Free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6,591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3,561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9,534</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4,515</w:t>
            </w: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sans-serif" w:hAnsi="sans-serif"/>
          <w:b/>
          <w:color w:val="000000"/>
          <w:sz w:val="24"/>
        </w:rPr>
      </w:pPr>
      <w:r>
        <w:rPr>
          <w:rFonts w:ascii="sans-serif" w:hAnsi="sans-serif"/>
          <w:b/>
          <w:color w:val="000000"/>
          <w:sz w:val="24"/>
        </w:rPr>
        <w:t>EXHIBIT 4: Net cash</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We define net cash as total cash and cash equivalents less debt.</w:t>
      </w:r>
    </w:p>
    <w:tbl>
      <w:tblPr>
        <w:tblW w:w="4824" w:type="dxa"/>
        <w:jc w:val="left"/>
        <w:tblInd w:w="0" w:type="dxa"/>
        <w:tblLayout w:type="fixed"/>
        <w:tblCellMar>
          <w:top w:w="28" w:type="dxa"/>
          <w:left w:w="28" w:type="dxa"/>
          <w:bottom w:w="28" w:type="dxa"/>
          <w:right w:w="28" w:type="dxa"/>
        </w:tblCellMar>
      </w:tblPr>
      <w:tblGrid>
        <w:gridCol w:w="845"/>
        <w:gridCol w:w="744"/>
        <w:gridCol w:w="751"/>
        <w:gridCol w:w="211"/>
        <w:gridCol w:w="736"/>
        <w:gridCol w:w="109"/>
        <w:gridCol w:w="109"/>
        <w:gridCol w:w="109"/>
        <w:gridCol w:w="109"/>
        <w:gridCol w:w="211"/>
        <w:gridCol w:w="736"/>
        <w:gridCol w:w="154"/>
      </w:tblGrid>
      <w:tr>
        <w:trPr/>
        <w:tc>
          <w:tcPr>
            <w:tcW w:w="84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($000s)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u w:val="single"/>
              </w:rPr>
            </w:pPr>
            <w:r>
              <w:rPr>
                <w:rFonts w:ascii="Arial;sans-serif" w:hAnsi="Arial;sans-serif"/>
                <w:b w:val="false"/>
                <w:i/>
                <w:color w:val="000000"/>
                <w:sz w:val="18"/>
                <w:u w:val="single"/>
              </w:rPr>
              <w:t>Debt</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14,018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13,731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3916</Words>
  <Characters>21854</Characters>
  <CharactersWithSpaces>25280</CharactersWithSpaces>
  <Paragraphs>911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