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4614.xml.htm"/>
      <w:bookmarkStart w:id="1" w:name="kswkform4_17909746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Dawson Bruce Neil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IBEX LIMITED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1717 PENNSYLVANIA AVENUE NW, SUITE 825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IBEX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IBEX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Sales and CS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88"/>
        <w:gridCol w:w="453"/>
        <w:gridCol w:w="798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65,336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63,923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September 30, 2026, 3,228 performance-based stock units ("PSUs") were earned and acquired by the Reporting Person. These PSUs were earned upon certification of performance goals for the two-year period ending June 30, 2026 and converted to Common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by the Issuer to satisfy the Reporting Person's tax liability upon the vesting of PSUs on September 30, 2026. This was not a discretionary transaction, and no shares were sold by the reporting person to satisfy this tax liability.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Closing price of Issuer's Common shares on September 30,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Lisa Lenstrohm,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3708" TargetMode="External"/><Relationship Id="rId5" Type="http://schemas.openxmlformats.org/officeDocument/2006/relationships/hyperlink" Target="http://www.sec.gov/cgi-bin/browse-edgar?action=getcompany&amp;CIK=000172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672</Words>
  <Characters>3640</Characters>
  <CharactersWithSpaces>4233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