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IBEX Limited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American Century Investment Management, Inc.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510,633.00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510,633.00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510,633.00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3.8 %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American Century Companies, Inc.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510,633.00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510,633.00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510,633.00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3.8 %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Stowers Institute for Medical Research</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510,633.00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510,633.00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510,633.00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3.8 %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22"/>
        <w:gridCol w:w="8928"/>
        <w:gridCol w:w="155"/>
      </w:tblGrid>
      <w:tr>
        <w:trPr/>
        <w:tc>
          <w:tcPr>
            <w:tcW w:w="1122" w:type="dxa"/>
            <w:tcBorders/>
            <w:vAlign w:val="center"/>
          </w:tcPr>
          <w:p>
            <w:pPr>
              <w:pStyle w:val="TableContents"/>
              <w:bidi w:val="0"/>
              <w:spacing w:before="0" w:after="283"/>
              <w:jc w:val="left"/>
              <w:rPr/>
            </w:pPr>
            <w:r>
              <w:rPr/>
              <w:t>Item 1.</w:t>
            </w:r>
          </w:p>
        </w:tc>
        <w:tc>
          <w:tcPr>
            <w:tcW w:w="892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jc w:val="left"/>
              <w:rPr/>
            </w:pPr>
            <w:r>
              <w:rPr/>
              <w:t xml:space="preserve">Name of issuer: </w:t>
            </w:r>
          </w:p>
          <w:p>
            <w:pPr>
              <w:pStyle w:val="TableContents"/>
              <w:bidi w:val="0"/>
              <w:spacing w:before="0" w:after="0"/>
              <w:jc w:val="left"/>
              <w:rPr/>
            </w:pPr>
            <w:r>
              <w:rPr/>
              <w:t>IBEX Limited</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1717 Pennsylvania Avenue NW, Suite 825, Washington, District of Columbia, 20006</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2.</w:t>
            </w:r>
          </w:p>
        </w:tc>
        <w:tc>
          <w:tcPr>
            <w:tcW w:w="892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jc w:val="left"/>
              <w:rPr/>
            </w:pPr>
            <w:r>
              <w:rPr/>
              <w:t xml:space="preserve">Name of person filing: </w:t>
            </w:r>
          </w:p>
          <w:p>
            <w:pPr>
              <w:pStyle w:val="TableContents"/>
              <w:bidi w:val="0"/>
              <w:spacing w:before="0" w:after="0"/>
              <w:jc w:val="left"/>
              <w:rPr/>
            </w:pPr>
            <w:r>
              <w:rPr/>
              <w:t>American Century Investment Management, Inc. American Century Companies, Inc. Stowers Institute for Medical Research</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4500 Main Street 9th Floor Kansas City, Missouri 64111</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(c)</w:t>
            </w:r>
          </w:p>
        </w:tc>
        <w:tc>
          <w:tcPr>
            <w:tcW w:w="8928"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(d)</w:t>
            </w:r>
          </w:p>
        </w:tc>
        <w:tc>
          <w:tcPr>
            <w:tcW w:w="892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(e)</w:t>
            </w:r>
          </w:p>
        </w:tc>
        <w:tc>
          <w:tcPr>
            <w:tcW w:w="892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3.</w:t>
            </w:r>
          </w:p>
        </w:tc>
        <w:tc>
          <w:tcPr>
            <w:tcW w:w="892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(c)</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(d)</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(e)</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(f)</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(g)</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(h)</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(j)</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(k)</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9083" w:type="dxa"/>
            <w:gridSpan w:val="2"/>
            <w:tcBorders/>
            <w:vAlign w:val="center"/>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4.</w:t>
            </w:r>
          </w:p>
        </w:tc>
        <w:tc>
          <w:tcPr>
            <w:tcW w:w="892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the response(s) to Item 9 on the attached cover page(s).</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the response(s) to Item 11 on the attached cover page(s).  %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(c)</w:t>
            </w:r>
          </w:p>
        </w:tc>
        <w:tc>
          <w:tcPr>
            <w:tcW w:w="892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the response(s) to Item 5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the response(s) to Item 6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the response(s) to Item 7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the response(s) to Item 8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5.</w:t>
            </w:r>
          </w:p>
        </w:tc>
        <w:tc>
          <w:tcPr>
            <w:tcW w:w="892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6.</w:t>
            </w:r>
          </w:p>
        </w:tc>
        <w:tc>
          <w:tcPr>
            <w:tcW w:w="892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including the investment companies and separate institutional investor accounts that American Century Investment Management, Inc. ("ACIM") serves as investment adviser, have the right to receive or the power to direct the receipt of dividends from, or the proceeds from the sale of, the securities that are the subject of this schedule. Except as may be otherwise indicated if this is a joint filing, not more than 5% of the class of securities that is the subject of this schedule is owned by any one client advised by ACIM.</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7.</w:t>
            </w:r>
          </w:p>
        </w:tc>
        <w:tc>
          <w:tcPr>
            <w:tcW w:w="892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This Item identifies each subsidiary of American Century Companies, Inc. ("ACC"), which is controlled by the Stowers Institute for Medical Research, that is a beneficial owner of securities that are subject of this schedule (the "Subject Securities"). American Century Investment Management, Inc. ("ACIM") is a wholly-owned subsidiary of ACC and an investment adviser registered under Section 203 of the Investment Advisers Act of 1940.</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8.</w:t>
            </w:r>
          </w:p>
        </w:tc>
        <w:tc>
          <w:tcPr>
            <w:tcW w:w="892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both"/>
              <w:rPr/>
            </w:pPr>
            <w:r>
              <w:rPr/>
              <w:t xml:space="preserve">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9.</w:t>
            </w:r>
          </w:p>
        </w:tc>
        <w:tc>
          <w:tcPr>
            <w:tcW w:w="892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both"/>
              <w:rPr/>
            </w:pPr>
            <w:r>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See Item 5.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9884" w:type="dxa"/>
        <w:jc w:val="left"/>
        <w:tblInd w:w="0" w:type="dxa"/>
        <w:tblLayout w:type="fixed"/>
        <w:tblCellMar>
          <w:top w:w="28" w:type="dxa"/>
          <w:left w:w="28" w:type="dxa"/>
          <w:bottom w:w="28" w:type="dxa"/>
          <w:right w:w="28" w:type="dxa"/>
        </w:tblCellMar>
      </w:tblPr>
      <w:tblGrid>
        <w:gridCol w:w="4942"/>
        <w:gridCol w:w="4942"/>
      </w:tblGrid>
      <w:tr>
        <w:trPr/>
        <w:tc>
          <w:tcPr>
            <w:tcW w:w="4942" w:type="dxa"/>
            <w:tcBorders/>
            <w:vAlign w:val="center"/>
          </w:tcPr>
          <w:p>
            <w:pPr>
              <w:pStyle w:val="TableContents"/>
              <w:bidi w:val="0"/>
              <w:spacing w:before="0" w:after="0"/>
              <w:jc w:val="left"/>
              <w:rPr/>
            </w:pPr>
            <w:r>
              <w:rPr/>
              <w:t> </w:t>
            </w:r>
          </w:p>
          <w:tbl>
            <w:tblPr>
              <w:tblW w:w="4786" w:type="dxa"/>
              <w:jc w:val="left"/>
              <w:tblInd w:w="0" w:type="dxa"/>
              <w:tblLayout w:type="fixed"/>
              <w:tblCellMar>
                <w:top w:w="28" w:type="dxa"/>
                <w:left w:w="28" w:type="dxa"/>
                <w:bottom w:w="28" w:type="dxa"/>
                <w:right w:w="28" w:type="dxa"/>
              </w:tblCellMar>
            </w:tblPr>
            <w:tblGrid>
              <w:gridCol w:w="4786"/>
            </w:tblGrid>
            <w:tr>
              <w:trPr/>
              <w:tc>
                <w:tcPr>
                  <w:tcW w:w="4786" w:type="dxa"/>
                  <w:tcBorders/>
                  <w:vAlign w:val="center"/>
                </w:tcPr>
                <w:p>
                  <w:pPr>
                    <w:pStyle w:val="TableContents"/>
                    <w:bidi w:val="0"/>
                    <w:spacing w:before="0" w:after="0"/>
                    <w:jc w:val="left"/>
                    <w:rPr/>
                  </w:pPr>
                  <w:r>
                    <w:rPr/>
                    <w:t>American Century Investment Management, Inc.</w:t>
                  </w:r>
                </w:p>
              </w:tc>
            </w:tr>
          </w:tbl>
          <w:p>
            <w:pPr>
              <w:pStyle w:val="TableContents"/>
              <w:bidi w:val="0"/>
              <w:spacing w:before="0" w:after="283"/>
              <w:jc w:val="left"/>
              <w:rPr/>
            </w:pPr>
            <w:r>
              <w:rPr/>
            </w:r>
          </w:p>
        </w:tc>
        <w:tc>
          <w:tcPr>
            <w:tcW w:w="494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00"/>
        <w:gridCol w:w="4205"/>
      </w:tblGrid>
      <w:tr>
        <w:trPr/>
        <w:tc>
          <w:tcPr>
            <w:tcW w:w="600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American Century Investment Management, Inc.</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/s/ John Pak / Senior Vice President</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05" w:type="dxa"/>
            <w:tcBorders/>
            <w:vAlign w:val="center"/>
          </w:tcPr>
          <w:p>
            <w:pPr>
              <w:pStyle w:val="TableContents"/>
              <w:bidi w:val="0"/>
              <w:spacing w:before="0" w:after="283"/>
              <w:jc w:val="left"/>
              <w:rPr>
                <w:sz w:val="4"/>
                <w:szCs w:val="4"/>
              </w:rPr>
            </w:pPr>
            <w:r>
              <w:rPr>
                <w:sz w:val="4"/>
                <w:szCs w:val="4"/>
              </w:rPr>
            </w:r>
          </w:p>
        </w:tc>
      </w:tr>
    </w:tbl>
    <w:tbl>
      <w:tblPr>
        <w:tblW w:w="7270" w:type="dxa"/>
        <w:jc w:val="left"/>
        <w:tblInd w:w="0" w:type="dxa"/>
        <w:tblLayout w:type="fixed"/>
        <w:tblCellMar>
          <w:top w:w="28" w:type="dxa"/>
          <w:left w:w="28" w:type="dxa"/>
          <w:bottom w:w="28" w:type="dxa"/>
          <w:right w:w="28" w:type="dxa"/>
        </w:tblCellMar>
      </w:tblPr>
      <w:tblGrid>
        <w:gridCol w:w="3635"/>
        <w:gridCol w:w="3635"/>
      </w:tblGrid>
      <w:tr>
        <w:trPr/>
        <w:tc>
          <w:tcPr>
            <w:tcW w:w="3635" w:type="dxa"/>
            <w:tcBorders/>
            <w:vAlign w:val="center"/>
          </w:tcPr>
          <w:p>
            <w:pPr>
              <w:pStyle w:val="TableContents"/>
              <w:bidi w:val="0"/>
              <w:spacing w:before="0" w:after="0"/>
              <w:jc w:val="left"/>
              <w:rPr/>
            </w:pPr>
            <w:r>
              <w:rPr/>
              <w:t> </w:t>
            </w:r>
          </w:p>
          <w:tbl>
            <w:tblPr>
              <w:tblW w:w="3526" w:type="dxa"/>
              <w:jc w:val="left"/>
              <w:tblInd w:w="0" w:type="dxa"/>
              <w:tblLayout w:type="fixed"/>
              <w:tblCellMar>
                <w:top w:w="28" w:type="dxa"/>
                <w:left w:w="28" w:type="dxa"/>
                <w:bottom w:w="28" w:type="dxa"/>
                <w:right w:w="28" w:type="dxa"/>
              </w:tblCellMar>
            </w:tblPr>
            <w:tblGrid>
              <w:gridCol w:w="3526"/>
            </w:tblGrid>
            <w:tr>
              <w:trPr/>
              <w:tc>
                <w:tcPr>
                  <w:tcW w:w="3526" w:type="dxa"/>
                  <w:tcBorders/>
                  <w:vAlign w:val="center"/>
                </w:tcPr>
                <w:p>
                  <w:pPr>
                    <w:pStyle w:val="TableContents"/>
                    <w:bidi w:val="0"/>
                    <w:spacing w:before="0" w:after="0"/>
                    <w:jc w:val="left"/>
                    <w:rPr/>
                  </w:pPr>
                  <w:r>
                    <w:rPr/>
                    <w:t>American Century Companies, Inc.</w:t>
                  </w:r>
                </w:p>
              </w:tc>
            </w:tr>
          </w:tbl>
          <w:p>
            <w:pPr>
              <w:pStyle w:val="TableContents"/>
              <w:bidi w:val="0"/>
              <w:spacing w:before="0" w:after="283"/>
              <w:jc w:val="left"/>
              <w:rPr/>
            </w:pPr>
            <w:r>
              <w:rPr/>
            </w:r>
          </w:p>
        </w:tc>
        <w:tc>
          <w:tcPr>
            <w:tcW w:w="363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American Century Companies, Inc.</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/s/ John Pak / Senior Vice President</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8000" w:type="dxa"/>
        <w:jc w:val="left"/>
        <w:tblInd w:w="0" w:type="dxa"/>
        <w:tblLayout w:type="fixed"/>
        <w:tblCellMar>
          <w:top w:w="28" w:type="dxa"/>
          <w:left w:w="28" w:type="dxa"/>
          <w:bottom w:w="28" w:type="dxa"/>
          <w:right w:w="28" w:type="dxa"/>
        </w:tblCellMar>
      </w:tblPr>
      <w:tblGrid>
        <w:gridCol w:w="4000"/>
        <w:gridCol w:w="4000"/>
      </w:tblGrid>
      <w:tr>
        <w:trPr/>
        <w:tc>
          <w:tcPr>
            <w:tcW w:w="4000" w:type="dxa"/>
            <w:tcBorders/>
            <w:vAlign w:val="center"/>
          </w:tcPr>
          <w:p>
            <w:pPr>
              <w:pStyle w:val="TableContents"/>
              <w:bidi w:val="0"/>
              <w:spacing w:before="0" w:after="0"/>
              <w:jc w:val="left"/>
              <w:rPr/>
            </w:pPr>
            <w:r>
              <w:rPr/>
              <w:t> </w:t>
            </w:r>
          </w:p>
          <w:tbl>
            <w:tblPr>
              <w:tblW w:w="3826" w:type="dxa"/>
              <w:jc w:val="left"/>
              <w:tblInd w:w="0" w:type="dxa"/>
              <w:tblLayout w:type="fixed"/>
              <w:tblCellMar>
                <w:top w:w="28" w:type="dxa"/>
                <w:left w:w="28" w:type="dxa"/>
                <w:bottom w:w="28" w:type="dxa"/>
                <w:right w:w="28" w:type="dxa"/>
              </w:tblCellMar>
            </w:tblPr>
            <w:tblGrid>
              <w:gridCol w:w="3826"/>
            </w:tblGrid>
            <w:tr>
              <w:trPr/>
              <w:tc>
                <w:tcPr>
                  <w:tcW w:w="3826" w:type="dxa"/>
                  <w:tcBorders/>
                  <w:vAlign w:val="center"/>
                </w:tcPr>
                <w:p>
                  <w:pPr>
                    <w:pStyle w:val="TableContents"/>
                    <w:bidi w:val="0"/>
                    <w:spacing w:before="0" w:after="0"/>
                    <w:jc w:val="left"/>
                    <w:rPr/>
                  </w:pPr>
                  <w:r>
                    <w:rPr/>
                    <w:t>Stowers Institute for Medical Research</w:t>
                  </w:r>
                </w:p>
              </w:tc>
            </w:tr>
          </w:tbl>
          <w:p>
            <w:pPr>
              <w:pStyle w:val="TableContents"/>
              <w:bidi w:val="0"/>
              <w:spacing w:before="0" w:after="283"/>
              <w:jc w:val="left"/>
              <w:rPr/>
            </w:pPr>
            <w:r>
              <w:rPr/>
            </w:r>
          </w:p>
        </w:tc>
        <w:tc>
          <w:tcPr>
            <w:tcW w:w="40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58"/>
        <w:gridCol w:w="4247"/>
      </w:tblGrid>
      <w:tr>
        <w:trPr/>
        <w:tc>
          <w:tcPr>
            <w:tcW w:w="595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Stowers Institute for Medical Research</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/s/ Joselyn Verschelden / Authorized Signer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4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Each of the undersigned hereby agrees and consents to the execution and joint filing on its behalf by American Century Investment Management, Inc. of this Schedule 13G respecting the beneficial ownership of the securities which are the subject of this schedule. Dated this 14th day of August, 2026. AMERICAN CENTURY INVESTMENT MANAGEMENT, INC. ("ACIM") AMERICAN CENTURY COMPANIES, INC. ("ACC") By: __/s/ John Pak___________________ John Pak Senior Vice President, ACIM and ACC STOWERS INSTITUTE FOR MEDICAL RESEARCH, solely in its capacity as control entity of ACC By: __/s/ Joselyn Verschelden_________ Joselyn Verschelden Authorized Signer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checked.jpg" TargetMode="Externa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1584</Words>
  <Characters>8279</Characters>
  <CharactersWithSpaces>9813</CharactersWithSpaces>
  <Paragraphs>260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