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883.xml.htm"/>
      <w:bookmarkStart w:id="1" w:name="kswkform4_17909748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Casteel Julie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Sales/Marketing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104,042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102,771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3,228 performance-based stock units ("PSUs") were earned and acquired by the Reporting Person. These PSUs were earned upon certification of performance goals for the two-year period ending June 30, 2026 and converted 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Reporting Person's tax liability upon the vesting of PSUs on September 30, 2026. This was not a discretionary transaction, and no shares were sold by the reporting person to satisfy this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price of Issuer's Common shares on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084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3645</Characters>
  <CharactersWithSpaces>4236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