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84642.xml.htm"/>
      <w:bookmarkStart w:id="1" w:name="kswkform4_17833846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Greenwald Taylor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IBEX LIMITED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1717 PENNSYLVANIA AVENUE NW, SUITE 825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IBEX Ltd</w:t>
              </w:r>
            </w:hyperlink>
            <w:r>
              <w:rPr/>
              <w:t xml:space="preserve"> [ </w:t>
            </w:r>
            <w:r>
              <w:rPr>
                <w:rFonts w:ascii="Times;serif" w:hAnsi="Times;serif"/>
                <w:color w:val="0000FF"/>
                <w:sz w:val="24"/>
                <w:shd w:fill="FFFFFF" w:val="clear"/>
              </w:rPr>
              <w:t>IBEX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853</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31.6</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61,377</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withheld by the Issuer in connection with the reporting person's net share settlement to satisfy tax liability upon the vesting of 2,948 shares of restricted stock units on July 1, 2026. No shares were sold by the reporting person to satisfy this tax liability.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Lisa Lenstrohm,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3723" TargetMode="External"/><Relationship Id="rId5" Type="http://schemas.openxmlformats.org/officeDocument/2006/relationships/hyperlink" Target="http://www.sec.gov/cgi-bin/browse-edgar?action=getcompany&amp;CIK=00017204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3315</Characters>
  <CharactersWithSpaces>3865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