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658574.xml.htm"/>
      <w:bookmarkStart w:id="1" w:name="kswkform4_17726585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McGinnis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IBEX LIMITED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1717 PENNSYLVANIA AVENUE NW, SUITE 825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IBEX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IBEX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6,863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was granted restricted stock units ("RSUs"), which represent a contingent right to receive one share of Common Stock for each RSU. 25% of the RSUs vest on July 1, 2026, with 25% of the RSUs vesting annually thereafter for the following three years, provided that the Reporting Person remains in continuous service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Lisa Lenstrohm,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3520" TargetMode="External"/><Relationship Id="rId5" Type="http://schemas.openxmlformats.org/officeDocument/2006/relationships/hyperlink" Target="http://www.sec.gov/cgi-bin/browse-edgar?action=getcompany&amp;CIK=000172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3358</Characters>
  <CharactersWithSpaces>3918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