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Casteel Julie K</w:t>
              </w:r>
            </w:hyperlink>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IBEX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IBEX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Borders>
              <w:bottom w:val="single" w:sz="8" w:color="0000EE"/>
            </w:tcBorders>
            <w:gridSpan w:val="2"/>
            <w:vMerge w:val="continue"/>
          </w:tcPr>
          <w:p>
            <w:pPr>
              <w:spacing w:after="0"/>
              <w:rPr>
                <w:sz w:val="5"/>
                <w:szCs w:val="5"/>
                <w:color w:val="auto"/>
              </w:rPr>
            </w:pPr>
          </w:p>
        </w:tc>
        <w:tc>
          <w:tcPr>
            <w:tcW w:w="180" w:type="dxa"/>
            <w:vAlign w:val="bottom"/>
            <w:vMerge w:val="restart"/>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gridSpan w:val="2"/>
          </w:tcPr>
          <w:p>
            <w:pPr>
              <w:spacing w:after="0"/>
              <w:rPr>
                <w:sz w:val="4"/>
                <w:szCs w:val="4"/>
                <w:color w:val="auto"/>
              </w:rPr>
            </w:pPr>
          </w:p>
        </w:tc>
        <w:tc>
          <w:tcPr>
            <w:tcW w:w="18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100"/>
              <w:spacing w:after="0" w:line="138" w:lineRule="exact"/>
              <w:rPr>
                <w:sz w:val="20"/>
                <w:szCs w:val="20"/>
                <w:color w:val="auto"/>
              </w:rPr>
            </w:pPr>
            <w:r>
              <w:rPr>
                <w:rFonts w:ascii="Arial" w:cs="Arial" w:eastAsia="Arial" w:hAnsi="Arial"/>
                <w:sz w:val="13"/>
                <w:szCs w:val="13"/>
                <w:color w:val="auto"/>
              </w:rPr>
              <w:t>Officer (give title</w:t>
            </w:r>
          </w:p>
        </w:tc>
        <w:tc>
          <w:tcPr>
            <w:tcW w:w="1740" w:type="dxa"/>
            <w:vAlign w:val="bottom"/>
            <w:gridSpan w:val="4"/>
          </w:tcPr>
          <w:p>
            <w:pPr>
              <w:ind w:left="48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tcBorders>
              <w:top w:val="single" w:sz="8" w:color="EEEEEE"/>
              <w:bottom w:val="single" w:sz="8" w:color="EEEEEE"/>
            </w:tcBorders>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gridSpan w:val="2"/>
            <w:vMerge w:val="restart"/>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680" w:type="dxa"/>
            <w:vAlign w:val="bottom"/>
            <w:gridSpan w:val="3"/>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880" w:type="dxa"/>
            <w:vAlign w:val="bottom"/>
            <w:gridSpan w:val="7"/>
            <w:vMerge w:val="continue"/>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Sales/Marketing Officer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IBEX LIMITED</w:t>
            </w: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06/11/2026</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1717 PENNSYLVANIA AVENUE NW, SUITE</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7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color w:val="0000FF"/>
              </w:rPr>
              <w:t>825</w:t>
            </w: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74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0"/>
                <w:szCs w:val="10"/>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380" w:type="dxa"/>
            <w:vAlign w:val="bottom"/>
            <w:gridSpan w:val="8"/>
            <w:vMerge w:val="continue"/>
          </w:tcPr>
          <w:p>
            <w:pPr>
              <w:spacing w:after="0"/>
              <w:rPr>
                <w:sz w:val="5"/>
                <w:szCs w:val="5"/>
                <w:color w:val="auto"/>
              </w:rPr>
            </w:pPr>
          </w:p>
        </w:tc>
        <w:tc>
          <w:tcPr>
            <w:tcW w:w="36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vMerge w:val="restart"/>
          </w:tcPr>
          <w:p>
            <w:pPr>
              <w:spacing w:after="0"/>
              <w:rPr>
                <w:sz w:val="7"/>
                <w:szCs w:val="7"/>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500" w:type="dxa"/>
            <w:vAlign w:val="bottom"/>
            <w:gridSpan w:val="3"/>
            <w:vMerge w:val="continue"/>
          </w:tcPr>
          <w:p>
            <w:pPr>
              <w:spacing w:after="0"/>
              <w:rPr>
                <w:sz w:val="5"/>
                <w:szCs w:val="5"/>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WASHINGTON DC</w:t>
            </w:r>
          </w:p>
        </w:tc>
        <w:tc>
          <w:tcPr>
            <w:tcW w:w="82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20006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4"/>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06/11/2026</w:t>
            </w:r>
          </w:p>
        </w:tc>
        <w:tc>
          <w:tcPr>
            <w:tcW w:w="6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3,600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30.6065</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117,594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$30.465 to $30.78; the price reported above reflects the weighted average sales price. The reporting person undertakes to provide to Issuer, any security holder of Issuer, or the staff of the U.S. Securities and Exchange Commission, upon request, full information regarding the number of shares sold at each separate price.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Lisa Lenstrohm,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06/16/2026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4084" TargetMode="External"/><Relationship Id="rId14" Type="http://schemas.openxmlformats.org/officeDocument/2006/relationships/hyperlink" Target="http://www.sec.gov/cgi-bin/browse-edgar?action=getcompany&amp;CIK=00017204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2026-06-16T19:32:48Z</dcterms:created>
  <dcterms:modified xsi:type="dcterms:W3CDTF">2026-06-16T19:32:48Z</dcterms:modified>
</cp:coreProperties>
</file>