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3992.xml.htm"/>
      <w:bookmarkStart w:id="1" w:name="kswkform4_17858839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Trofimuk-O'Connor Christina Alice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37,681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35.34</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36,731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31, 2026, 2,646 performance-based stock units ("PSUs") were earned and acquired by the Reporting Person. These PSUs were earned upon certification of performance goals for the period ending June 30, 2026 and converted to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the Reporting Person's tax liability upon the vesting of PSUs on July 31, 2026. No shares were sold by the reporting person to satisfy this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Closing price of Issuer's Common shares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684"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3587</Characters>
  <CharactersWithSpaces>4170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