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6079.xml.htm"/>
      <w:bookmarkStart w:id="1" w:name="kswkform4_17909760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Darwal Michael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1717 PENNSYLVANIA AVENUE NW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IBEX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AI &amp; Digital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798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42,822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41,979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30, 2026, 2,348 performance-based stock units ("PSUs") were earned and acquired by the Reporting Person. These PSUs were earned upon certification of performance goals for the two-year period ending June 30, 2026 and converted to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the Reporting Person's tax liability upon the vesting of PSUs on September 30, 2026. This was not a discretionary transaction, and no shares were sold by the reporting person to satisfy this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Closing price of Issuer's Common shares on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Lisa Lenstrohm,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678" TargetMode="External"/><Relationship Id="rId5" Type="http://schemas.openxmlformats.org/officeDocument/2006/relationships/hyperlink" Target="http://www.sec.gov/cgi-bin/browse-edgar?action=getcompany&amp;CIK=000172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669</Words>
  <Characters>3627</Characters>
  <CharactersWithSpaces>4217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