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466.xml.htm"/>
      <w:bookmarkStart w:id="1" w:name="kswkform4_17909764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Ringman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24,038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21,439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9,038 performance-based stock units ("PSUs") were earned and acquired by the Reporting Person. These PSUs were earned upon certification of performance goals for the one-year period ending June 30, 2026 and converted 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Reporting Person's tax liability upon the vesting of PSUs on September 30, 2026. This was not a discretionary transaction, and no shares were sold by the reporting person to satisfy this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price of Issuer's Common shares on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1792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3639</Characters>
  <CharactersWithSpaces>4229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