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846.xml.htm"/>
      <w:bookmarkStart w:id="1" w:name="kswkform4_17909738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Greenwald Taylor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IBEX LIMITED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1717 PENNSYLVANIA AVENUE NW, SUITE 825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WASHINGTON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IBEX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IBEX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64,631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62,788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September 30, 2026, 4,196 performance-based stock units ("PSUs") were earned and acquired by the Reporting Person. These PSUs were earned upon certification of performance goals for the two-year period ending June 30, 2026 and converted to Common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withheld by the Issuer to satisfy the Reporting Person's tax liability upon the vesting of PSUs on September 30, 2026. This was not a discretionary transaction, and no shares were sold by the reporting person to satisfy this tax liability.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Closing price of Issuer's Common shares on September 30,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Lisa Lenstrohm,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3723" TargetMode="External"/><Relationship Id="rId5" Type="http://schemas.openxmlformats.org/officeDocument/2006/relationships/hyperlink" Target="http://www.sec.gov/cgi-bin/browse-edgar?action=getcompany&amp;CIK=00017204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670</Words>
  <Characters>3640</Characters>
  <CharactersWithSpaces>4231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