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4138.xml.htm"/>
      <w:bookmarkStart w:id="1" w:name="kswkform4_179097413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Trofimuk-O'Connor Christina Alice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IBEX LIMITED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1717 PENNSYLVANIA AVENUE NW, SUITE 825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WASHINGTON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IBEX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IBEX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88"/>
        <w:gridCol w:w="453"/>
        <w:gridCol w:w="798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30,083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28,924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September 30, 2026, 3,228 performance-based stock units ("PSUs") were earned and acquired by the Reporting Person. These PSUs were earned upon certification of performance goals for the two-year period ending June 30, 2026 and converted to Common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withheld by the Issuer to satisfy the Reporting Person's tax liability upon the vesting of PSUs on September 30, 2026. This was not a discretionary transaction, and no shares were sold by the reporting person to satisfy this tax liability.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Closing price of Issuer's Common shares on September 30,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Lisa Lenstrohm,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3684" TargetMode="External"/><Relationship Id="rId5" Type="http://schemas.openxmlformats.org/officeDocument/2006/relationships/hyperlink" Target="http://www.sec.gov/cgi-bin/browse-edgar?action=getcompany&amp;CIK=00017204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670</Words>
  <Characters>3651</Characters>
  <CharactersWithSpaces>4242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